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7"/>
        <w:gridCol w:w="5260"/>
        <w:gridCol w:w="1390"/>
        <w:gridCol w:w="1804"/>
      </w:tblGrid>
      <w:tr w:rsidR="00BC7D84" w:rsidRPr="00426748" w:rsidTr="00F00DDC">
        <w:trPr>
          <w:cantSplit/>
        </w:trPr>
        <w:tc>
          <w:tcPr>
            <w:tcW w:w="1357" w:type="dxa"/>
            <w:vAlign w:val="center"/>
          </w:tcPr>
          <w:p w:rsidR="00BC7D84" w:rsidRPr="00426748" w:rsidRDefault="00BC7D84" w:rsidP="00F00DDC">
            <w:pPr>
              <w:pStyle w:val="TopHeader"/>
              <w:rPr>
                <w:sz w:val="22"/>
                <w:szCs w:val="22"/>
              </w:rPr>
            </w:pPr>
            <w:r w:rsidRPr="00977369">
              <w:rPr>
                <w:noProof/>
                <w:lang w:eastAsia="zh-CN"/>
              </w:rPr>
              <w:drawing>
                <wp:inline distT="0" distB="0" distL="0" distR="0" wp14:anchorId="010B17AF" wp14:editId="21983279">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50" w:type="dxa"/>
            <w:gridSpan w:val="2"/>
            <w:vAlign w:val="center"/>
          </w:tcPr>
          <w:p w:rsidR="00BC7D84" w:rsidRPr="00426748" w:rsidRDefault="00BC7D84" w:rsidP="00E94DBA">
            <w:pPr>
              <w:pStyle w:val="TopHeader"/>
              <w:rPr>
                <w:sz w:val="22"/>
                <w:szCs w:val="22"/>
              </w:rPr>
            </w:pPr>
            <w:r w:rsidRPr="00426748">
              <w:t>World Telecommunication Standardization Assembly (WTSA-16)</w:t>
            </w:r>
            <w:r w:rsidRPr="00EC7F04">
              <w:br/>
            </w:r>
            <w:proofErr w:type="spellStart"/>
            <w:r>
              <w:rPr>
                <w:sz w:val="20"/>
                <w:szCs w:val="20"/>
              </w:rPr>
              <w:t>Hammamet</w:t>
            </w:r>
            <w:proofErr w:type="spellEnd"/>
            <w:r>
              <w:rPr>
                <w:sz w:val="20"/>
                <w:szCs w:val="20"/>
              </w:rPr>
              <w:t>, 25 October - 3 November</w:t>
            </w:r>
            <w:r w:rsidRPr="00EC7F04">
              <w:rPr>
                <w:sz w:val="20"/>
                <w:szCs w:val="20"/>
              </w:rPr>
              <w:t xml:space="preserve"> 2016</w:t>
            </w:r>
          </w:p>
        </w:tc>
        <w:tc>
          <w:tcPr>
            <w:tcW w:w="1804" w:type="dxa"/>
            <w:vAlign w:val="center"/>
          </w:tcPr>
          <w:p w:rsidR="00BC7D84" w:rsidRPr="00E0753B" w:rsidRDefault="00BC7D84" w:rsidP="00F00DDC">
            <w:pPr>
              <w:jc w:val="right"/>
            </w:pPr>
            <w:r w:rsidRPr="00E0753B">
              <w:rPr>
                <w:noProof/>
                <w:lang w:eastAsia="zh-CN"/>
              </w:rPr>
              <w:drawing>
                <wp:inline distT="0" distB="0" distL="0" distR="0" wp14:anchorId="66D511A4" wp14:editId="1712A313">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BC7D84" w:rsidRPr="003251EA" w:rsidTr="00F00DDC">
        <w:trPr>
          <w:cantSplit/>
        </w:trPr>
        <w:tc>
          <w:tcPr>
            <w:tcW w:w="6617" w:type="dxa"/>
            <w:gridSpan w:val="2"/>
            <w:tcBorders>
              <w:bottom w:val="single" w:sz="12" w:space="0" w:color="auto"/>
            </w:tcBorders>
          </w:tcPr>
          <w:p w:rsidR="00BC7D84" w:rsidRPr="003251EA" w:rsidRDefault="00BC7D84" w:rsidP="00F00DDC">
            <w:pPr>
              <w:pStyle w:val="TopHeader"/>
              <w:spacing w:before="60"/>
              <w:rPr>
                <w:sz w:val="20"/>
                <w:szCs w:val="20"/>
              </w:rPr>
            </w:pPr>
          </w:p>
        </w:tc>
        <w:tc>
          <w:tcPr>
            <w:tcW w:w="3194" w:type="dxa"/>
            <w:gridSpan w:val="2"/>
            <w:tcBorders>
              <w:bottom w:val="single" w:sz="12" w:space="0" w:color="auto"/>
            </w:tcBorders>
          </w:tcPr>
          <w:p w:rsidR="00BC7D84" w:rsidRPr="003251EA" w:rsidRDefault="00BC7D84" w:rsidP="00F00DDC">
            <w:pPr>
              <w:spacing w:before="0"/>
              <w:rPr>
                <w:sz w:val="20"/>
              </w:rPr>
            </w:pPr>
          </w:p>
        </w:tc>
      </w:tr>
      <w:tr w:rsidR="00BC7D84" w:rsidRPr="003251EA" w:rsidTr="00F00DDC">
        <w:trPr>
          <w:cantSplit/>
        </w:trPr>
        <w:tc>
          <w:tcPr>
            <w:tcW w:w="6617" w:type="dxa"/>
            <w:gridSpan w:val="2"/>
            <w:tcBorders>
              <w:top w:val="single" w:sz="12" w:space="0" w:color="auto"/>
            </w:tcBorders>
          </w:tcPr>
          <w:p w:rsidR="00BC7D84" w:rsidRPr="003251EA" w:rsidRDefault="00BC7D84" w:rsidP="00F00DDC">
            <w:pPr>
              <w:spacing w:before="0"/>
              <w:rPr>
                <w:sz w:val="20"/>
              </w:rPr>
            </w:pPr>
          </w:p>
        </w:tc>
        <w:tc>
          <w:tcPr>
            <w:tcW w:w="3194" w:type="dxa"/>
            <w:gridSpan w:val="2"/>
          </w:tcPr>
          <w:p w:rsidR="00BC7D84" w:rsidRPr="003251EA" w:rsidRDefault="00BC7D84" w:rsidP="00F00DDC">
            <w:pPr>
              <w:spacing w:before="0"/>
              <w:rPr>
                <w:rFonts w:ascii="Verdana" w:hAnsi="Verdana"/>
                <w:b/>
                <w:bCs/>
                <w:sz w:val="20"/>
              </w:rPr>
            </w:pPr>
          </w:p>
        </w:tc>
      </w:tr>
      <w:tr w:rsidR="00BC7D84" w:rsidRPr="003251EA" w:rsidTr="00F00DDC">
        <w:trPr>
          <w:cantSplit/>
        </w:trPr>
        <w:tc>
          <w:tcPr>
            <w:tcW w:w="6617" w:type="dxa"/>
            <w:gridSpan w:val="2"/>
          </w:tcPr>
          <w:p w:rsidR="00BC7D84" w:rsidRPr="00420EDB" w:rsidRDefault="00EE1170" w:rsidP="00F00DDC">
            <w:pPr>
              <w:pStyle w:val="Committee"/>
            </w:pPr>
            <w:r>
              <w:t>PLENARY MEETING</w:t>
            </w:r>
          </w:p>
        </w:tc>
        <w:tc>
          <w:tcPr>
            <w:tcW w:w="3194" w:type="dxa"/>
            <w:gridSpan w:val="2"/>
          </w:tcPr>
          <w:p w:rsidR="00BC7D84" w:rsidRPr="003251EA" w:rsidRDefault="00EE1170" w:rsidP="004C1868">
            <w:pPr>
              <w:pStyle w:val="Docnumber"/>
              <w:ind w:left="-57"/>
            </w:pPr>
            <w:r w:rsidRPr="00EE1170">
              <w:t xml:space="preserve">Document </w:t>
            </w:r>
            <w:r w:rsidR="004C1868">
              <w:t>48</w:t>
            </w:r>
            <w:r w:rsidRPr="00EE1170">
              <w:t>-E</w:t>
            </w:r>
          </w:p>
        </w:tc>
      </w:tr>
      <w:tr w:rsidR="00BC7D84" w:rsidRPr="003251EA" w:rsidTr="00F00DDC">
        <w:trPr>
          <w:cantSplit/>
        </w:trPr>
        <w:tc>
          <w:tcPr>
            <w:tcW w:w="6617" w:type="dxa"/>
            <w:gridSpan w:val="2"/>
          </w:tcPr>
          <w:p w:rsidR="00BC7D84" w:rsidRPr="003251EA" w:rsidRDefault="00BC7D84" w:rsidP="00F00DDC">
            <w:pPr>
              <w:spacing w:before="0"/>
              <w:rPr>
                <w:sz w:val="20"/>
              </w:rPr>
            </w:pPr>
          </w:p>
        </w:tc>
        <w:tc>
          <w:tcPr>
            <w:tcW w:w="3194" w:type="dxa"/>
            <w:gridSpan w:val="2"/>
          </w:tcPr>
          <w:p w:rsidR="00BC7D84" w:rsidRPr="003251EA" w:rsidRDefault="004C1868" w:rsidP="004C1868">
            <w:pPr>
              <w:pStyle w:val="Docnumber"/>
              <w:ind w:left="-57"/>
            </w:pPr>
            <w:r>
              <w:t>6 October 2016</w:t>
            </w:r>
          </w:p>
        </w:tc>
      </w:tr>
      <w:tr w:rsidR="00BC7D84" w:rsidRPr="003251EA" w:rsidTr="00F00DDC">
        <w:trPr>
          <w:cantSplit/>
        </w:trPr>
        <w:tc>
          <w:tcPr>
            <w:tcW w:w="6617" w:type="dxa"/>
            <w:gridSpan w:val="2"/>
          </w:tcPr>
          <w:p w:rsidR="00BC7D84" w:rsidRPr="003251EA" w:rsidRDefault="00BC7D84" w:rsidP="00F00DDC">
            <w:pPr>
              <w:spacing w:before="0"/>
              <w:rPr>
                <w:sz w:val="20"/>
              </w:rPr>
            </w:pPr>
          </w:p>
        </w:tc>
        <w:tc>
          <w:tcPr>
            <w:tcW w:w="3194" w:type="dxa"/>
            <w:gridSpan w:val="2"/>
          </w:tcPr>
          <w:p w:rsidR="00BC7D84" w:rsidRPr="003251EA" w:rsidRDefault="00EE1170" w:rsidP="00EE1170">
            <w:pPr>
              <w:pStyle w:val="Docnumber"/>
              <w:ind w:left="-57"/>
            </w:pPr>
            <w:r>
              <w:t>Original: English</w:t>
            </w:r>
          </w:p>
        </w:tc>
      </w:tr>
      <w:tr w:rsidR="00BC7D84" w:rsidRPr="003251EA" w:rsidTr="00F00DDC">
        <w:trPr>
          <w:cantSplit/>
        </w:trPr>
        <w:tc>
          <w:tcPr>
            <w:tcW w:w="9811" w:type="dxa"/>
            <w:gridSpan w:val="4"/>
          </w:tcPr>
          <w:p w:rsidR="00BC7D84" w:rsidRPr="003251EA" w:rsidRDefault="00BC7D84" w:rsidP="00F00DDC">
            <w:pPr>
              <w:pStyle w:val="TopHeader"/>
              <w:spacing w:before="0"/>
              <w:rPr>
                <w:sz w:val="20"/>
                <w:szCs w:val="20"/>
              </w:rPr>
            </w:pPr>
          </w:p>
        </w:tc>
      </w:tr>
      <w:tr w:rsidR="00BC7D84" w:rsidRPr="00426748" w:rsidTr="00F00DDC">
        <w:trPr>
          <w:cantSplit/>
        </w:trPr>
        <w:tc>
          <w:tcPr>
            <w:tcW w:w="9811" w:type="dxa"/>
            <w:gridSpan w:val="4"/>
          </w:tcPr>
          <w:p w:rsidR="00BC7D84" w:rsidRPr="00D643B3" w:rsidRDefault="004C1868" w:rsidP="00F00DDC">
            <w:pPr>
              <w:pStyle w:val="Source"/>
              <w:rPr>
                <w:highlight w:val="yellow"/>
              </w:rPr>
            </w:pPr>
            <w:r w:rsidRPr="004C1868">
              <w:t>United States of America</w:t>
            </w:r>
          </w:p>
        </w:tc>
      </w:tr>
      <w:tr w:rsidR="00BC7D84" w:rsidRPr="00426748" w:rsidTr="00F00DDC">
        <w:trPr>
          <w:cantSplit/>
        </w:trPr>
        <w:tc>
          <w:tcPr>
            <w:tcW w:w="9811" w:type="dxa"/>
            <w:gridSpan w:val="4"/>
          </w:tcPr>
          <w:p w:rsidR="00BC7D84" w:rsidRPr="00D643B3" w:rsidRDefault="004C1868" w:rsidP="00F00DDC">
            <w:pPr>
              <w:pStyle w:val="Title1"/>
              <w:rPr>
                <w:highlight w:val="yellow"/>
              </w:rPr>
            </w:pPr>
            <w:r w:rsidRPr="004C1868">
              <w:t>CONTRIBUTION OF THE UNITED STATES OF AMERICA TO THE WORLD TELECOMMUNICATION STANDARDIZATION ASSEMBLY 2016</w:t>
            </w:r>
          </w:p>
        </w:tc>
      </w:tr>
      <w:tr w:rsidR="00BC7D84" w:rsidRPr="00426748" w:rsidTr="00F00DDC">
        <w:trPr>
          <w:cantSplit/>
        </w:trPr>
        <w:tc>
          <w:tcPr>
            <w:tcW w:w="9811" w:type="dxa"/>
            <w:gridSpan w:val="4"/>
          </w:tcPr>
          <w:p w:rsidR="00BC7D84" w:rsidRDefault="00BC7D84" w:rsidP="00F00DDC">
            <w:pPr>
              <w:pStyle w:val="Title2"/>
            </w:pPr>
          </w:p>
        </w:tc>
      </w:tr>
      <w:tr w:rsidR="00BC7D84" w:rsidRPr="00426748" w:rsidTr="00F00DDC">
        <w:trPr>
          <w:cantSplit/>
        </w:trPr>
        <w:tc>
          <w:tcPr>
            <w:tcW w:w="9811" w:type="dxa"/>
            <w:gridSpan w:val="4"/>
          </w:tcPr>
          <w:p w:rsidR="00BC7D84" w:rsidRPr="004C1868" w:rsidRDefault="00BC7D84" w:rsidP="00F00DDC">
            <w:pPr>
              <w:pStyle w:val="Agendaitem"/>
              <w:rPr>
                <w:lang w:val="en-GB"/>
              </w:rPr>
            </w:pPr>
          </w:p>
        </w:tc>
      </w:tr>
    </w:tbl>
    <w:p w:rsidR="009E1967" w:rsidRDefault="009E1967" w:rsidP="009E1967"/>
    <w:tbl>
      <w:tblPr>
        <w:tblpPr w:leftFromText="180" w:rightFromText="180" w:vertAnchor="text" w:tblpY="1"/>
        <w:tblOverlap w:val="never"/>
        <w:tblW w:w="5089" w:type="pct"/>
        <w:tblLayout w:type="fixed"/>
        <w:tblLook w:val="0000" w:firstRow="0" w:lastRow="0" w:firstColumn="0" w:lastColumn="0" w:noHBand="0" w:noVBand="0"/>
      </w:tblPr>
      <w:tblGrid>
        <w:gridCol w:w="1912"/>
        <w:gridCol w:w="7899"/>
      </w:tblGrid>
      <w:tr w:rsidR="002957A7" w:rsidRPr="002957A7" w:rsidTr="00D055D3">
        <w:trPr>
          <w:cantSplit/>
        </w:trPr>
        <w:tc>
          <w:tcPr>
            <w:tcW w:w="1951" w:type="dxa"/>
          </w:tcPr>
          <w:p w:rsidR="009E1967" w:rsidRPr="00426748" w:rsidRDefault="009E1967" w:rsidP="00D055D3">
            <w:r w:rsidRPr="008F7104">
              <w:rPr>
                <w:b/>
                <w:bCs/>
              </w:rPr>
              <w:t>Abstract:</w:t>
            </w:r>
          </w:p>
        </w:tc>
        <w:sdt>
          <w:sdtPr>
            <w:rPr>
              <w:color w:val="000000" w:themeColor="text1"/>
              <w:lang w:val="en-US"/>
            </w:rPr>
            <w:alias w:val="Abstract"/>
            <w:tag w:val="Abstract"/>
            <w:id w:val="-939903723"/>
            <w:placeholder>
              <w:docPart w:val="E6A04320D0824299BD96245E84494D7E"/>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Content>
            <w:tc>
              <w:tcPr>
                <w:tcW w:w="8079" w:type="dxa"/>
              </w:tcPr>
              <w:p w:rsidR="009E1967" w:rsidRPr="004C1868" w:rsidRDefault="00A459B1" w:rsidP="00A459B1">
                <w:pPr>
                  <w:rPr>
                    <w:color w:val="000000" w:themeColor="text1"/>
                    <w:highlight w:val="yellow"/>
                  </w:rPr>
                </w:pPr>
                <w:r w:rsidRPr="00A459B1">
                  <w:rPr>
                    <w:color w:val="000000" w:themeColor="text1"/>
                    <w:lang w:val="en-US"/>
                  </w:rPr>
                  <w:t>This document presents the position of the United States of America at WTSA</w:t>
                </w:r>
                <w:r>
                  <w:rPr>
                    <w:color w:val="000000" w:themeColor="text1"/>
                    <w:lang w:val="en-US"/>
                  </w:rPr>
                  <w:noBreakHyphen/>
                </w:r>
                <w:r w:rsidRPr="00A459B1">
                  <w:rPr>
                    <w:color w:val="000000" w:themeColor="text1"/>
                    <w:lang w:val="en-US"/>
                  </w:rPr>
                  <w:t>16</w:t>
                </w:r>
                <w:r>
                  <w:rPr>
                    <w:color w:val="000000" w:themeColor="text1"/>
                    <w:lang w:val="en-US"/>
                  </w:rPr>
                  <w:t>.</w:t>
                </w:r>
              </w:p>
            </w:tc>
          </w:sdtContent>
        </w:sdt>
      </w:tr>
    </w:tbl>
    <w:p w:rsidR="00ED30BC" w:rsidRDefault="00ED30BC">
      <w:pPr>
        <w:tabs>
          <w:tab w:val="clear" w:pos="1134"/>
          <w:tab w:val="clear" w:pos="1871"/>
          <w:tab w:val="clear" w:pos="2268"/>
        </w:tabs>
        <w:overflowPunct/>
        <w:autoSpaceDE/>
        <w:autoSpaceDN/>
        <w:adjustRightInd/>
        <w:spacing w:before="0"/>
        <w:textAlignment w:val="auto"/>
      </w:pPr>
    </w:p>
    <w:p w:rsidR="004C1868" w:rsidRPr="00A34FC4" w:rsidRDefault="004C1868" w:rsidP="004C1868">
      <w:r w:rsidRPr="0086169C">
        <w:t xml:space="preserve">The United States </w:t>
      </w:r>
      <w:r>
        <w:t>commends</w:t>
      </w:r>
      <w:r w:rsidRPr="0086169C">
        <w:t xml:space="preserve"> the International Telecommunication Union (ITU) and the Government of Tunisia for hosting the 2016 World Telecommunication Standardization Assembly (WTSA-16) in the distinguished city of </w:t>
      </w:r>
      <w:proofErr w:type="spellStart"/>
      <w:r w:rsidRPr="0086169C">
        <w:t>Hammamet</w:t>
      </w:r>
      <w:proofErr w:type="spellEnd"/>
      <w:r w:rsidRPr="0086169C">
        <w:t xml:space="preserve">. </w:t>
      </w:r>
      <w:r w:rsidRPr="00206B1F">
        <w:t xml:space="preserve">This year marks </w:t>
      </w:r>
      <w:r w:rsidRPr="00A34FC4">
        <w:t xml:space="preserve">sixty years of standardization work by the ITU’s Telecommunication Standardization Sector (ITU-T). </w:t>
      </w:r>
    </w:p>
    <w:p w:rsidR="004C1868" w:rsidRPr="004C1868" w:rsidRDefault="004C1868" w:rsidP="004C1868">
      <w:pPr>
        <w:pStyle w:val="Headingb"/>
        <w:rPr>
          <w:lang w:val="en-GB"/>
        </w:rPr>
      </w:pPr>
      <w:r w:rsidRPr="004C1868">
        <w:rPr>
          <w:lang w:val="en-GB"/>
        </w:rPr>
        <w:t xml:space="preserve">Standardization in ITU-T: Past and Present </w:t>
      </w:r>
      <w:bookmarkStart w:id="0" w:name="_GoBack"/>
      <w:bookmarkEnd w:id="0"/>
    </w:p>
    <w:p w:rsidR="004C1868" w:rsidRDefault="004C1868" w:rsidP="004C1868">
      <w:r w:rsidRPr="0086169C">
        <w:t>The achievements of the past sixty years are many and are to be celebrated.</w:t>
      </w:r>
      <w:r>
        <w:t xml:space="preserve"> </w:t>
      </w:r>
      <w:r w:rsidRPr="0086169C">
        <w:t>They also reflect, over time, significant changes in the global telecommunications landscape.</w:t>
      </w:r>
      <w:r>
        <w:t xml:space="preserve"> </w:t>
      </w:r>
      <w:r w:rsidRPr="0086169C">
        <w:t>ITU-T Recommendations, including</w:t>
      </w:r>
      <w:r>
        <w:t xml:space="preserve"> those</w:t>
      </w:r>
      <w:r w:rsidRPr="0086169C">
        <w:t xml:space="preserve"> on </w:t>
      </w:r>
      <w:proofErr w:type="spellStart"/>
      <w:r w:rsidRPr="0086169C">
        <w:t>Signaling</w:t>
      </w:r>
      <w:proofErr w:type="spellEnd"/>
      <w:r w:rsidRPr="0086169C">
        <w:t xml:space="preserve"> System 7 (SS7), digital subscriber line (DSL), international telephone numbering plan (E</w:t>
      </w:r>
      <w:r>
        <w:t>.</w:t>
      </w:r>
      <w:r w:rsidRPr="0086169C">
        <w:t>164),</w:t>
      </w:r>
      <w:r>
        <w:t xml:space="preserve"> </w:t>
      </w:r>
      <w:r w:rsidRPr="0086169C">
        <w:t xml:space="preserve">international accounting and settlement rates, and </w:t>
      </w:r>
      <w:r>
        <w:t>those</w:t>
      </w:r>
      <w:r w:rsidRPr="0086169C">
        <w:t xml:space="preserve"> developed jointly with ISO/IEC on video </w:t>
      </w:r>
      <w:r>
        <w:t xml:space="preserve">or picture </w:t>
      </w:r>
      <w:r w:rsidRPr="0086169C">
        <w:t>coding, help facilitate interoperability and compatibility of telecommunication systems worldwide and helped usher in the interconnected world enshrined in the ITU’s Constitution.</w:t>
      </w:r>
      <w:r>
        <w:t xml:space="preserve"> </w:t>
      </w:r>
      <w:r w:rsidRPr="0086169C">
        <w:t>However, the seminal achievements of the ITU-T Sector occurred during an era when, in an overwhelming majority of countries, governments owned, operated, or heavily regulated national and international telecommunication networks dedicated to provide end-to-end telephone service to subscribers.</w:t>
      </w:r>
      <w:r>
        <w:t xml:space="preserve"> </w:t>
      </w:r>
      <w:r w:rsidRPr="0086169C">
        <w:t>In that environment, an intergovernmental standards organization like the ITU-T was the preferred standardization body to develop government</w:t>
      </w:r>
      <w:r>
        <w:t>-</w:t>
      </w:r>
      <w:r w:rsidRPr="0086169C">
        <w:t>led “top-down” standards (Recommendations</w:t>
      </w:r>
      <w:r>
        <w:t>)</w:t>
      </w:r>
      <w:r w:rsidRPr="0086169C">
        <w:t>.</w:t>
      </w:r>
      <w:r>
        <w:t xml:space="preserve"> </w:t>
      </w:r>
    </w:p>
    <w:p w:rsidR="004C1868" w:rsidRPr="00A34FC4" w:rsidRDefault="004C1868" w:rsidP="004C1868">
      <w:r w:rsidRPr="00206B1F">
        <w:t>The</w:t>
      </w:r>
      <w:r w:rsidRPr="00A34FC4">
        <w:t xml:space="preserve"> communications sector has changed dramatically in the past two decades, and the ITU-T Sector must also change to meet the needs of the industry it serves and </w:t>
      </w:r>
      <w:r>
        <w:t xml:space="preserve">of </w:t>
      </w:r>
      <w:r w:rsidRPr="00A34FC4">
        <w:t>the Member States that support the Sector.</w:t>
      </w:r>
      <w:r>
        <w:t xml:space="preserve"> </w:t>
      </w:r>
      <w:r w:rsidRPr="00A34FC4">
        <w:t xml:space="preserve">In most countries, the telecommunications sector is no longer comprised of </w:t>
      </w:r>
      <w:r>
        <w:t xml:space="preserve">government-owned </w:t>
      </w:r>
      <w:r w:rsidRPr="00A34FC4">
        <w:t>and operated companies</w:t>
      </w:r>
      <w:r>
        <w:t xml:space="preserve">. </w:t>
      </w:r>
      <w:r w:rsidRPr="00A34FC4">
        <w:t xml:space="preserve">Instead, the sector is largely driven by private sector investment </w:t>
      </w:r>
      <w:r w:rsidRPr="00A34FC4">
        <w:lastRenderedPageBreak/>
        <w:t>encouraged by liberalization and competition.</w:t>
      </w:r>
      <w:r>
        <w:t xml:space="preserve"> </w:t>
      </w:r>
      <w:r w:rsidRPr="00A34FC4">
        <w:t xml:space="preserve">The increasing reliance on Internet Protocol (IP) based technologies and, more recently, the emergence of fixed and mobile </w:t>
      </w:r>
      <w:r>
        <w:t xml:space="preserve">broadband </w:t>
      </w:r>
      <w:r w:rsidRPr="00A34FC4">
        <w:t>networks to deliver Internet access, voice, video, and data services have transformed networks that traditionally were dedicated exclusively to telephony.</w:t>
      </w:r>
      <w:r>
        <w:t xml:space="preserve"> </w:t>
      </w:r>
      <w:r w:rsidRPr="00A34FC4">
        <w:t>In addition, use of IP-based networks has encouraged “permission-less innovation” in the provision and development of services and applications, which do not need standards before launching</w:t>
      </w:r>
      <w:r w:rsidRPr="00206B1F">
        <w:t xml:space="preserve">, unlike </w:t>
      </w:r>
      <w:r>
        <w:t>the</w:t>
      </w:r>
      <w:r w:rsidRPr="00206B1F">
        <w:t xml:space="preserve"> international public networks over which they may be provided.</w:t>
      </w:r>
    </w:p>
    <w:p w:rsidR="004C1868" w:rsidRPr="00A34FC4" w:rsidRDefault="004C1868" w:rsidP="004C1868">
      <w:r>
        <w:t>These changes are in many ways remarkably different from traditional approaches, but</w:t>
      </w:r>
      <w:r w:rsidRPr="00A34FC4">
        <w:t xml:space="preserve"> have in the long run proven beneficial to governments, the communications industry, and most of all, consumers and businesses.</w:t>
      </w:r>
      <w:r>
        <w:t xml:space="preserve"> </w:t>
      </w:r>
      <w:r w:rsidRPr="00A34FC4">
        <w:t xml:space="preserve">According to the ITU’s “Measuring the Information Society Report 2015,” </w:t>
      </w:r>
      <w:r w:rsidRPr="00206B1F">
        <w:t>both developed and developing c</w:t>
      </w:r>
      <w:r w:rsidRPr="00A34FC4">
        <w:t xml:space="preserve">ountries have made significant gains in availability, affordability, and use of Information and </w:t>
      </w:r>
      <w:r>
        <w:t>C</w:t>
      </w:r>
      <w:r w:rsidRPr="00A34FC4">
        <w:t>ommunication Technologies (ICTs) in the last decade.</w:t>
      </w:r>
      <w:r>
        <w:t xml:space="preserve"> </w:t>
      </w:r>
      <w:r w:rsidRPr="00A34FC4">
        <w:t>Around the world, in developing and developed markets, the introduction and extensive use of mobile applications including mobile banking, mobile text, and e-health reflect the benefits of decentralized market-based solutions that have been developed without government-led standards</w:t>
      </w:r>
    </w:p>
    <w:p w:rsidR="004C1868" w:rsidRPr="004C1868" w:rsidRDefault="004C1868" w:rsidP="004C1868">
      <w:r w:rsidRPr="00A34FC4">
        <w:t>In light of these fundamental changes in the communications sector, and the benefits they have brought to society, ITU-T must re-examine its focus and working methods.</w:t>
      </w:r>
      <w:r>
        <w:t xml:space="preserve"> </w:t>
      </w:r>
      <w:r w:rsidRPr="00A34FC4">
        <w:t xml:space="preserve">Today’s dynamic telecommunication sector relies on the quick introduction of new technologies and </w:t>
      </w:r>
      <w:r w:rsidRPr="00206B1F">
        <w:t xml:space="preserve">services </w:t>
      </w:r>
      <w:r w:rsidRPr="00A34FC4">
        <w:t xml:space="preserve">and not waiting for </w:t>
      </w:r>
      <w:r>
        <w:t xml:space="preserve">a </w:t>
      </w:r>
      <w:r w:rsidRPr="00A34FC4">
        <w:t>top-down government-led standardization process</w:t>
      </w:r>
      <w:r w:rsidRPr="00206B1F">
        <w:t>.</w:t>
      </w:r>
      <w:r>
        <w:t xml:space="preserve"> </w:t>
      </w:r>
      <w:r w:rsidRPr="00A34FC4">
        <w:t>A surge in the number of industry</w:t>
      </w:r>
      <w:r>
        <w:t>-</w:t>
      </w:r>
      <w:r w:rsidRPr="00A34FC4">
        <w:t>led consortia, organizations and standardization bodies indicates that the locus of standardization activity has moved from intergovernmental to industry-led organizations.</w:t>
      </w:r>
      <w:r>
        <w:t xml:space="preserve"> </w:t>
      </w:r>
      <w:r w:rsidRPr="00A34FC4">
        <w:t>ITU-T should focus instead on improving its processes and narrowing the scope of its activities to be more responsive to the changing communications environment.</w:t>
      </w:r>
      <w:r>
        <w:t xml:space="preserve"> </w:t>
      </w:r>
    </w:p>
    <w:p w:rsidR="004C1868" w:rsidRPr="004C1868" w:rsidRDefault="004C1868" w:rsidP="004C1868">
      <w:pPr>
        <w:pStyle w:val="Headingb"/>
        <w:rPr>
          <w:lang w:val="en-GB"/>
        </w:rPr>
      </w:pPr>
      <w:r w:rsidRPr="004C1868">
        <w:rPr>
          <w:lang w:val="en-GB"/>
        </w:rPr>
        <w:t xml:space="preserve">A Way Forward </w:t>
      </w:r>
    </w:p>
    <w:p w:rsidR="004C1868" w:rsidRPr="00A34FC4" w:rsidRDefault="004C1868" w:rsidP="004C1868">
      <w:r w:rsidRPr="00A34FC4">
        <w:t>The Unite</w:t>
      </w:r>
      <w:r>
        <w:t>d</w:t>
      </w:r>
      <w:r w:rsidRPr="00A34FC4">
        <w:t xml:space="preserve"> States is of the view that the ITU-T’s standardization work should focus on technical aspects of international telecommunications </w:t>
      </w:r>
      <w:r w:rsidRPr="00206B1F">
        <w:t>services offered to the public that are under the remit of ITU-T and require intergovernmental</w:t>
      </w:r>
      <w:r w:rsidRPr="00A34FC4">
        <w:t xml:space="preserve"> agreement and cooperation, </w:t>
      </w:r>
      <w:r w:rsidRPr="00A34FC4">
        <w:rPr>
          <w:i/>
        </w:rPr>
        <w:t xml:space="preserve">i.e., </w:t>
      </w:r>
      <w:r w:rsidRPr="00A34FC4">
        <w:t>areas where either a market does not exist or is not functioning well.</w:t>
      </w:r>
      <w:r>
        <w:t xml:space="preserve"> </w:t>
      </w:r>
      <w:r w:rsidRPr="00A34FC4">
        <w:t>Importantly, consistent with the ITU Constitution and Convention, this work should be focused on “</w:t>
      </w:r>
      <w:r w:rsidRPr="00A34FC4">
        <w:rPr>
          <w:u w:val="single"/>
        </w:rPr>
        <w:t>standardizing telecommunications on a worldwide basis</w:t>
      </w:r>
      <w:r w:rsidRPr="00A34FC4">
        <w:t>.”</w:t>
      </w:r>
      <w:r>
        <w:t xml:space="preserve"> </w:t>
      </w:r>
      <w:r w:rsidRPr="00A34FC4">
        <w:t>Such a focus will ensure compliance with the ITU’s basic instruments and conserve limited resources by not duplicating work of other ITU Sectors or other standardization bodies, saving such resources for other critical work of the ITU, such as capacity building work in the Development Sector.</w:t>
      </w:r>
    </w:p>
    <w:p w:rsidR="004C1868" w:rsidRPr="00A34FC4" w:rsidRDefault="004C1868" w:rsidP="004C1868">
      <w:r w:rsidRPr="00A34FC4">
        <w:t>In addition</w:t>
      </w:r>
      <w:r>
        <w:t>, t</w:t>
      </w:r>
      <w:r w:rsidRPr="00206B1F">
        <w:t xml:space="preserve">he bottom-up approach to developing </w:t>
      </w:r>
      <w:r>
        <w:t xml:space="preserve">international </w:t>
      </w:r>
      <w:r w:rsidRPr="00206B1F">
        <w:t>standards</w:t>
      </w:r>
      <w:r>
        <w:t>, based on widespread and geographically diverse interest</w:t>
      </w:r>
      <w:r w:rsidRPr="00206B1F">
        <w:t xml:space="preserve"> must be maintained, underscoring the pre-eminence of the membership in the ITU.</w:t>
      </w:r>
      <w:r>
        <w:t xml:space="preserve"> </w:t>
      </w:r>
      <w:r w:rsidRPr="00A34FC4">
        <w:t xml:space="preserve">Contributions should </w:t>
      </w:r>
      <w:r w:rsidRPr="00206B1F">
        <w:t>be technical in nature and considered in an inclusive and transparent process that results in high quality</w:t>
      </w:r>
      <w:r>
        <w:t>,</w:t>
      </w:r>
      <w:r w:rsidRPr="00206B1F">
        <w:t xml:space="preserve"> flexible outcomes that are technology</w:t>
      </w:r>
      <w:r>
        <w:t>–</w:t>
      </w:r>
      <w:r w:rsidRPr="00206B1F">
        <w:t>neutral</w:t>
      </w:r>
      <w:r>
        <w:t>, that</w:t>
      </w:r>
      <w:r w:rsidRPr="00206B1F">
        <w:t xml:space="preserve"> promote </w:t>
      </w:r>
      <w:proofErr w:type="spellStart"/>
      <w:r w:rsidRPr="00206B1F">
        <w:t>nonproprietary</w:t>
      </w:r>
      <w:proofErr w:type="spellEnd"/>
      <w:r w:rsidRPr="00206B1F">
        <w:t xml:space="preserve"> solutions, and </w:t>
      </w:r>
      <w:r>
        <w:t xml:space="preserve">that are </w:t>
      </w:r>
      <w:r w:rsidRPr="00206B1F">
        <w:t>consensuses</w:t>
      </w:r>
      <w:r>
        <w:t>-</w:t>
      </w:r>
      <w:r w:rsidRPr="00206B1F">
        <w:t>based.</w:t>
      </w:r>
      <w:r>
        <w:t xml:space="preserve"> </w:t>
      </w:r>
      <w:r w:rsidRPr="00206B1F">
        <w:t>This is of particular interest in the area of emerging technologies including Internet of Things (</w:t>
      </w:r>
      <w:proofErr w:type="spellStart"/>
      <w:r w:rsidRPr="00206B1F">
        <w:t>IoT</w:t>
      </w:r>
      <w:proofErr w:type="spellEnd"/>
      <w:r w:rsidRPr="00206B1F">
        <w:t>) where premature standardization could inadvertently hinder innovation.</w:t>
      </w:r>
      <w:r>
        <w:t xml:space="preserve"> </w:t>
      </w:r>
      <w:r w:rsidRPr="00206B1F">
        <w:t>ITU-T recommendations must also be policy</w:t>
      </w:r>
      <w:r>
        <w:t>-</w:t>
      </w:r>
      <w:r w:rsidRPr="00206B1F">
        <w:t>neutral - one should be able to apply technical mechanisms to support different types of policies. For example, although it may be possible to standardize a technical mechanism to protect data generally and personal data specifically, it is a matter of sovereign policy to determine which type of data should be classified as sensitive and require such protections</w:t>
      </w:r>
      <w:r>
        <w:t>.</w:t>
      </w:r>
    </w:p>
    <w:p w:rsidR="004C1868" w:rsidRPr="00885FFB" w:rsidRDefault="004C1868" w:rsidP="004C1868">
      <w:r w:rsidRPr="00A34FC4">
        <w:t xml:space="preserve">The processes for developing and approving Recommendations should ensure that proposals have reached sufficient stability and technical clarity, and that they express requirements, specifications, guidelines or characteristics that are developed by consensus, in order to serve as a basis for </w:t>
      </w:r>
      <w:r w:rsidRPr="00A34FC4">
        <w:lastRenderedPageBreak/>
        <w:t>international cooperation.</w:t>
      </w:r>
      <w:r>
        <w:t xml:space="preserve"> </w:t>
      </w:r>
      <w:r w:rsidRPr="00A34FC4">
        <w:t>These quality and process concerns are particularly significant in ITU-T, given its intergovernmental nature.</w:t>
      </w:r>
      <w:r>
        <w:t xml:space="preserve"> </w:t>
      </w:r>
      <w:r w:rsidRPr="00A34FC4">
        <w:t xml:space="preserve">In many countries, ITU-T Recommendations are adopted as national regulations, which give them a legal status </w:t>
      </w:r>
      <w:r>
        <w:t xml:space="preserve">in those countries </w:t>
      </w:r>
      <w:r w:rsidRPr="00A34FC4">
        <w:t>not shared by the standards developed by other nongovernmental organization</w:t>
      </w:r>
      <w:r>
        <w:t xml:space="preserve">s. </w:t>
      </w:r>
      <w:r w:rsidRPr="00A34FC4">
        <w:t xml:space="preserve">We also note that, similar principles of transparency, openness, impartiality, consensus, effectiveness and relevance in developing standards are not only reflected in the ITU </w:t>
      </w:r>
      <w:r w:rsidRPr="00206B1F">
        <w:t>Constitution and Convention, but also in</w:t>
      </w:r>
      <w:r w:rsidRPr="00A34FC4">
        <w:t xml:space="preserve"> the “Decisions and Recommendations” adopted by the World Trade Organization Committee on Technical Barriers to </w:t>
      </w:r>
      <w:r w:rsidRPr="00885FFB">
        <w:t>Trade, to which many ITU Member States belong.</w:t>
      </w:r>
    </w:p>
    <w:p w:rsidR="004C1868" w:rsidRPr="00885FFB" w:rsidRDefault="004C1868" w:rsidP="004C1868">
      <w:pPr>
        <w:pStyle w:val="Headingb"/>
        <w:rPr>
          <w:lang w:val="en-GB"/>
        </w:rPr>
      </w:pPr>
      <w:r w:rsidRPr="00885FFB">
        <w:rPr>
          <w:lang w:val="en-GB"/>
        </w:rPr>
        <w:t xml:space="preserve">The United States’ Priorities </w:t>
      </w:r>
    </w:p>
    <w:p w:rsidR="004C1868" w:rsidRDefault="004C1868" w:rsidP="004C1868">
      <w:r w:rsidRPr="00885FFB">
        <w:t>The United States believes that standards can be a catalyst for economic growth, and ITU-T can play an important role by setting an example in standards development in areas within ITU-T’s mandate for Member States with little standardization experiences. However, we believe that the ITU-T must make significant</w:t>
      </w:r>
      <w:r w:rsidRPr="00A34FC4">
        <w:t xml:space="preserve"> changes in the focus of its work and its processes in light of the evolving communications market to ensure that limited resources are used to the maximum benefit for ITU Members and to keep the ITU-T on a secure and positive footing.</w:t>
      </w:r>
      <w:r>
        <w:t xml:space="preserve"> </w:t>
      </w:r>
      <w:r w:rsidRPr="00A34FC4">
        <w:t xml:space="preserve">To that end, the United States’ proposals focus on improving ITU-T working methods to ensure that the Sector produces high-quality international standards </w:t>
      </w:r>
      <w:r>
        <w:t xml:space="preserve">that are within the remit of ITU-T and </w:t>
      </w:r>
      <w:r w:rsidRPr="00A34FC4">
        <w:t>that reflect the needs of M</w:t>
      </w:r>
      <w:r>
        <w:t>ember States and Sector Members.</w:t>
      </w:r>
    </w:p>
    <w:p w:rsidR="004C1868" w:rsidRDefault="004C1868" w:rsidP="004C1868"/>
    <w:sectPr w:rsidR="004C1868">
      <w:headerReference w:type="default" r:id="rId12"/>
      <w:footerReference w:type="even" r:id="rId13"/>
      <w:footerReference w:type="default" r:id="rId14"/>
      <w:footerReference w:type="first" r:id="rId15"/>
      <w:type w:val="nextColumn"/>
      <w:pgSz w:w="11907" w:h="16840" w:code="9"/>
      <w:pgMar w:top="1418" w:right="1134" w:bottom="1418"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0EF4" w:rsidRDefault="00C50EF4">
      <w:r>
        <w:separator/>
      </w:r>
    </w:p>
  </w:endnote>
  <w:endnote w:type="continuationSeparator" w:id="0">
    <w:p w:rsidR="00C50EF4" w:rsidRDefault="00C50E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D05" w:rsidRDefault="00E45D05">
    <w:pPr>
      <w:framePr w:wrap="around" w:vAnchor="text" w:hAnchor="margin" w:xAlign="right" w:y="1"/>
    </w:pPr>
    <w:r>
      <w:fldChar w:fldCharType="begin"/>
    </w:r>
    <w:r>
      <w:instrText xml:space="preserve">PAGE  </w:instrText>
    </w:r>
    <w:r>
      <w:fldChar w:fldCharType="end"/>
    </w:r>
  </w:p>
  <w:p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F60D05">
      <w:rPr>
        <w:noProof/>
        <w:lang w:val="en-US"/>
      </w:rPr>
      <w:t>E:\Dropbox\ProposalSharing\WTSA-16\Template\WTSA16-E.docx</w:t>
    </w:r>
    <w:r>
      <w:fldChar w:fldCharType="end"/>
    </w:r>
    <w:r w:rsidRPr="0041348E">
      <w:rPr>
        <w:lang w:val="en-US"/>
      </w:rPr>
      <w:tab/>
    </w:r>
    <w:r>
      <w:fldChar w:fldCharType="begin"/>
    </w:r>
    <w:r>
      <w:instrText xml:space="preserve"> SAVEDATE \@ DD.MM.YY </w:instrText>
    </w:r>
    <w:r>
      <w:fldChar w:fldCharType="separate"/>
    </w:r>
    <w:r w:rsidR="00A459B1">
      <w:rPr>
        <w:noProof/>
      </w:rPr>
      <w:t>07.10.16</w:t>
    </w:r>
    <w:r>
      <w:fldChar w:fldCharType="end"/>
    </w:r>
    <w:r w:rsidRPr="0041348E">
      <w:rPr>
        <w:lang w:val="en-US"/>
      </w:rPr>
      <w:tab/>
    </w:r>
    <w:r>
      <w:fldChar w:fldCharType="begin"/>
    </w:r>
    <w:r>
      <w:instrText xml:space="preserve"> PRINTDATE \@ DD.MM.YY </w:instrText>
    </w:r>
    <w:r>
      <w:fldChar w:fldCharType="separate"/>
    </w:r>
    <w:r w:rsidR="00F60D05">
      <w:rPr>
        <w:noProof/>
      </w:rPr>
      <w:t>06.06.16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Pr="004C1868" w:rsidRDefault="004C1868" w:rsidP="004C1868">
    <w:pPr>
      <w:pStyle w:val="Footer"/>
      <w:rPr>
        <w:lang w:val="fr-CH"/>
      </w:rPr>
    </w:pPr>
    <w:r w:rsidRPr="004C1868">
      <w:rPr>
        <w:lang w:val="fr-CH"/>
      </w:rPr>
      <w:t>ITU-T\CONF-T\</w:t>
    </w:r>
    <w:r>
      <w:rPr>
        <w:lang w:val="fr-CH"/>
      </w:rPr>
      <w:t>WTSA16\000\48</w:t>
    </w:r>
    <w:r w:rsidRPr="004C1868">
      <w:rPr>
        <w:lang w:val="fr-CH"/>
      </w:rPr>
      <w:t>E.DOCX</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D2" w:rsidRPr="004C1868" w:rsidRDefault="004C1868" w:rsidP="004C1868">
    <w:pPr>
      <w:pStyle w:val="Footer"/>
      <w:rPr>
        <w:lang w:val="fr-CH"/>
      </w:rPr>
    </w:pPr>
    <w:r w:rsidRPr="004C1868">
      <w:rPr>
        <w:lang w:val="fr-CH"/>
      </w:rPr>
      <w:t>ITU-T\CONF-T\WTSA16\000\48E.DOCX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0EF4" w:rsidRDefault="00C50EF4">
      <w:r>
        <w:rPr>
          <w:b/>
        </w:rPr>
        <w:t>_______________</w:t>
      </w:r>
    </w:p>
  </w:footnote>
  <w:footnote w:type="continuationSeparator" w:id="0">
    <w:p w:rsidR="00C50EF4" w:rsidRDefault="00C50E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Default="00C72D5C" w:rsidP="00C72D5C">
    <w:pPr>
      <w:pStyle w:val="Header"/>
    </w:pPr>
    <w:r>
      <w:fldChar w:fldCharType="begin"/>
    </w:r>
    <w:r>
      <w:instrText xml:space="preserve"> PAGE  \* MERGEFORMAT </w:instrText>
    </w:r>
    <w:r>
      <w:fldChar w:fldCharType="separate"/>
    </w:r>
    <w:r w:rsidR="00A459B1">
      <w:rPr>
        <w:noProof/>
      </w:rPr>
      <w:t>3</w:t>
    </w:r>
    <w:r>
      <w:fldChar w:fldCharType="end"/>
    </w:r>
  </w:p>
  <w:p w:rsidR="00A066F1" w:rsidRPr="00EE1170" w:rsidRDefault="00EE1170" w:rsidP="004C1868">
    <w:pPr>
      <w:pStyle w:val="Header"/>
      <w:rPr>
        <w:lang w:val="en-US"/>
      </w:rPr>
    </w:pPr>
    <w:r w:rsidRPr="00EE1170">
      <w:t>WTSA16/</w:t>
    </w:r>
    <w:r w:rsidR="004C1868">
      <w:t>48</w:t>
    </w:r>
    <w:r w:rsidRPr="00EE1170">
      <w:t>-E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3"/>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6F1"/>
    <w:rsid w:val="000041EA"/>
    <w:rsid w:val="00022A29"/>
    <w:rsid w:val="000355FD"/>
    <w:rsid w:val="00046719"/>
    <w:rsid w:val="00051E39"/>
    <w:rsid w:val="00063D0B"/>
    <w:rsid w:val="00077239"/>
    <w:rsid w:val="000807E9"/>
    <w:rsid w:val="00086491"/>
    <w:rsid w:val="00091346"/>
    <w:rsid w:val="0009706C"/>
    <w:rsid w:val="000F73FF"/>
    <w:rsid w:val="00114CF7"/>
    <w:rsid w:val="00123B68"/>
    <w:rsid w:val="00126F2E"/>
    <w:rsid w:val="001301F4"/>
    <w:rsid w:val="00130789"/>
    <w:rsid w:val="00137CF6"/>
    <w:rsid w:val="00146F6F"/>
    <w:rsid w:val="00161472"/>
    <w:rsid w:val="0017074E"/>
    <w:rsid w:val="00182117"/>
    <w:rsid w:val="00187BD9"/>
    <w:rsid w:val="00190B55"/>
    <w:rsid w:val="001C3B5F"/>
    <w:rsid w:val="001D058F"/>
    <w:rsid w:val="001E6F73"/>
    <w:rsid w:val="002009EA"/>
    <w:rsid w:val="00202CA0"/>
    <w:rsid w:val="00216B6D"/>
    <w:rsid w:val="00234ADA"/>
    <w:rsid w:val="00236EBA"/>
    <w:rsid w:val="00245127"/>
    <w:rsid w:val="00250AF4"/>
    <w:rsid w:val="00260B50"/>
    <w:rsid w:val="00263BE8"/>
    <w:rsid w:val="00271316"/>
    <w:rsid w:val="00290F83"/>
    <w:rsid w:val="002957A7"/>
    <w:rsid w:val="002A1D23"/>
    <w:rsid w:val="002A5392"/>
    <w:rsid w:val="002B100E"/>
    <w:rsid w:val="002D58BE"/>
    <w:rsid w:val="00316B80"/>
    <w:rsid w:val="003251EA"/>
    <w:rsid w:val="0034635C"/>
    <w:rsid w:val="00377BD3"/>
    <w:rsid w:val="00384088"/>
    <w:rsid w:val="0039169B"/>
    <w:rsid w:val="00394470"/>
    <w:rsid w:val="003A7F8C"/>
    <w:rsid w:val="003B532E"/>
    <w:rsid w:val="003D0F8B"/>
    <w:rsid w:val="0041348E"/>
    <w:rsid w:val="00420EDB"/>
    <w:rsid w:val="004373CA"/>
    <w:rsid w:val="004420C9"/>
    <w:rsid w:val="00465799"/>
    <w:rsid w:val="00471EF9"/>
    <w:rsid w:val="00492075"/>
    <w:rsid w:val="004969AD"/>
    <w:rsid w:val="004A26C4"/>
    <w:rsid w:val="004B13CB"/>
    <w:rsid w:val="004B4AAE"/>
    <w:rsid w:val="004C1868"/>
    <w:rsid w:val="004C6FBE"/>
    <w:rsid w:val="004D5D5C"/>
    <w:rsid w:val="004D6DFC"/>
    <w:rsid w:val="0050139F"/>
    <w:rsid w:val="0055140B"/>
    <w:rsid w:val="00553247"/>
    <w:rsid w:val="0056747D"/>
    <w:rsid w:val="00581B01"/>
    <w:rsid w:val="00595780"/>
    <w:rsid w:val="005964AB"/>
    <w:rsid w:val="005C099A"/>
    <w:rsid w:val="005C31A5"/>
    <w:rsid w:val="005E10C9"/>
    <w:rsid w:val="005E61DD"/>
    <w:rsid w:val="006023DF"/>
    <w:rsid w:val="00602F64"/>
    <w:rsid w:val="00623F15"/>
    <w:rsid w:val="00643684"/>
    <w:rsid w:val="00657DE0"/>
    <w:rsid w:val="0067500B"/>
    <w:rsid w:val="006763BF"/>
    <w:rsid w:val="00685313"/>
    <w:rsid w:val="00692833"/>
    <w:rsid w:val="006A6E9B"/>
    <w:rsid w:val="006A72A4"/>
    <w:rsid w:val="006B7C2A"/>
    <w:rsid w:val="006C23DA"/>
    <w:rsid w:val="006E3D45"/>
    <w:rsid w:val="006E6EE0"/>
    <w:rsid w:val="00700547"/>
    <w:rsid w:val="00707E39"/>
    <w:rsid w:val="007149F9"/>
    <w:rsid w:val="00733A30"/>
    <w:rsid w:val="00742F1D"/>
    <w:rsid w:val="00745AEE"/>
    <w:rsid w:val="00750F10"/>
    <w:rsid w:val="00761B19"/>
    <w:rsid w:val="007742CA"/>
    <w:rsid w:val="00790D70"/>
    <w:rsid w:val="007D5320"/>
    <w:rsid w:val="007E51BA"/>
    <w:rsid w:val="007E66EA"/>
    <w:rsid w:val="007F3C67"/>
    <w:rsid w:val="00800972"/>
    <w:rsid w:val="00804475"/>
    <w:rsid w:val="00811633"/>
    <w:rsid w:val="008508D8"/>
    <w:rsid w:val="00864CD2"/>
    <w:rsid w:val="00872FC8"/>
    <w:rsid w:val="008845D0"/>
    <w:rsid w:val="00885FFB"/>
    <w:rsid w:val="008B1AEA"/>
    <w:rsid w:val="008B43F2"/>
    <w:rsid w:val="008B6CFF"/>
    <w:rsid w:val="008E67E5"/>
    <w:rsid w:val="008F08A1"/>
    <w:rsid w:val="009163CF"/>
    <w:rsid w:val="0092425C"/>
    <w:rsid w:val="009274B4"/>
    <w:rsid w:val="00930EBD"/>
    <w:rsid w:val="00934EA2"/>
    <w:rsid w:val="00940614"/>
    <w:rsid w:val="00944A5C"/>
    <w:rsid w:val="00952A66"/>
    <w:rsid w:val="0095691C"/>
    <w:rsid w:val="009B59BB"/>
    <w:rsid w:val="009C56E5"/>
    <w:rsid w:val="009E1967"/>
    <w:rsid w:val="009E5FC8"/>
    <w:rsid w:val="009E687A"/>
    <w:rsid w:val="009F1890"/>
    <w:rsid w:val="009F4D71"/>
    <w:rsid w:val="00A066F1"/>
    <w:rsid w:val="00A141AF"/>
    <w:rsid w:val="00A16D29"/>
    <w:rsid w:val="00A30305"/>
    <w:rsid w:val="00A31D2D"/>
    <w:rsid w:val="00A36DF9"/>
    <w:rsid w:val="00A41CB8"/>
    <w:rsid w:val="00A459B1"/>
    <w:rsid w:val="00A4600A"/>
    <w:rsid w:val="00A538A6"/>
    <w:rsid w:val="00A54C25"/>
    <w:rsid w:val="00A710E7"/>
    <w:rsid w:val="00A7372E"/>
    <w:rsid w:val="00A93B85"/>
    <w:rsid w:val="00AA0B18"/>
    <w:rsid w:val="00AA666F"/>
    <w:rsid w:val="00AB416A"/>
    <w:rsid w:val="00AB7C5F"/>
    <w:rsid w:val="00B529AD"/>
    <w:rsid w:val="00B6324B"/>
    <w:rsid w:val="00B639E9"/>
    <w:rsid w:val="00B817CD"/>
    <w:rsid w:val="00B94AD0"/>
    <w:rsid w:val="00BA5265"/>
    <w:rsid w:val="00BB3A95"/>
    <w:rsid w:val="00BB6222"/>
    <w:rsid w:val="00BC2FB6"/>
    <w:rsid w:val="00BC7D84"/>
    <w:rsid w:val="00C0018F"/>
    <w:rsid w:val="00C0539A"/>
    <w:rsid w:val="00C16A5A"/>
    <w:rsid w:val="00C20466"/>
    <w:rsid w:val="00C214ED"/>
    <w:rsid w:val="00C234E6"/>
    <w:rsid w:val="00C324A8"/>
    <w:rsid w:val="00C479FD"/>
    <w:rsid w:val="00C50EF4"/>
    <w:rsid w:val="00C54517"/>
    <w:rsid w:val="00C64CD8"/>
    <w:rsid w:val="00C72D5C"/>
    <w:rsid w:val="00C77E1A"/>
    <w:rsid w:val="00C97C68"/>
    <w:rsid w:val="00CA1A47"/>
    <w:rsid w:val="00CC247A"/>
    <w:rsid w:val="00CD7CC4"/>
    <w:rsid w:val="00CE388F"/>
    <w:rsid w:val="00CE5E47"/>
    <w:rsid w:val="00CF020F"/>
    <w:rsid w:val="00CF1E9D"/>
    <w:rsid w:val="00CF2B5B"/>
    <w:rsid w:val="00D055D3"/>
    <w:rsid w:val="00D14CE0"/>
    <w:rsid w:val="00D278AC"/>
    <w:rsid w:val="00D41719"/>
    <w:rsid w:val="00D54009"/>
    <w:rsid w:val="00D5651D"/>
    <w:rsid w:val="00D57A34"/>
    <w:rsid w:val="00D643B3"/>
    <w:rsid w:val="00D74898"/>
    <w:rsid w:val="00D801ED"/>
    <w:rsid w:val="00D936BC"/>
    <w:rsid w:val="00D96530"/>
    <w:rsid w:val="00DD44AF"/>
    <w:rsid w:val="00DE2AC3"/>
    <w:rsid w:val="00DE5692"/>
    <w:rsid w:val="00DF3E19"/>
    <w:rsid w:val="00DF6908"/>
    <w:rsid w:val="00E0231F"/>
    <w:rsid w:val="00E03C94"/>
    <w:rsid w:val="00E2134A"/>
    <w:rsid w:val="00E26226"/>
    <w:rsid w:val="00E45D05"/>
    <w:rsid w:val="00E55816"/>
    <w:rsid w:val="00E55AEF"/>
    <w:rsid w:val="00E870AC"/>
    <w:rsid w:val="00E94DBA"/>
    <w:rsid w:val="00E976C1"/>
    <w:rsid w:val="00EA12E5"/>
    <w:rsid w:val="00EB55C6"/>
    <w:rsid w:val="00EC7F04"/>
    <w:rsid w:val="00ED30BC"/>
    <w:rsid w:val="00EE1170"/>
    <w:rsid w:val="00F00DDC"/>
    <w:rsid w:val="00F02766"/>
    <w:rsid w:val="00F05BD4"/>
    <w:rsid w:val="00F2404A"/>
    <w:rsid w:val="00F60D05"/>
    <w:rsid w:val="00F6155B"/>
    <w:rsid w:val="00F65C19"/>
    <w:rsid w:val="00F7356B"/>
    <w:rsid w:val="00F80977"/>
    <w:rsid w:val="00F83F75"/>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6A04320D0824299BD96245E84494D7E"/>
        <w:category>
          <w:name w:val="General"/>
          <w:gallery w:val="placeholder"/>
        </w:category>
        <w:types>
          <w:type w:val="bbPlcHdr"/>
        </w:types>
        <w:behaviors>
          <w:behavior w:val="content"/>
        </w:behaviors>
        <w:guid w:val="{59BA563B-2F49-4169-806B-1CD00D5DDD19}"/>
      </w:docPartPr>
      <w:docPartBody>
        <w:p w:rsidR="00D17A5E" w:rsidRDefault="008A7E6B" w:rsidP="008A7E6B">
          <w:pPr>
            <w:pStyle w:val="E6A04320D0824299BD96245E84494D7E"/>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E6B"/>
    <w:rsid w:val="00081CBE"/>
    <w:rsid w:val="001C4DE2"/>
    <w:rsid w:val="00235800"/>
    <w:rsid w:val="00236915"/>
    <w:rsid w:val="002B79AF"/>
    <w:rsid w:val="00347F90"/>
    <w:rsid w:val="004028F8"/>
    <w:rsid w:val="00412379"/>
    <w:rsid w:val="00426CEF"/>
    <w:rsid w:val="004A43DD"/>
    <w:rsid w:val="0055704D"/>
    <w:rsid w:val="0056464A"/>
    <w:rsid w:val="006511FC"/>
    <w:rsid w:val="00763E18"/>
    <w:rsid w:val="008A7E6B"/>
    <w:rsid w:val="00BC7DBA"/>
    <w:rsid w:val="00D17A5E"/>
    <w:rsid w:val="00D26B4A"/>
    <w:rsid w:val="00E05AC0"/>
    <w:rsid w:val="00EA5142"/>
    <w:rsid w:val="00EA6104"/>
    <w:rsid w:val="00F66CD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7E6B"/>
    <w:rPr>
      <w:color w:val="808080"/>
    </w:rPr>
  </w:style>
  <w:style w:type="paragraph" w:customStyle="1" w:styleId="E6A04320D0824299BD96245E84494D7E">
    <w:name w:val="E6A04320D0824299BD96245E84494D7E"/>
    <w:rsid w:val="008A7E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7F68931A6B455448096185B52C4590C" ma:contentTypeVersion="1" ma:contentTypeDescription="Create a new document." ma:contentTypeScope="" ma:versionID="a7af9ba97c32e8a00605694eb4c93e68">
  <xsd:schema xmlns:xsd="http://www.w3.org/2001/XMLSchema" xmlns:xs="http://www.w3.org/2001/XMLSchema" xmlns:p="http://schemas.microsoft.com/office/2006/metadata/properties" xmlns:ns1="http://schemas.microsoft.com/sharepoint/v3" targetNamespace="http://schemas.microsoft.com/office/2006/metadata/properties" ma:root="true" ma:fieldsID="60f628a522287dae6cffdf536492cfa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C15758A-C628-4352-9A8B-F5C87AF37104}">
  <ds:schemaRefs>
    <ds:schemaRef ds:uri="http://schemas.microsoft.com/office/infopath/2007/PartnerControls"/>
    <ds:schemaRef ds:uri="http://schemas.microsoft.com/office/2006/documentManagement/types"/>
    <ds:schemaRef ds:uri="http://www.w3.org/XML/1998/namespace"/>
    <ds:schemaRef ds:uri="http://schemas.microsoft.com/sharepoint/v3"/>
    <ds:schemaRef ds:uri="http://purl.org/dc/dcmitype/"/>
    <ds:schemaRef ds:uri="http://schemas.openxmlformats.org/package/2006/metadata/core-properties"/>
    <ds:schemaRef ds:uri="http://purl.org/dc/terms/"/>
    <ds:schemaRef ds:uri="http://schemas.microsoft.com/office/2006/metadata/properties"/>
    <ds:schemaRef ds:uri="http://purl.org/dc/elements/1.1/"/>
  </ds:schemaRefs>
</ds:datastoreItem>
</file>

<file path=customXml/itemProps2.xml><?xml version="1.0" encoding="utf-8"?>
<ds:datastoreItem xmlns:ds="http://schemas.openxmlformats.org/officeDocument/2006/customXml" ds:itemID="{0CB984FA-CF94-40EC-9E86-4BE8E1EF7380}">
  <ds:schemaRefs>
    <ds:schemaRef ds:uri="http://schemas.microsoft.com/sharepoint/v3/contenttype/forms"/>
  </ds:schemaRefs>
</ds:datastoreItem>
</file>

<file path=customXml/itemProps3.xml><?xml version="1.0" encoding="utf-8"?>
<ds:datastoreItem xmlns:ds="http://schemas.openxmlformats.org/officeDocument/2006/customXml" ds:itemID="{634097B8-66EB-41AA-A90A-ED812B2DD4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1126</Words>
  <Characters>6898</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8008</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Documents Proposals Manager (DPM)</dc:creator>
  <cp:keywords>Template 2016.06.06</cp:keywords>
  <dc:description>Template used by DPM and CPI for the WTSA-16</dc:description>
  <cp:lastModifiedBy>TSB (RC)</cp:lastModifiedBy>
  <cp:revision>6</cp:revision>
  <cp:lastPrinted>2016-06-06T07:49:00Z</cp:lastPrinted>
  <dcterms:created xsi:type="dcterms:W3CDTF">2016-10-07T08:01:00Z</dcterms:created>
  <dcterms:modified xsi:type="dcterms:W3CDTF">2016-10-07T11:47:00Z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0x01010057F68931A6B455448096185B52C4590C</vt:lpwstr>
  </property>
</Properties>
</file>