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702A7E" w:rsidTr="004B520A">
        <w:trPr>
          <w:cantSplit/>
        </w:trPr>
        <w:tc>
          <w:tcPr>
            <w:tcW w:w="1379" w:type="dxa"/>
            <w:vAlign w:val="center"/>
          </w:tcPr>
          <w:p w:rsidR="000E5EE9" w:rsidRPr="00702A7E" w:rsidRDefault="000E5EE9" w:rsidP="00702A7E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702A7E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702A7E" w:rsidRDefault="000E5EE9" w:rsidP="00702A7E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702A7E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702A7E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702A7E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702A7E" w:rsidRDefault="0028017B" w:rsidP="00702A7E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702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702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702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702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702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702A7E" w:rsidRDefault="000E5EE9" w:rsidP="00702A7E">
            <w:pPr>
              <w:spacing w:before="0"/>
              <w:jc w:val="right"/>
            </w:pPr>
            <w:r w:rsidRPr="00702A7E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702A7E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702A7E" w:rsidRDefault="00F0220A" w:rsidP="00702A7E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702A7E" w:rsidRDefault="00F0220A" w:rsidP="00702A7E">
            <w:pPr>
              <w:spacing w:before="0"/>
            </w:pPr>
          </w:p>
        </w:tc>
      </w:tr>
      <w:tr w:rsidR="005A374D" w:rsidRPr="00702A7E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702A7E" w:rsidRDefault="005A374D" w:rsidP="00702A7E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702A7E" w:rsidRDefault="005A374D" w:rsidP="00702A7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02A7E" w:rsidTr="004B520A">
        <w:trPr>
          <w:cantSplit/>
        </w:trPr>
        <w:tc>
          <w:tcPr>
            <w:tcW w:w="6613" w:type="dxa"/>
            <w:gridSpan w:val="2"/>
          </w:tcPr>
          <w:p w:rsidR="00E83D45" w:rsidRPr="00702A7E" w:rsidRDefault="00E83D45" w:rsidP="00702A7E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702A7E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702A7E" w:rsidRDefault="0075430F" w:rsidP="00702A7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02A7E">
              <w:rPr>
                <w:rFonts w:ascii="Verdana" w:hAnsi="Verdana"/>
                <w:b/>
                <w:sz w:val="20"/>
              </w:rPr>
              <w:t xml:space="preserve">Revisión 1 al </w:t>
            </w:r>
            <w:r w:rsidRPr="00702A7E">
              <w:rPr>
                <w:rFonts w:ascii="Verdana" w:hAnsi="Verdana"/>
                <w:b/>
                <w:sz w:val="20"/>
              </w:rPr>
              <w:br/>
            </w:r>
            <w:r w:rsidR="00E83D45" w:rsidRPr="00702A7E">
              <w:rPr>
                <w:rFonts w:ascii="Verdana" w:hAnsi="Verdana"/>
                <w:b/>
                <w:sz w:val="20"/>
              </w:rPr>
              <w:t>Documento 47-S</w:t>
            </w:r>
          </w:p>
        </w:tc>
      </w:tr>
      <w:tr w:rsidR="00E83D45" w:rsidRPr="00702A7E" w:rsidTr="004B520A">
        <w:trPr>
          <w:cantSplit/>
        </w:trPr>
        <w:tc>
          <w:tcPr>
            <w:tcW w:w="6613" w:type="dxa"/>
            <w:gridSpan w:val="2"/>
          </w:tcPr>
          <w:p w:rsidR="00E83D45" w:rsidRPr="00702A7E" w:rsidRDefault="00E83D45" w:rsidP="00702A7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702A7E" w:rsidRDefault="0075430F" w:rsidP="00702A7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02A7E">
              <w:rPr>
                <w:rFonts w:ascii="Verdana" w:hAnsi="Verdana"/>
                <w:b/>
                <w:sz w:val="20"/>
              </w:rPr>
              <w:t>20 de octubre</w:t>
            </w:r>
            <w:r w:rsidR="009251A6" w:rsidRPr="00702A7E">
              <w:rPr>
                <w:rFonts w:ascii="Verdana" w:hAnsi="Verdana"/>
                <w:b/>
                <w:sz w:val="20"/>
              </w:rPr>
              <w:t xml:space="preserve"> </w:t>
            </w:r>
            <w:r w:rsidR="00E83D45" w:rsidRPr="00702A7E">
              <w:rPr>
                <w:rFonts w:ascii="Verdana" w:hAnsi="Verdana"/>
                <w:b/>
                <w:sz w:val="20"/>
              </w:rPr>
              <w:t>de 2016</w:t>
            </w:r>
          </w:p>
        </w:tc>
      </w:tr>
      <w:tr w:rsidR="00E83D45" w:rsidRPr="00702A7E" w:rsidTr="004B520A">
        <w:trPr>
          <w:cantSplit/>
        </w:trPr>
        <w:tc>
          <w:tcPr>
            <w:tcW w:w="6613" w:type="dxa"/>
            <w:gridSpan w:val="2"/>
          </w:tcPr>
          <w:p w:rsidR="00E83D45" w:rsidRPr="00702A7E" w:rsidRDefault="00E83D45" w:rsidP="00702A7E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702A7E" w:rsidRDefault="00E83D45" w:rsidP="00702A7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02A7E">
              <w:rPr>
                <w:rFonts w:ascii="Verdana" w:hAnsi="Verdana"/>
                <w:b/>
                <w:sz w:val="20"/>
              </w:rPr>
              <w:t xml:space="preserve">Original: </w:t>
            </w:r>
            <w:r w:rsidR="00894108" w:rsidRPr="00702A7E">
              <w:rPr>
                <w:rFonts w:ascii="Verdana" w:hAnsi="Verdana"/>
                <w:b/>
                <w:sz w:val="20"/>
              </w:rPr>
              <w:t>ruso</w:t>
            </w:r>
          </w:p>
        </w:tc>
      </w:tr>
      <w:tr w:rsidR="00681766" w:rsidRPr="00702A7E" w:rsidTr="004B520A">
        <w:trPr>
          <w:cantSplit/>
        </w:trPr>
        <w:tc>
          <w:tcPr>
            <w:tcW w:w="9811" w:type="dxa"/>
            <w:gridSpan w:val="4"/>
          </w:tcPr>
          <w:p w:rsidR="00681766" w:rsidRPr="00702A7E" w:rsidRDefault="00681766" w:rsidP="00702A7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02A7E" w:rsidTr="004B520A">
        <w:trPr>
          <w:cantSplit/>
        </w:trPr>
        <w:tc>
          <w:tcPr>
            <w:tcW w:w="9811" w:type="dxa"/>
            <w:gridSpan w:val="4"/>
          </w:tcPr>
          <w:p w:rsidR="00E83D45" w:rsidRPr="00702A7E" w:rsidRDefault="00660DF0" w:rsidP="00702A7E">
            <w:pPr>
              <w:pStyle w:val="Source"/>
            </w:pPr>
            <w:r w:rsidRPr="00702A7E">
              <w:t>Estados Miembros de la UIT</w:t>
            </w:r>
            <w:r w:rsidR="00720E05" w:rsidRPr="00702A7E">
              <w:t>,</w:t>
            </w:r>
            <w:r w:rsidRPr="00702A7E">
              <w:t xml:space="preserve"> Miembros de la Comunidad</w:t>
            </w:r>
            <w:r w:rsidRPr="00702A7E">
              <w:br/>
              <w:t>Regional de Comunicaciones (CRC)</w:t>
            </w:r>
          </w:p>
        </w:tc>
      </w:tr>
      <w:tr w:rsidR="00E83D45" w:rsidRPr="00702A7E" w:rsidTr="004B520A">
        <w:trPr>
          <w:cantSplit/>
        </w:trPr>
        <w:tc>
          <w:tcPr>
            <w:tcW w:w="9811" w:type="dxa"/>
            <w:gridSpan w:val="4"/>
          </w:tcPr>
          <w:p w:rsidR="00E83D45" w:rsidRPr="00702A7E" w:rsidRDefault="00894108" w:rsidP="00702A7E">
            <w:pPr>
              <w:pStyle w:val="Title1"/>
            </w:pPr>
            <w:r w:rsidRPr="00702A7E">
              <w:t>PROPUESTAS COMUNES PARA LOS TRABAJOS DE LA ASAMBLEA</w:t>
            </w:r>
          </w:p>
        </w:tc>
      </w:tr>
      <w:tr w:rsidR="00E83D45" w:rsidRPr="00702A7E" w:rsidTr="004B520A">
        <w:trPr>
          <w:cantSplit/>
        </w:trPr>
        <w:tc>
          <w:tcPr>
            <w:tcW w:w="9811" w:type="dxa"/>
            <w:gridSpan w:val="4"/>
          </w:tcPr>
          <w:p w:rsidR="00E83D45" w:rsidRPr="00702A7E" w:rsidRDefault="00E83D45" w:rsidP="00702A7E">
            <w:pPr>
              <w:pStyle w:val="Agendaitem"/>
            </w:pPr>
          </w:p>
        </w:tc>
      </w:tr>
    </w:tbl>
    <w:p w:rsidR="006B0F54" w:rsidRPr="00702A7E" w:rsidRDefault="006B0F54" w:rsidP="00702A7E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702A7E" w:rsidTr="00193AD1">
        <w:trPr>
          <w:cantSplit/>
        </w:trPr>
        <w:tc>
          <w:tcPr>
            <w:tcW w:w="1560" w:type="dxa"/>
          </w:tcPr>
          <w:p w:rsidR="006B0F54" w:rsidRPr="00702A7E" w:rsidRDefault="006B0F54" w:rsidP="00702A7E">
            <w:r w:rsidRPr="00702A7E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702A7E" w:rsidRDefault="009251A6" w:rsidP="00702A7E">
                <w:pPr>
                  <w:rPr>
                    <w:color w:val="000000" w:themeColor="text1"/>
                  </w:rPr>
                </w:pPr>
                <w:r w:rsidRPr="00702A7E">
                  <w:t xml:space="preserve">En la presente contribución figura una lista de las propuestas </w:t>
                </w:r>
                <w:r w:rsidR="00742A09" w:rsidRPr="00702A7E">
                  <w:t>comunes</w:t>
                </w:r>
                <w:r w:rsidRPr="00702A7E">
                  <w:t xml:space="preserve"> de los países </w:t>
                </w:r>
                <w:r w:rsidR="00385AEA" w:rsidRPr="00702A7E">
                  <w:t xml:space="preserve">Miembros </w:t>
                </w:r>
                <w:r w:rsidRPr="00702A7E">
                  <w:t>de la CRC para la AMNT-</w:t>
                </w:r>
                <w:r w:rsidR="0087006A" w:rsidRPr="00702A7E">
                  <w:t>16.</w:t>
                </w:r>
              </w:p>
            </w:tc>
          </w:sdtContent>
        </w:sdt>
      </w:tr>
    </w:tbl>
    <w:p w:rsidR="00510C91" w:rsidRPr="00702A7E" w:rsidRDefault="00510C91" w:rsidP="00702A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94108" w:rsidRPr="00702A7E" w:rsidRDefault="00894108" w:rsidP="00702A7E">
      <w:pPr>
        <w:pStyle w:val="Headingb"/>
      </w:pPr>
      <w:r w:rsidRPr="00702A7E">
        <w:t>Introducción</w:t>
      </w:r>
    </w:p>
    <w:p w:rsidR="00B07178" w:rsidRPr="00702A7E" w:rsidRDefault="00894108" w:rsidP="00702A7E">
      <w:r w:rsidRPr="00702A7E">
        <w:t xml:space="preserve">Como parte del examen de la organización de las labores del Sector de Normalización de las Telecomunicaciones de la UIT (UIT-T), los Estados Miembros de la UIT cuyas administraciones son </w:t>
      </w:r>
      <w:r w:rsidR="00385AEA" w:rsidRPr="00702A7E">
        <w:t xml:space="preserve">Miembros </w:t>
      </w:r>
      <w:r w:rsidRPr="00702A7E">
        <w:t>de la Comunidad Regional de Comunicaciones (</w:t>
      </w:r>
      <w:r w:rsidR="00F62584" w:rsidRPr="00702A7E">
        <w:t>CRC</w:t>
      </w:r>
      <w:r w:rsidRPr="00702A7E">
        <w:t>) someten las siguientes propuestas para los trabajos de la Asamblea Mundial de Normalización de</w:t>
      </w:r>
      <w:r w:rsidR="00F62584" w:rsidRPr="00702A7E">
        <w:t xml:space="preserve"> las Telecomunicaciones (AMNT-16</w:t>
      </w:r>
      <w:r w:rsidRPr="00702A7E">
        <w:t>).</w:t>
      </w:r>
    </w:p>
    <w:p w:rsidR="00186916" w:rsidRPr="00702A7E" w:rsidRDefault="00186916" w:rsidP="00702A7E">
      <w:r w:rsidRPr="00702A7E">
        <w:t xml:space="preserve">Obsérvese que se ha adoptado </w:t>
      </w:r>
      <w:r w:rsidR="004148D3" w:rsidRPr="00702A7E">
        <w:t xml:space="preserve">como propuesta común de los países de la CRC </w:t>
      </w:r>
      <w:r w:rsidRPr="00702A7E">
        <w:t>la propuesta de la República de Kazajstán del Documento 54.</w:t>
      </w:r>
    </w:p>
    <w:p w:rsidR="00D67945" w:rsidRPr="00702A7E" w:rsidRDefault="00D67945" w:rsidP="00702A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560"/>
        <w:textAlignment w:val="auto"/>
      </w:pPr>
      <w:r w:rsidRPr="00702A7E">
        <w:rPr>
          <w:b/>
          <w:bCs/>
        </w:rPr>
        <w:t>Anexo:</w:t>
      </w:r>
      <w:r w:rsidRPr="00702A7E">
        <w:t xml:space="preserve"> 1</w:t>
      </w:r>
    </w:p>
    <w:p w:rsidR="00720E05" w:rsidRPr="00702A7E" w:rsidRDefault="00720E05" w:rsidP="00702A7E"/>
    <w:p w:rsidR="00D67945" w:rsidRPr="00702A7E" w:rsidRDefault="00D67945" w:rsidP="00702A7E">
      <w:pPr>
        <w:sectPr w:rsidR="00D67945" w:rsidRPr="00702A7E" w:rsidSect="00D679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D62080" w:rsidRPr="00702A7E" w:rsidRDefault="00D62080" w:rsidP="00702A7E">
      <w:pPr>
        <w:pStyle w:val="AnnexNo"/>
        <w:rPr>
          <w:rFonts w:eastAsia="Calibri"/>
        </w:rPr>
      </w:pPr>
      <w:r w:rsidRPr="00702A7E">
        <w:rPr>
          <w:rFonts w:eastAsia="Calibri"/>
        </w:rPr>
        <w:lastRenderedPageBreak/>
        <w:t>ANEXO</w:t>
      </w:r>
    </w:p>
    <w:p w:rsidR="00894108" w:rsidRPr="00702A7E" w:rsidRDefault="00894108" w:rsidP="00702A7E">
      <w:pPr>
        <w:pStyle w:val="Annextitle"/>
        <w:rPr>
          <w:rFonts w:eastAsia="Calibri"/>
        </w:rPr>
      </w:pPr>
      <w:r w:rsidRPr="00702A7E">
        <w:rPr>
          <w:rFonts w:eastAsia="Calibri"/>
        </w:rPr>
        <w:t>Países participantes de la CRC que apoyan las propuestas comunes para los trabajos de la AMNT-16</w:t>
      </w:r>
    </w:p>
    <w:tbl>
      <w:tblPr>
        <w:tblStyle w:val="TableGrid8"/>
        <w:tblW w:w="14786" w:type="dxa"/>
        <w:tblLayout w:type="fixed"/>
        <w:tblLook w:val="04A0" w:firstRow="1" w:lastRow="0" w:firstColumn="1" w:lastColumn="0" w:noHBand="0" w:noVBand="1"/>
      </w:tblPr>
      <w:tblGrid>
        <w:gridCol w:w="1643"/>
        <w:gridCol w:w="564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"/>
      </w:tblGrid>
      <w:tr w:rsidR="00C5234A" w:rsidRPr="00702A7E" w:rsidTr="00AC67CC">
        <w:trPr>
          <w:cantSplit/>
          <w:trHeight w:val="1701"/>
          <w:tblHeader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2080" w:rsidRPr="00702A7E" w:rsidRDefault="00EC285A" w:rsidP="00702A7E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color w:val="000000"/>
                <w:sz w:val="22"/>
              </w:rPr>
            </w:pPr>
            <w:r w:rsidRPr="00702A7E">
              <w:rPr>
                <w:rFonts w:ascii="Times New Roman Bold" w:hAnsi="Times New Roman Bold" w:cs="Times New Roman Bold"/>
                <w:b/>
                <w:color w:val="000000"/>
                <w:sz w:val="22"/>
              </w:rPr>
              <w:t>CRC</w:t>
            </w:r>
            <w:r w:rsidR="00D62080" w:rsidRPr="00702A7E">
              <w:rPr>
                <w:rFonts w:ascii="Times New Roman Bold" w:hAnsi="Times New Roman Bold" w:cs="Times New Roman Bold"/>
                <w:b/>
                <w:color w:val="000000"/>
                <w:sz w:val="22"/>
              </w:rPr>
              <w:t xml:space="preserve"> XX</w:t>
            </w:r>
          </w:p>
          <w:p w:rsidR="00D62080" w:rsidRPr="00702A7E" w:rsidRDefault="00D62080" w:rsidP="00702A7E">
            <w:pPr>
              <w:spacing w:before="80" w:after="80"/>
              <w:jc w:val="center"/>
              <w:rPr>
                <w:rFonts w:eastAsia="Times New Roman" w:cs="Times New Roman"/>
                <w:b/>
                <w:sz w:val="22"/>
              </w:rPr>
            </w:pPr>
            <w:r w:rsidRPr="00702A7E">
              <w:rPr>
                <w:rFonts w:ascii="Times New Roman Bold" w:hAnsi="Times New Roman Bold" w:cs="Times New Roman Bold"/>
                <w:b/>
                <w:color w:val="000000"/>
                <w:sz w:val="22"/>
              </w:rPr>
              <w:t>Addéndum: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2080" w:rsidRPr="00702A7E" w:rsidRDefault="00D62080" w:rsidP="00702A7E">
            <w:pPr>
              <w:pStyle w:val="Tablehead"/>
              <w:rPr>
                <w:rFonts w:eastAsia="Times New Roman" w:cs="Times New Roman"/>
                <w:sz w:val="22"/>
                <w:highlight w:val="yellow"/>
              </w:rPr>
            </w:pPr>
            <w:r w:rsidRPr="00702A7E">
              <w:rPr>
                <w:rFonts w:ascii="Times New Roman Bold" w:hAnsi="Times New Roman Bold" w:cs="Times New Roman Bold"/>
                <w:color w:val="000000"/>
                <w:sz w:val="22"/>
              </w:rPr>
              <w:t>Título de la propuestas de la CRC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742A09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Azerbaiyán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Armenia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FC2387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Belarú</w:t>
            </w:r>
            <w:r w:rsidR="00D62080" w:rsidRPr="00702A7E">
              <w:rPr>
                <w:color w:val="000000"/>
                <w:sz w:val="22"/>
              </w:rPr>
              <w:t>s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Georgia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Kaza</w:t>
            </w:r>
            <w:r w:rsidR="00FC2387" w:rsidRPr="00702A7E">
              <w:rPr>
                <w:color w:val="000000"/>
                <w:sz w:val="22"/>
              </w:rPr>
              <w:t>jstán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K</w:t>
            </w:r>
            <w:r w:rsidR="00FC2387" w:rsidRPr="00702A7E">
              <w:rPr>
                <w:color w:val="000000"/>
                <w:sz w:val="22"/>
              </w:rPr>
              <w:t>irguistán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Moldova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Rusia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493176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Tayikistán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T</w:t>
            </w:r>
            <w:r w:rsidR="00FC2387" w:rsidRPr="00702A7E">
              <w:rPr>
                <w:color w:val="000000"/>
                <w:sz w:val="22"/>
              </w:rPr>
              <w:t>urkmenistá</w:t>
            </w:r>
            <w:r w:rsidRPr="00702A7E">
              <w:rPr>
                <w:color w:val="000000"/>
                <w:sz w:val="22"/>
              </w:rPr>
              <w:t>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FC2387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Uzbekistá</w:t>
            </w:r>
            <w:r w:rsidR="00D62080" w:rsidRPr="00702A7E">
              <w:rPr>
                <w:color w:val="000000"/>
                <w:sz w:val="22"/>
              </w:rPr>
              <w:t>n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02A7E" w:rsidRDefault="00D62080" w:rsidP="00702A7E">
            <w:pPr>
              <w:pStyle w:val="Tablehead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U</w:t>
            </w:r>
            <w:r w:rsidR="00FC2387" w:rsidRPr="00702A7E">
              <w:rPr>
                <w:color w:val="000000"/>
                <w:sz w:val="22"/>
              </w:rPr>
              <w:t>crania</w:t>
            </w:r>
          </w:p>
        </w:tc>
      </w:tr>
      <w:tr w:rsidR="00EC285A" w:rsidRPr="00702A7E" w:rsidTr="00F4409F">
        <w:trPr>
          <w:trHeight w:val="265"/>
        </w:trPr>
        <w:tc>
          <w:tcPr>
            <w:tcW w:w="1643" w:type="dxa"/>
            <w:tcBorders>
              <w:right w:val="nil"/>
            </w:tcBorders>
            <w:shd w:val="clear" w:color="auto" w:fill="FFFFCC"/>
          </w:tcPr>
          <w:p w:rsidR="00EC285A" w:rsidRPr="00702A7E" w:rsidRDefault="00EC285A" w:rsidP="00702A7E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:rsidR="00EC285A" w:rsidRPr="00702A7E" w:rsidRDefault="00EC285A" w:rsidP="00702A7E">
            <w:pPr>
              <w:pStyle w:val="Tablehead"/>
              <w:rPr>
                <w:rFonts w:ascii="Calibri" w:hAnsi="Calibri" w:cs="Times New Roman"/>
                <w:sz w:val="22"/>
              </w:rPr>
            </w:pPr>
            <w:r w:rsidRPr="00702A7E">
              <w:rPr>
                <w:sz w:val="22"/>
              </w:rPr>
              <w:t>I. Métodos de trabajo (COM3)</w:t>
            </w:r>
          </w:p>
        </w:tc>
        <w:tc>
          <w:tcPr>
            <w:tcW w:w="7495" w:type="dxa"/>
            <w:gridSpan w:val="13"/>
            <w:tcBorders>
              <w:left w:val="nil"/>
            </w:tcBorders>
            <w:shd w:val="clear" w:color="auto" w:fill="FFFFCC"/>
          </w:tcPr>
          <w:p w:rsidR="00EC285A" w:rsidRPr="00702A7E" w:rsidRDefault="00EC285A" w:rsidP="00702A7E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1953DE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02A7E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1 "Reglamento Interno del Sector de Normalización de las Telecomunicaciones de la UIT"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</w:tr>
      <w:tr w:rsidR="0092477A" w:rsidRPr="00702A7E" w:rsidTr="001953DE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02A7E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7 "Colaboración con la Organización Internacional de Normalización y la Comisión Electrotécnica Internacional"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92477A" w:rsidRPr="00702A7E" w:rsidTr="001953DE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02A7E">
              <w:rPr>
                <w:rFonts w:cs="Arial"/>
                <w:color w:val="000000"/>
                <w:sz w:val="22"/>
              </w:rPr>
              <w:t>3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18 "Principios y procedimientos para la asignación de trabajos y la coordinación entre el Sector de Radiocomunica</w:t>
            </w:r>
            <w:r w:rsidR="00702A7E">
              <w:rPr>
                <w:rFonts w:cs="Arial"/>
                <w:sz w:val="22"/>
              </w:rPr>
              <w:t>ciones de la UIT y el Sector de </w:t>
            </w:r>
            <w:r w:rsidRPr="00702A7E">
              <w:rPr>
                <w:rFonts w:cs="Arial"/>
                <w:sz w:val="22"/>
              </w:rPr>
              <w:t>Normalización de las Telecomunicaciones de la UIT"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92477A" w:rsidRPr="00702A7E" w:rsidTr="001953DE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02A7E">
              <w:rPr>
                <w:rFonts w:cs="Arial"/>
                <w:color w:val="000000"/>
                <w:sz w:val="22"/>
              </w:rPr>
              <w:t>4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57 "Fortalecimiento de la coordinación y la cooperació</w:t>
            </w:r>
            <w:r w:rsidR="00702A7E">
              <w:rPr>
                <w:rFonts w:cs="Arial"/>
                <w:sz w:val="22"/>
              </w:rPr>
              <w:t>n entre los tres Sectores de la </w:t>
            </w:r>
            <w:r w:rsidRPr="00702A7E">
              <w:rPr>
                <w:rFonts w:cs="Arial"/>
                <w:sz w:val="22"/>
              </w:rPr>
              <w:t>UIT en asuntos de interés mutuo"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92477A" w:rsidRPr="00702A7E" w:rsidTr="001953DE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02A7E"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67 "Utilización en el UIT-T de los idiomas de la Unión en pie de igualdad"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EC285A" w:rsidRPr="00702A7E" w:rsidTr="004A19C2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FFFFCC"/>
          </w:tcPr>
          <w:p w:rsidR="00EC285A" w:rsidRPr="00702A7E" w:rsidRDefault="00EC285A" w:rsidP="00702A7E">
            <w:pPr>
              <w:keepNext/>
              <w:keepLines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EC285A" w:rsidRPr="00702A7E" w:rsidRDefault="00EC285A" w:rsidP="00702A7E">
            <w:pPr>
              <w:pStyle w:val="Tablehead"/>
              <w:keepLines/>
              <w:rPr>
                <w:sz w:val="22"/>
              </w:rPr>
            </w:pPr>
            <w:r w:rsidRPr="00702A7E">
              <w:rPr>
                <w:sz w:val="22"/>
              </w:rPr>
              <w:t xml:space="preserve">II. Programa de trabajo y estructura de las </w:t>
            </w:r>
            <w:r w:rsidR="00FB2D1F" w:rsidRPr="00702A7E">
              <w:rPr>
                <w:sz w:val="22"/>
              </w:rPr>
              <w:br/>
            </w:r>
            <w:r w:rsidRPr="00702A7E">
              <w:rPr>
                <w:sz w:val="22"/>
              </w:rPr>
              <w:t>Comisiones de Estudio (COM4)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FFFFCC"/>
          </w:tcPr>
          <w:p w:rsidR="00EC285A" w:rsidRPr="00702A7E" w:rsidRDefault="00EC285A" w:rsidP="00702A7E">
            <w:pPr>
              <w:pStyle w:val="Tablehead"/>
              <w:keepLines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EC285A" w:rsidRPr="00702A7E" w:rsidTr="00EB03D3"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EC285A" w:rsidRPr="00702A7E" w:rsidRDefault="00EC285A" w:rsidP="00702A7E">
            <w:pPr>
              <w:keepNext/>
              <w:keepLines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EC285A" w:rsidRPr="00702A7E" w:rsidRDefault="00EC285A" w:rsidP="00702A7E">
            <w:pPr>
              <w:pStyle w:val="Tablehead"/>
              <w:keepLines/>
              <w:rPr>
                <w:rFonts w:cs="Times New Roman"/>
                <w:color w:val="000000"/>
                <w:sz w:val="22"/>
              </w:rPr>
            </w:pPr>
            <w:r w:rsidRPr="00702A7E">
              <w:rPr>
                <w:sz w:val="22"/>
              </w:rPr>
              <w:t>Estructura futura de las CE del UIT-T</w:t>
            </w:r>
          </w:p>
        </w:tc>
        <w:tc>
          <w:tcPr>
            <w:tcW w:w="7495" w:type="dxa"/>
            <w:gridSpan w:val="13"/>
            <w:tcBorders>
              <w:left w:val="nil"/>
            </w:tcBorders>
            <w:shd w:val="clear" w:color="auto" w:fill="DAEEF3"/>
          </w:tcPr>
          <w:p w:rsidR="00EC285A" w:rsidRPr="00702A7E" w:rsidRDefault="00EC285A" w:rsidP="00702A7E">
            <w:pPr>
              <w:pStyle w:val="Tablehead"/>
              <w:keepLines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786DEC">
        <w:tc>
          <w:tcPr>
            <w:tcW w:w="1643" w:type="dxa"/>
            <w:vAlign w:val="center"/>
          </w:tcPr>
          <w:p w:rsidR="0092477A" w:rsidRPr="00702A7E" w:rsidRDefault="0092477A" w:rsidP="00702A7E">
            <w:pPr>
              <w:keepNext/>
              <w:keepLines/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keepNext/>
              <w:keepLines/>
              <w:tabs>
                <w:tab w:val="center" w:pos="4677"/>
                <w:tab w:val="right" w:pos="9355"/>
              </w:tabs>
              <w:spacing w:before="40" w:after="40"/>
              <w:rPr>
                <w:rFonts w:cs="Times New Roman"/>
                <w:color w:val="000000"/>
                <w:sz w:val="22"/>
              </w:rPr>
            </w:pPr>
            <w:r w:rsidRPr="00702A7E">
              <w:rPr>
                <w:sz w:val="22"/>
              </w:rPr>
              <w:t>Estructura de las Comisiones de Estudio del UIT-T</w:t>
            </w: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</w:tr>
      <w:tr w:rsidR="0092477A" w:rsidRPr="00702A7E" w:rsidTr="0047651D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rFonts w:cs="Arial"/>
                <w:color w:val="000000"/>
                <w:sz w:val="22"/>
              </w:rPr>
            </w:pPr>
            <w:r w:rsidRPr="00702A7E">
              <w:rPr>
                <w:rFonts w:cs="Arial"/>
                <w:color w:val="000000"/>
                <w:sz w:val="22"/>
              </w:rPr>
              <w:t>7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keepNext/>
              <w:keepLines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Finalización de los trabajos del Comité de examen</w:t>
            </w: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</w:tr>
      <w:tr w:rsidR="0092477A" w:rsidRPr="00702A7E" w:rsidTr="0047651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02A7E">
              <w:rPr>
                <w:rFonts w:cs="Arial"/>
                <w:color w:val="000000"/>
                <w:sz w:val="22"/>
              </w:rPr>
              <w:t>8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54 "Creación de Grupos Regionales y asistencia a esos Grupos"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116B9" w:rsidRPr="00702A7E" w:rsidTr="00032F90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DAEEF3"/>
          </w:tcPr>
          <w:p w:rsidR="009116B9" w:rsidRPr="00702A7E" w:rsidRDefault="009116B9" w:rsidP="00702A7E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9116B9" w:rsidRPr="00702A7E" w:rsidRDefault="009116B9" w:rsidP="00702A7E">
            <w:pPr>
              <w:pStyle w:val="Tablehead"/>
              <w:rPr>
                <w:sz w:val="22"/>
              </w:rPr>
            </w:pPr>
            <w:r w:rsidRPr="00702A7E">
              <w:rPr>
                <w:sz w:val="22"/>
              </w:rPr>
              <w:t>Temas relacionados con la CMSI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DAEEF3"/>
          </w:tcPr>
          <w:p w:rsidR="009116B9" w:rsidRPr="00702A7E" w:rsidRDefault="009116B9" w:rsidP="00702A7E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0F4684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75 "Contribución del Sector de Normalización de las Telecomunicaciones de la UIT a la puesta en práctica de los resultados de la Cumbre Mundial sobre la Sociedad de la Información"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010DCA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rPr>
                <w:sz w:val="22"/>
              </w:rPr>
            </w:pPr>
            <w:r w:rsidRPr="00702A7E">
              <w:rPr>
                <w:sz w:val="22"/>
              </w:rPr>
              <w:t>Conformidad e interoperabilidad (C&amp;I)</w:t>
            </w:r>
            <w:r w:rsidRPr="00702A7E">
              <w:rPr>
                <w:sz w:val="22"/>
              </w:rPr>
              <w:br/>
              <w:t>Lucha contra la falsificación de productos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92477A" w:rsidRPr="00702A7E" w:rsidRDefault="0092477A" w:rsidP="00702A7E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773E23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Proyecto de nueva Resolución de la AMNT "Lucha contra el robo de dispositivos móviles mediante tecnologías de la información y la comunicación avanzadas"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773E23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Proyecto de nueva Resolución de la AMNT "Estudios sobre la lucha contra la falsificación de productos, incluidos los dispositivos de telecomunicaciones/TIC"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773E23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76 "Estudios relacionados con las pruebas de conformidad e interoperabilidad, la asistencia a los países en desarrollo y un posible futuro programa relativo a la Marca UIT"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695429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keepNext/>
              <w:keepLines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keepLines/>
              <w:rPr>
                <w:sz w:val="22"/>
              </w:rPr>
            </w:pPr>
            <w:r w:rsidRPr="00702A7E">
              <w:rPr>
                <w:sz w:val="22"/>
              </w:rPr>
              <w:t>Gestión de recursos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Arial"/>
                <w:sz w:val="22"/>
              </w:rPr>
              <w:t>Proyecto de nueva Resolución de la AMNT "Estudios relativos a la protección de los usuarios de servicios de telecomunicaciones/TIC"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14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keepNext/>
              <w:keepLines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20 "Procedimientos para la atribución y gestión de los recursos de numeración, denominación, direccionamiento e identificación internacionales de telecomunicaciones"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</w:tr>
      <w:tr w:rsidR="0092477A" w:rsidRPr="00702A7E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29 "Procedimientos alternativos de llamada en las redes internacionales de telecomunicación"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61 "Respuesta y lucha contra la apropiación y uso indebidos de recursos internacionales de numeración para las telecomunicaciones"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17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65 "Comunicación del número de la parte llamante, identificación de la línea llamante e identificación del origen"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18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Nueva Resolución de la AMNT "Establecimiento de una base de datos mundial del UIT-T sobre planes de numeración telefónica atribuidos/adjudicados a nivel nacional"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</w:tr>
      <w:tr w:rsidR="0092477A" w:rsidRPr="00702A7E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19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 xml:space="preserve">Revisión de la Resolución 64 "Asignación de direcciones IP y medidas encaminadas a facilitar la </w:t>
            </w:r>
            <w:r w:rsidR="00702A7E">
              <w:rPr>
                <w:rFonts w:cs="Arial"/>
                <w:sz w:val="22"/>
              </w:rPr>
              <w:t>transición a IPv6 y su </w:t>
            </w:r>
            <w:r w:rsidRPr="00702A7E">
              <w:rPr>
                <w:rFonts w:cs="Arial"/>
                <w:sz w:val="22"/>
              </w:rPr>
              <w:t>implantación"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C308A3"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keepNext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rPr>
                <w:sz w:val="22"/>
              </w:rPr>
            </w:pPr>
            <w:r w:rsidRPr="00702A7E">
              <w:rPr>
                <w:sz w:val="22"/>
              </w:rPr>
              <w:t>Normalización</w:t>
            </w:r>
          </w:p>
        </w:tc>
        <w:tc>
          <w:tcPr>
            <w:tcW w:w="7495" w:type="dxa"/>
            <w:gridSpan w:val="13"/>
            <w:tcBorders>
              <w:left w:val="nil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ED34E7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77 "Normalización de las redes definidas por software en el</w:t>
            </w:r>
            <w:r w:rsidR="00702A7E">
              <w:rPr>
                <w:rFonts w:cs="Arial"/>
                <w:sz w:val="22"/>
              </w:rPr>
              <w:t xml:space="preserve"> Sector de Normalización de las </w:t>
            </w:r>
            <w:r w:rsidRPr="00702A7E">
              <w:rPr>
                <w:rFonts w:cs="Arial"/>
                <w:sz w:val="22"/>
              </w:rPr>
              <w:t>Telecomunicaciones de la UIT"</w:t>
            </w: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32173C">
        <w:trPr>
          <w:gridAfter w:val="1"/>
          <w:wAfter w:w="7" w:type="dxa"/>
        </w:trPr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keepNext/>
              <w:keepLines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keepLines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Reducción de la brecha digital</w:t>
            </w:r>
          </w:p>
        </w:tc>
        <w:tc>
          <w:tcPr>
            <w:tcW w:w="7488" w:type="dxa"/>
            <w:gridSpan w:val="12"/>
            <w:tcBorders>
              <w:left w:val="nil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keepLines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8E12AB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keepNext/>
              <w:keepLines/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21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44 "Reducción de la disparidad entre los países en desarrollo y desarrollados en materia de normalización", con el fin de fomentar la creación de centros de prueba en los países en desarrollo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477A" w:rsidRPr="00702A7E" w:rsidTr="00AE54F5">
        <w:trPr>
          <w:gridAfter w:val="1"/>
          <w:wAfter w:w="7" w:type="dxa"/>
        </w:trPr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92477A" w:rsidRPr="00702A7E" w:rsidRDefault="0092477A" w:rsidP="00702A7E">
            <w:pPr>
              <w:pStyle w:val="Tablehead"/>
              <w:rPr>
                <w:rFonts w:cs="Times New Roman"/>
                <w:color w:val="000000"/>
                <w:sz w:val="22"/>
              </w:rPr>
            </w:pPr>
            <w:r w:rsidRPr="00702A7E">
              <w:rPr>
                <w:bCs/>
                <w:color w:val="000000"/>
                <w:sz w:val="22"/>
              </w:rPr>
              <w:t xml:space="preserve">Otras cuestiones (reglamentarias, </w:t>
            </w:r>
            <w:r w:rsidRPr="00702A7E">
              <w:rPr>
                <w:bCs/>
                <w:color w:val="000000"/>
                <w:sz w:val="22"/>
              </w:rPr>
              <w:br/>
              <w:t>de política y económicas)</w:t>
            </w:r>
          </w:p>
        </w:tc>
        <w:tc>
          <w:tcPr>
            <w:tcW w:w="7488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92477A" w:rsidRPr="00702A7E" w:rsidRDefault="0092477A" w:rsidP="00702A7E">
            <w:pPr>
              <w:pStyle w:val="Tablehead"/>
              <w:keepLines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92477A" w:rsidRPr="00702A7E" w:rsidTr="00FC5F2C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22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Nueva Resolución de la AMNT "Interconexión de redes 4G, 5G/IMT-2020 y posteriores"</w:t>
            </w: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</w:tr>
      <w:tr w:rsidR="0092477A" w:rsidRPr="00702A7E" w:rsidTr="00FC5F2C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23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Resolución 2 "Responsabilidad y mandato de las Comisiones de Estudio del Sector de Normalización de las Telecomunicaciones de la UIT"</w:t>
            </w: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</w:tr>
      <w:tr w:rsidR="0092477A" w:rsidRPr="00702A7E" w:rsidTr="00FC5F2C">
        <w:tc>
          <w:tcPr>
            <w:tcW w:w="1643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24</w:t>
            </w:r>
          </w:p>
        </w:tc>
        <w:tc>
          <w:tcPr>
            <w:tcW w:w="5648" w:type="dxa"/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Revisión de la Recomendación UIT-T A.12 "Identificación y presentación de Recomendaciones del Sector de Normalización de las Telecomunicaciones de la UIT"</w:t>
            </w: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</w:tr>
      <w:tr w:rsidR="0092477A" w:rsidRPr="00702A7E" w:rsidTr="00B65FDA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02A7E">
              <w:rPr>
                <w:rFonts w:cs="Times New Roman"/>
                <w:color w:val="000000"/>
                <w:sz w:val="22"/>
              </w:rPr>
              <w:t>25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Nueva Resolución de la AMNT "Participación del Sector de Normalización de las Telecomunicaciones en el examen y la revisión periódicos del Reglamento de las Telecomunicaciones Internacionales"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1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1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1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</w:tr>
      <w:tr w:rsidR="0092477A" w:rsidRPr="00702A7E" w:rsidTr="00B65FDA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  <w:rPr>
                <w:color w:val="000000"/>
                <w:sz w:val="22"/>
              </w:rPr>
            </w:pPr>
            <w:r w:rsidRPr="00702A7E">
              <w:rPr>
                <w:color w:val="000000"/>
                <w:sz w:val="22"/>
              </w:rPr>
              <w:t>Doc.54</w:t>
            </w:r>
            <w:r w:rsidRPr="00702A7E">
              <w:rPr>
                <w:color w:val="000000"/>
                <w:sz w:val="22"/>
              </w:rPr>
              <w:br/>
              <w:t>(Kazajstán)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92477A" w:rsidRPr="00702A7E" w:rsidRDefault="0092477A" w:rsidP="00702A7E">
            <w:pPr>
              <w:pStyle w:val="Tabletext"/>
              <w:rPr>
                <w:rFonts w:cs="Arial"/>
                <w:sz w:val="22"/>
              </w:rPr>
            </w:pPr>
            <w:r w:rsidRPr="00702A7E">
              <w:rPr>
                <w:rFonts w:cs="Arial"/>
                <w:sz w:val="22"/>
              </w:rPr>
              <w:t>Propuestas para la actualización y la mejora de la clasificación de los tipos de actividad económica y de productos por tipo de actividad económica en el ámbito de las telecomunicaciones/TIC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1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1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left" w:pos="173"/>
                <w:tab w:val="left" w:pos="954"/>
              </w:tabs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Header"/>
              <w:numPr>
                <w:ilvl w:val="0"/>
                <w:numId w:val="21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92477A" w:rsidRPr="00702A7E" w:rsidRDefault="0092477A" w:rsidP="00702A7E">
            <w:pPr>
              <w:pStyle w:val="Tabletext"/>
              <w:jc w:val="center"/>
            </w:pPr>
          </w:p>
        </w:tc>
      </w:tr>
      <w:tr w:rsidR="0092477A" w:rsidRPr="00702A7E" w:rsidTr="00B65FDA">
        <w:tc>
          <w:tcPr>
            <w:tcW w:w="147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477A" w:rsidRPr="00702A7E" w:rsidRDefault="0092477A" w:rsidP="00702A7E">
            <w:pPr>
              <w:pStyle w:val="Tabletext"/>
              <w:rPr>
                <w:rFonts w:cs="Arial"/>
                <w:color w:val="000000"/>
                <w:sz w:val="22"/>
                <w:szCs w:val="28"/>
              </w:rPr>
            </w:pPr>
            <w:r w:rsidRPr="00702A7E">
              <w:rPr>
                <w:rFonts w:cs="Arial"/>
                <w:color w:val="000000"/>
                <w:sz w:val="22"/>
                <w:szCs w:val="28"/>
              </w:rPr>
              <w:t>Leyenda:</w:t>
            </w:r>
            <w:r w:rsidRPr="00702A7E">
              <w:rPr>
                <w:rFonts w:cs="Arial"/>
                <w:color w:val="000000"/>
                <w:sz w:val="22"/>
                <w:szCs w:val="28"/>
              </w:rPr>
              <w:tab/>
              <w:t>"</w:t>
            </w:r>
            <w:r w:rsidRPr="00702A7E">
              <w:rPr>
                <w:rFonts w:cs="Arial"/>
                <w:color w:val="000000"/>
                <w:sz w:val="22"/>
                <w:szCs w:val="28"/>
              </w:rPr>
              <w:sym w:font="Wingdings" w:char="00FC"/>
            </w:r>
            <w:r w:rsidRPr="00702A7E">
              <w:rPr>
                <w:rFonts w:cs="Arial"/>
                <w:color w:val="000000"/>
                <w:sz w:val="22"/>
                <w:szCs w:val="28"/>
              </w:rPr>
              <w:t>"</w:t>
            </w:r>
            <w:r w:rsidRPr="00702A7E">
              <w:rPr>
                <w:rFonts w:cs="Arial"/>
                <w:color w:val="000000"/>
                <w:sz w:val="22"/>
                <w:szCs w:val="28"/>
              </w:rPr>
              <w:tab/>
              <w:t xml:space="preserve"> – </w:t>
            </w:r>
            <w:r w:rsidRPr="00702A7E">
              <w:rPr>
                <w:rFonts w:cs="Arial"/>
                <w:color w:val="000000"/>
                <w:sz w:val="22"/>
                <w:szCs w:val="28"/>
              </w:rPr>
              <w:tab/>
              <w:t>administración que apoya la propuesta.</w:t>
            </w:r>
          </w:p>
        </w:tc>
      </w:tr>
    </w:tbl>
    <w:p w:rsidR="00E83D45" w:rsidRPr="00702A7E" w:rsidRDefault="00376358" w:rsidP="00702A7E">
      <w:pPr>
        <w:jc w:val="center"/>
      </w:pPr>
      <w:r w:rsidRPr="00702A7E">
        <w:t>______________</w:t>
      </w:r>
    </w:p>
    <w:sectPr w:rsidR="00E83D45" w:rsidRPr="00702A7E" w:rsidSect="00894108">
      <w:headerReference w:type="first" r:id="rId18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B401B4">
      <w:rPr>
        <w:noProof/>
        <w:lang w:val="fr-CH"/>
      </w:rPr>
      <w:t>P:\TRAD\S\ITU-T\CONF-T\WTSA16\000\047REV1S 407424.docx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3BE6">
      <w:rPr>
        <w:noProof/>
      </w:rPr>
      <w:t>24.10.16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401B4">
      <w:rPr>
        <w:noProof/>
      </w:rPr>
      <w:t>24.10.16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29" w:rsidRPr="00702A7E" w:rsidRDefault="00702A7E" w:rsidP="00702A7E">
    <w:pPr>
      <w:pStyle w:val="Footer"/>
      <w:rPr>
        <w:lang w:val="fr-CH"/>
      </w:rPr>
    </w:pPr>
    <w:r w:rsidRPr="00702A7E">
      <w:rPr>
        <w:lang w:val="fr-CH"/>
      </w:rPr>
      <w:fldChar w:fldCharType="begin"/>
    </w:r>
    <w:r w:rsidRPr="00702A7E">
      <w:rPr>
        <w:lang w:val="fr-CH"/>
      </w:rPr>
      <w:instrText xml:space="preserve"> FILENAME \p  \* MERGEFORMAT </w:instrText>
    </w:r>
    <w:r w:rsidRPr="00702A7E">
      <w:rPr>
        <w:lang w:val="fr-CH"/>
      </w:rPr>
      <w:fldChar w:fldCharType="separate"/>
    </w:r>
    <w:r>
      <w:rPr>
        <w:lang w:val="fr-CH"/>
      </w:rPr>
      <w:t>P:\ESP\ITU-T\CONF-T\WTSA16\000\047REV1S.docx</w:t>
    </w:r>
    <w:r w:rsidRPr="00702A7E">
      <w:rPr>
        <w:lang w:val="fr-CH"/>
      </w:rPr>
      <w:fldChar w:fldCharType="end"/>
    </w:r>
    <w:r>
      <w:rPr>
        <w:lang w:val="fr-CH"/>
      </w:rPr>
      <w:t xml:space="preserve"> (407424</w:t>
    </w:r>
    <w:r w:rsidRPr="00702A7E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D7" w:rsidRPr="00720E05" w:rsidRDefault="00702A7E" w:rsidP="00702A7E">
    <w:pPr>
      <w:pStyle w:val="Footer"/>
      <w:rPr>
        <w:lang w:val="fr-CH"/>
      </w:rPr>
    </w:pPr>
    <w:r w:rsidRPr="00702A7E">
      <w:rPr>
        <w:lang w:val="fr-CH"/>
      </w:rPr>
      <w:fldChar w:fldCharType="begin"/>
    </w:r>
    <w:r w:rsidRPr="00702A7E">
      <w:rPr>
        <w:lang w:val="fr-CH"/>
      </w:rPr>
      <w:instrText xml:space="preserve"> FILENAME \p  \* MERGEFORMAT </w:instrText>
    </w:r>
    <w:r w:rsidRPr="00702A7E">
      <w:rPr>
        <w:lang w:val="fr-CH"/>
      </w:rPr>
      <w:fldChar w:fldCharType="separate"/>
    </w:r>
    <w:r>
      <w:rPr>
        <w:lang w:val="fr-CH"/>
      </w:rPr>
      <w:t>P:\ESP\ITU-T\CONF-T\WTSA16\000\047REV1S.docx</w:t>
    </w:r>
    <w:r w:rsidRPr="00702A7E">
      <w:rPr>
        <w:lang w:val="fr-CH"/>
      </w:rPr>
      <w:fldChar w:fldCharType="end"/>
    </w:r>
    <w:r>
      <w:rPr>
        <w:lang w:val="fr-CH"/>
      </w:rPr>
      <w:t xml:space="preserve"> (407424</w:t>
    </w:r>
    <w:r w:rsidRPr="00702A7E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E6" w:rsidRDefault="00F73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73BE6">
      <w:rPr>
        <w:noProof/>
      </w:rPr>
      <w:t>3</w:t>
    </w:r>
    <w:r>
      <w:fldChar w:fldCharType="end"/>
    </w:r>
  </w:p>
  <w:p w:rsidR="00E83D45" w:rsidRPr="00C72D5C" w:rsidRDefault="00566BEE" w:rsidP="006F3AD7">
    <w:pPr>
      <w:pStyle w:val="Header"/>
      <w:spacing w:after="120"/>
    </w:pPr>
    <w:r>
      <w:t>AMNT</w:t>
    </w:r>
    <w:r w:rsidR="00E83D45">
      <w:t>16/47</w:t>
    </w:r>
    <w:r w:rsidR="00F73BE6">
      <w:t>(Rev.1)</w:t>
    </w:r>
    <w:bookmarkStart w:id="0" w:name="_GoBack"/>
    <w:bookmarkEnd w:id="0"/>
    <w:r w:rsidR="00E83D45">
      <w:t>-</w:t>
    </w:r>
    <w:r w:rsidR="00E83D45" w:rsidRPr="004A26C4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E6" w:rsidRDefault="00F73B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D7" w:rsidRDefault="006F3AD7" w:rsidP="006F3AD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73BE6">
      <w:rPr>
        <w:noProof/>
      </w:rPr>
      <w:t>2</w:t>
    </w:r>
    <w:r>
      <w:fldChar w:fldCharType="end"/>
    </w:r>
  </w:p>
  <w:p w:rsidR="006F3AD7" w:rsidRPr="00C72D5C" w:rsidRDefault="006F3AD7" w:rsidP="006F3AD7">
    <w:pPr>
      <w:pStyle w:val="Header"/>
      <w:spacing w:after="120"/>
    </w:pPr>
    <w:r>
      <w:t>AMNT16/47</w:t>
    </w:r>
    <w:r w:rsidR="00F73BE6">
      <w:t>(Rev.1)</w:t>
    </w:r>
    <w:r>
      <w:t>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D0055"/>
    <w:multiLevelType w:val="hybridMultilevel"/>
    <w:tmpl w:val="E8024A78"/>
    <w:lvl w:ilvl="0" w:tplc="73DE80A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142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1"/>
  </w:num>
  <w:num w:numId="14">
    <w:abstractNumId w:val="12"/>
  </w:num>
  <w:num w:numId="15">
    <w:abstractNumId w:val="14"/>
  </w:num>
  <w:num w:numId="16">
    <w:abstractNumId w:val="15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hideSpellingErrors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0741"/>
    <w:rsid w:val="0001030F"/>
    <w:rsid w:val="00010DCA"/>
    <w:rsid w:val="000121A4"/>
    <w:rsid w:val="00023137"/>
    <w:rsid w:val="0002785D"/>
    <w:rsid w:val="00057296"/>
    <w:rsid w:val="00087AE8"/>
    <w:rsid w:val="000A5B9A"/>
    <w:rsid w:val="000B7E61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6916"/>
    <w:rsid w:val="00191A97"/>
    <w:rsid w:val="001953DE"/>
    <w:rsid w:val="001A083F"/>
    <w:rsid w:val="001A573F"/>
    <w:rsid w:val="001C41FA"/>
    <w:rsid w:val="001D380F"/>
    <w:rsid w:val="001E2B52"/>
    <w:rsid w:val="001E3F27"/>
    <w:rsid w:val="001F20F0"/>
    <w:rsid w:val="00202398"/>
    <w:rsid w:val="002130DA"/>
    <w:rsid w:val="0021371A"/>
    <w:rsid w:val="002337D9"/>
    <w:rsid w:val="00236D2A"/>
    <w:rsid w:val="0025467C"/>
    <w:rsid w:val="00255F12"/>
    <w:rsid w:val="00262C09"/>
    <w:rsid w:val="00263815"/>
    <w:rsid w:val="0028017B"/>
    <w:rsid w:val="002860F1"/>
    <w:rsid w:val="00286495"/>
    <w:rsid w:val="00291DAC"/>
    <w:rsid w:val="0029665A"/>
    <w:rsid w:val="002A791F"/>
    <w:rsid w:val="002C1B26"/>
    <w:rsid w:val="002C79B8"/>
    <w:rsid w:val="002D142A"/>
    <w:rsid w:val="002E701F"/>
    <w:rsid w:val="003035AF"/>
    <w:rsid w:val="003073FF"/>
    <w:rsid w:val="003237B0"/>
    <w:rsid w:val="003248A9"/>
    <w:rsid w:val="00324FFA"/>
    <w:rsid w:val="0032680B"/>
    <w:rsid w:val="00363A65"/>
    <w:rsid w:val="00367E21"/>
    <w:rsid w:val="00376358"/>
    <w:rsid w:val="00377EC9"/>
    <w:rsid w:val="00385AEA"/>
    <w:rsid w:val="003B1E8C"/>
    <w:rsid w:val="003C2508"/>
    <w:rsid w:val="003D0AA3"/>
    <w:rsid w:val="003D7FB5"/>
    <w:rsid w:val="004100DF"/>
    <w:rsid w:val="004104AC"/>
    <w:rsid w:val="004148D3"/>
    <w:rsid w:val="00454553"/>
    <w:rsid w:val="0047651D"/>
    <w:rsid w:val="00476FB2"/>
    <w:rsid w:val="00493176"/>
    <w:rsid w:val="0049357B"/>
    <w:rsid w:val="004A7FB0"/>
    <w:rsid w:val="004B124A"/>
    <w:rsid w:val="004B520A"/>
    <w:rsid w:val="004C3636"/>
    <w:rsid w:val="004C3A5A"/>
    <w:rsid w:val="004D11CA"/>
    <w:rsid w:val="004D54C0"/>
    <w:rsid w:val="00510C91"/>
    <w:rsid w:val="00523269"/>
    <w:rsid w:val="00532097"/>
    <w:rsid w:val="00542B83"/>
    <w:rsid w:val="00566BEE"/>
    <w:rsid w:val="0058350F"/>
    <w:rsid w:val="005A374D"/>
    <w:rsid w:val="005C155B"/>
    <w:rsid w:val="005E782D"/>
    <w:rsid w:val="005F2605"/>
    <w:rsid w:val="00613EA6"/>
    <w:rsid w:val="00660DF0"/>
    <w:rsid w:val="00662039"/>
    <w:rsid w:val="00662BA0"/>
    <w:rsid w:val="00681766"/>
    <w:rsid w:val="00692AAE"/>
    <w:rsid w:val="006A5411"/>
    <w:rsid w:val="006B0F54"/>
    <w:rsid w:val="006D6E67"/>
    <w:rsid w:val="006D79DD"/>
    <w:rsid w:val="006E0078"/>
    <w:rsid w:val="006E1A13"/>
    <w:rsid w:val="006E59F0"/>
    <w:rsid w:val="006E76B9"/>
    <w:rsid w:val="006F3AD7"/>
    <w:rsid w:val="00701C20"/>
    <w:rsid w:val="00702A7E"/>
    <w:rsid w:val="00702F3D"/>
    <w:rsid w:val="0070518E"/>
    <w:rsid w:val="00720E05"/>
    <w:rsid w:val="00734034"/>
    <w:rsid w:val="007354E9"/>
    <w:rsid w:val="00735969"/>
    <w:rsid w:val="00742A09"/>
    <w:rsid w:val="0075430F"/>
    <w:rsid w:val="00757CCC"/>
    <w:rsid w:val="00765578"/>
    <w:rsid w:val="0077084A"/>
    <w:rsid w:val="00786250"/>
    <w:rsid w:val="00786DEC"/>
    <w:rsid w:val="00790506"/>
    <w:rsid w:val="007952C7"/>
    <w:rsid w:val="00797182"/>
    <w:rsid w:val="007A5049"/>
    <w:rsid w:val="007B68D0"/>
    <w:rsid w:val="007C2317"/>
    <w:rsid w:val="007C39FA"/>
    <w:rsid w:val="007D330A"/>
    <w:rsid w:val="007D5F9E"/>
    <w:rsid w:val="007E667F"/>
    <w:rsid w:val="00826ED2"/>
    <w:rsid w:val="0083566B"/>
    <w:rsid w:val="0084033E"/>
    <w:rsid w:val="00842B29"/>
    <w:rsid w:val="008562AE"/>
    <w:rsid w:val="00861CC3"/>
    <w:rsid w:val="00866AE6"/>
    <w:rsid w:val="00866BBD"/>
    <w:rsid w:val="0087006A"/>
    <w:rsid w:val="00873B75"/>
    <w:rsid w:val="008750A8"/>
    <w:rsid w:val="008763CA"/>
    <w:rsid w:val="00885931"/>
    <w:rsid w:val="00894108"/>
    <w:rsid w:val="008C1C61"/>
    <w:rsid w:val="008E35DA"/>
    <w:rsid w:val="008E4453"/>
    <w:rsid w:val="0090121B"/>
    <w:rsid w:val="009116B9"/>
    <w:rsid w:val="009144C9"/>
    <w:rsid w:val="00916196"/>
    <w:rsid w:val="0092477A"/>
    <w:rsid w:val="009251A6"/>
    <w:rsid w:val="0094091F"/>
    <w:rsid w:val="00973754"/>
    <w:rsid w:val="0097673E"/>
    <w:rsid w:val="00990278"/>
    <w:rsid w:val="00993C44"/>
    <w:rsid w:val="009A137D"/>
    <w:rsid w:val="009C0BED"/>
    <w:rsid w:val="009C1E31"/>
    <w:rsid w:val="009C6F4B"/>
    <w:rsid w:val="009E11EC"/>
    <w:rsid w:val="009F6A67"/>
    <w:rsid w:val="00A0186B"/>
    <w:rsid w:val="00A118DB"/>
    <w:rsid w:val="00A23BCB"/>
    <w:rsid w:val="00A24AC0"/>
    <w:rsid w:val="00A27A5F"/>
    <w:rsid w:val="00A4450C"/>
    <w:rsid w:val="00AA5E6C"/>
    <w:rsid w:val="00AB4E90"/>
    <w:rsid w:val="00AC67CC"/>
    <w:rsid w:val="00AE54F5"/>
    <w:rsid w:val="00AE5677"/>
    <w:rsid w:val="00AE6182"/>
    <w:rsid w:val="00AE658F"/>
    <w:rsid w:val="00AF2F78"/>
    <w:rsid w:val="00B07178"/>
    <w:rsid w:val="00B1727C"/>
    <w:rsid w:val="00B173B3"/>
    <w:rsid w:val="00B257B2"/>
    <w:rsid w:val="00B401B4"/>
    <w:rsid w:val="00B50809"/>
    <w:rsid w:val="00B51263"/>
    <w:rsid w:val="00B52D55"/>
    <w:rsid w:val="00B548C1"/>
    <w:rsid w:val="00B61807"/>
    <w:rsid w:val="00B627DD"/>
    <w:rsid w:val="00B65FDA"/>
    <w:rsid w:val="00B75455"/>
    <w:rsid w:val="00B76F76"/>
    <w:rsid w:val="00B8288C"/>
    <w:rsid w:val="00BD5FE4"/>
    <w:rsid w:val="00BE2E80"/>
    <w:rsid w:val="00BE5EDD"/>
    <w:rsid w:val="00BE6A1F"/>
    <w:rsid w:val="00C126C4"/>
    <w:rsid w:val="00C4428D"/>
    <w:rsid w:val="00C5234A"/>
    <w:rsid w:val="00C614DC"/>
    <w:rsid w:val="00C63EB5"/>
    <w:rsid w:val="00C7022D"/>
    <w:rsid w:val="00C74712"/>
    <w:rsid w:val="00C83C86"/>
    <w:rsid w:val="00C8525A"/>
    <w:rsid w:val="00C858D0"/>
    <w:rsid w:val="00C9358D"/>
    <w:rsid w:val="00CA1F40"/>
    <w:rsid w:val="00CB35C9"/>
    <w:rsid w:val="00CC01E0"/>
    <w:rsid w:val="00CC0E01"/>
    <w:rsid w:val="00CD07B6"/>
    <w:rsid w:val="00CD5FEE"/>
    <w:rsid w:val="00CD663E"/>
    <w:rsid w:val="00CE60D2"/>
    <w:rsid w:val="00CF3174"/>
    <w:rsid w:val="00CF46EA"/>
    <w:rsid w:val="00D0288A"/>
    <w:rsid w:val="00D268CA"/>
    <w:rsid w:val="00D34EFE"/>
    <w:rsid w:val="00D56781"/>
    <w:rsid w:val="00D62080"/>
    <w:rsid w:val="00D67945"/>
    <w:rsid w:val="00D72A5D"/>
    <w:rsid w:val="00D80988"/>
    <w:rsid w:val="00DC629B"/>
    <w:rsid w:val="00DD52F4"/>
    <w:rsid w:val="00E05BFF"/>
    <w:rsid w:val="00E12EFD"/>
    <w:rsid w:val="00E21778"/>
    <w:rsid w:val="00E262F1"/>
    <w:rsid w:val="00E32BEE"/>
    <w:rsid w:val="00E47B44"/>
    <w:rsid w:val="00E71D14"/>
    <w:rsid w:val="00E8097C"/>
    <w:rsid w:val="00E83D45"/>
    <w:rsid w:val="00E94A4A"/>
    <w:rsid w:val="00EB61AD"/>
    <w:rsid w:val="00EC285A"/>
    <w:rsid w:val="00ED6CDF"/>
    <w:rsid w:val="00EE1779"/>
    <w:rsid w:val="00EF0D6D"/>
    <w:rsid w:val="00F0220A"/>
    <w:rsid w:val="00F02C63"/>
    <w:rsid w:val="00F247BB"/>
    <w:rsid w:val="00F26F4E"/>
    <w:rsid w:val="00F31D07"/>
    <w:rsid w:val="00F43A28"/>
    <w:rsid w:val="00F54E0E"/>
    <w:rsid w:val="00F606A0"/>
    <w:rsid w:val="00F62584"/>
    <w:rsid w:val="00F62AB3"/>
    <w:rsid w:val="00F63177"/>
    <w:rsid w:val="00F66597"/>
    <w:rsid w:val="00F70456"/>
    <w:rsid w:val="00F7212F"/>
    <w:rsid w:val="00F73BE6"/>
    <w:rsid w:val="00F8150C"/>
    <w:rsid w:val="00F93BB2"/>
    <w:rsid w:val="00FA4CCB"/>
    <w:rsid w:val="00FB2D1F"/>
    <w:rsid w:val="00FC2387"/>
    <w:rsid w:val="00FC3528"/>
    <w:rsid w:val="00FC68C6"/>
    <w:rsid w:val="00FD5C8C"/>
    <w:rsid w:val="00FE161E"/>
    <w:rsid w:val="00FE4574"/>
    <w:rsid w:val="00FE5CC0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894108"/>
    <w:rPr>
      <w:color w:val="0000FF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894108"/>
    <w:rPr>
      <w:rFonts w:asciiTheme="minorHAnsi" w:eastAsia="Calibr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9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D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6D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9247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477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d19769-4c40-4383-be22-ce32db27936f" targetNamespace="http://schemas.microsoft.com/office/2006/metadata/properties" ma:root="true" ma:fieldsID="d41af5c836d734370eb92e7ee5f83852" ns2:_="" ns3:_="">
    <xsd:import namespace="996b2e75-67fd-4955-a3b0-5ab9934cb50b"/>
    <xsd:import namespace="17d19769-4c40-4383-be22-ce32db2793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9769-4c40-4383-be22-ce32db2793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d19769-4c40-4383-be22-ce32db27936f">Documents Proposals Manager (DPM)</DPM_x0020_Author>
    <DPM_x0020_File_x0020_name xmlns="17d19769-4c40-4383-be22-ce32db27936f">T13-WTSA.16-C-0047!!MSW-S</DPM_x0020_File_x0020_name>
    <DPM_x0020_Version xmlns="17d19769-4c40-4383-be22-ce32db27936f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d19769-4c40-4383-be22-ce32db279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17d19769-4c40-4383-be22-ce32db27936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B47DDC-A698-455C-A2E5-ABB6C6DE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1059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T13-WTSA.16-C-0047!!MSW-S</vt:lpstr>
    </vt:vector>
  </TitlesOfParts>
  <Manager>Secretaría General - Pool</Manager>
  <Company>International Telecommunication Union (ITU)</Company>
  <LinksUpToDate>false</LinksUpToDate>
  <CharactersWithSpaces>5983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Callejon, Miguel</cp:lastModifiedBy>
  <cp:revision>5</cp:revision>
  <cp:lastPrinted>2016-10-24T12:28:00Z</cp:lastPrinted>
  <dcterms:created xsi:type="dcterms:W3CDTF">2016-10-24T14:46:00Z</dcterms:created>
  <dcterms:modified xsi:type="dcterms:W3CDTF">2016-10-24T15:34:00Z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