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611B8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611B8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611B8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611B8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611B8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611B8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611B8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611B8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B647FB" w:rsidRDefault="00B647FB" w:rsidP="00B647F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Révision 1 du</w:t>
            </w:r>
          </w:p>
          <w:p w:rsidR="00C26BA2" w:rsidRPr="00B647FB" w:rsidRDefault="00B647FB" w:rsidP="00B647F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 </w:t>
            </w:r>
            <w:r w:rsidR="00C26BA2">
              <w:rPr>
                <w:rFonts w:ascii="Verdana" w:hAnsi="Verdana"/>
                <w:b/>
                <w:sz w:val="20"/>
                <w:lang w:val="en-US"/>
              </w:rPr>
              <w:t>47</w:t>
            </w:r>
            <w:r w:rsidR="00C26BA2"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C26BA2"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611B8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B647FB" w:rsidP="00B647FB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>20</w:t>
            </w:r>
            <w:r w:rsidR="00C26BA2" w:rsidRPr="002A6F8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n-US"/>
              </w:rPr>
              <w:t>octobre</w:t>
            </w:r>
            <w:r w:rsidR="00C26BA2" w:rsidRPr="002A6F8F"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611B8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611B8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611B8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8F23DE" w:rsidTr="00530525">
        <w:trPr>
          <w:cantSplit/>
        </w:trPr>
        <w:tc>
          <w:tcPr>
            <w:tcW w:w="9811" w:type="dxa"/>
            <w:gridSpan w:val="4"/>
          </w:tcPr>
          <w:p w:rsidR="00595780" w:rsidRPr="00962FC3" w:rsidRDefault="00C26BA2" w:rsidP="00611B85">
            <w:pPr>
              <w:pStyle w:val="Source"/>
              <w:rPr>
                <w:lang w:val="fr-CH"/>
              </w:rPr>
            </w:pPr>
            <w:r w:rsidRPr="00962FC3">
              <w:rPr>
                <w:lang w:val="fr-CH"/>
              </w:rPr>
              <w:t>Etats Membres de l'UIT, membres de la Communauté régionale des communications (RCC)</w:t>
            </w:r>
          </w:p>
        </w:tc>
      </w:tr>
      <w:tr w:rsidR="00595780" w:rsidRPr="008F23DE" w:rsidTr="00530525">
        <w:trPr>
          <w:cantSplit/>
        </w:trPr>
        <w:tc>
          <w:tcPr>
            <w:tcW w:w="9811" w:type="dxa"/>
            <w:gridSpan w:val="4"/>
          </w:tcPr>
          <w:p w:rsidR="00595780" w:rsidRPr="00611B85" w:rsidRDefault="00932352" w:rsidP="00611B85">
            <w:pPr>
              <w:pStyle w:val="Title1"/>
              <w:rPr>
                <w:lang w:val="fr-CH"/>
              </w:rPr>
            </w:pPr>
            <w:r w:rsidRPr="00611B85">
              <w:rPr>
                <w:color w:val="000000"/>
                <w:lang w:val="fr-CH"/>
              </w:rPr>
              <w:t>PROPOSITIONS COMMUNES POUR LES TRAVAUX DE L'ASSEMBLÉE</w:t>
            </w:r>
          </w:p>
        </w:tc>
      </w:tr>
      <w:tr w:rsidR="00595780" w:rsidRPr="008F23DE" w:rsidTr="00530525">
        <w:trPr>
          <w:cantSplit/>
        </w:trPr>
        <w:tc>
          <w:tcPr>
            <w:tcW w:w="9811" w:type="dxa"/>
            <w:gridSpan w:val="4"/>
          </w:tcPr>
          <w:p w:rsidR="00595780" w:rsidRPr="00611B85" w:rsidRDefault="00595780" w:rsidP="00FD248E">
            <w:pPr>
              <w:pStyle w:val="Title2"/>
              <w:spacing w:before="0"/>
              <w:rPr>
                <w:lang w:val="fr-CH"/>
              </w:rPr>
            </w:pPr>
          </w:p>
        </w:tc>
      </w:tr>
      <w:tr w:rsidR="00C26BA2" w:rsidRPr="008F23DE" w:rsidTr="00530525">
        <w:trPr>
          <w:cantSplit/>
        </w:trPr>
        <w:tc>
          <w:tcPr>
            <w:tcW w:w="9811" w:type="dxa"/>
            <w:gridSpan w:val="4"/>
          </w:tcPr>
          <w:p w:rsidR="00C26BA2" w:rsidRPr="00611B85" w:rsidRDefault="00C26BA2" w:rsidP="00611B85">
            <w:pPr>
              <w:pStyle w:val="Agendaitem"/>
              <w:rPr>
                <w:lang w:val="fr-CH"/>
              </w:rPr>
            </w:pPr>
          </w:p>
        </w:tc>
      </w:tr>
    </w:tbl>
    <w:p w:rsidR="00E11197" w:rsidRPr="00611B85" w:rsidRDefault="00E11197" w:rsidP="00611B85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8F23DE" w:rsidTr="00193AD1">
        <w:trPr>
          <w:cantSplit/>
        </w:trPr>
        <w:tc>
          <w:tcPr>
            <w:tcW w:w="1951" w:type="dxa"/>
          </w:tcPr>
          <w:p w:rsidR="00E11197" w:rsidRPr="00426748" w:rsidRDefault="00E11197" w:rsidP="00611B85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611B85" w:rsidRDefault="00932352" w:rsidP="00611B85">
                <w:pPr>
                  <w:rPr>
                    <w:color w:val="000000" w:themeColor="text1"/>
                    <w:lang w:val="fr-CH"/>
                  </w:rPr>
                </w:pPr>
                <w:r w:rsidRPr="00611B85">
                  <w:rPr>
                    <w:lang w:val="fr-CH"/>
                  </w:rPr>
                  <w:t>On trouvera dans la présente contribution la liste des propositions communes des pays membres de la RCC à l'AMNT-16.</w:t>
                </w:r>
              </w:p>
            </w:tc>
          </w:sdtContent>
        </w:sdt>
      </w:tr>
    </w:tbl>
    <w:p w:rsidR="00962FC3" w:rsidRPr="00962FC3" w:rsidRDefault="00962FC3" w:rsidP="00611B85">
      <w:pPr>
        <w:pStyle w:val="Headingb"/>
      </w:pPr>
      <w:r w:rsidRPr="00962FC3">
        <w:t>Introduction</w:t>
      </w:r>
    </w:p>
    <w:p w:rsidR="00962FC3" w:rsidRDefault="00962FC3" w:rsidP="00611B85">
      <w:pPr>
        <w:rPr>
          <w:lang w:val="fr-CH"/>
        </w:rPr>
      </w:pPr>
      <w:r w:rsidRPr="00F1595E">
        <w:rPr>
          <w:lang w:val="fr-CH"/>
        </w:rPr>
        <w:t>Dans le cadre de l'examen de l'organisation des travaux du Secteur de la normalisation des télécommunications de l'UIT (UIT-T), les Etats Membres de l'UIT dont les administrations sont membres de la Communauté régionale des communications (RCC) soumettent les propositions suivantes pour les travaux de l'Assemblée mondiale de normalisation</w:t>
      </w:r>
      <w:r w:rsidR="00932352">
        <w:rPr>
          <w:lang w:val="fr-CH"/>
        </w:rPr>
        <w:t xml:space="preserve"> des télécommunications (AMNT-16</w:t>
      </w:r>
      <w:r w:rsidRPr="00F1595E">
        <w:rPr>
          <w:lang w:val="fr-CH"/>
        </w:rPr>
        <w:t>).</w:t>
      </w:r>
    </w:p>
    <w:p w:rsidR="00E16D28" w:rsidRDefault="00EF1AED" w:rsidP="00B8079B">
      <w:pPr>
        <w:rPr>
          <w:lang w:val="fr-CH"/>
        </w:rPr>
      </w:pPr>
      <w:r>
        <w:rPr>
          <w:lang w:val="fr-CH"/>
        </w:rPr>
        <w:t>Veuillez noter que la proposition soumise par la République du Kazakhstan</w:t>
      </w:r>
      <w:r w:rsidR="00E97C21">
        <w:rPr>
          <w:lang w:val="fr-CH"/>
        </w:rPr>
        <w:t>,</w:t>
      </w:r>
      <w:r w:rsidR="00E16D28">
        <w:rPr>
          <w:lang w:val="fr-CH"/>
        </w:rPr>
        <w:t xml:space="preserve"> </w:t>
      </w:r>
      <w:r>
        <w:rPr>
          <w:lang w:val="fr-CH"/>
        </w:rPr>
        <w:t>figu</w:t>
      </w:r>
      <w:r w:rsidR="00E16D28">
        <w:rPr>
          <w:lang w:val="fr-CH"/>
        </w:rPr>
        <w:t>rant dans le Document 54</w:t>
      </w:r>
      <w:r w:rsidR="00E97C21">
        <w:rPr>
          <w:lang w:val="fr-CH"/>
        </w:rPr>
        <w:t>,</w:t>
      </w:r>
      <w:r>
        <w:rPr>
          <w:lang w:val="fr-CH"/>
        </w:rPr>
        <w:t xml:space="preserve"> a été adoptée en tant que proposition com</w:t>
      </w:r>
      <w:r w:rsidR="00E16D28">
        <w:rPr>
          <w:lang w:val="fr-CH"/>
        </w:rPr>
        <w:t>mune des pays membres de la RCC.</w:t>
      </w:r>
    </w:p>
    <w:p w:rsidR="00E16D28" w:rsidRDefault="00E16D28" w:rsidP="00E16D28">
      <w:pPr>
        <w:spacing w:line="480" w:lineRule="auto"/>
        <w:rPr>
          <w:lang w:val="fr-CH"/>
        </w:rPr>
      </w:pPr>
    </w:p>
    <w:p w:rsidR="00E16D28" w:rsidRDefault="00E16D28" w:rsidP="00E16D28">
      <w:pPr>
        <w:spacing w:line="480" w:lineRule="auto"/>
        <w:rPr>
          <w:lang w:val="fr-CH"/>
        </w:rPr>
      </w:pPr>
    </w:p>
    <w:p w:rsidR="00E16D28" w:rsidRDefault="00E16D28" w:rsidP="00E16D28">
      <w:pPr>
        <w:spacing w:line="480" w:lineRule="auto"/>
        <w:rPr>
          <w:lang w:val="fr-CH"/>
        </w:rPr>
      </w:pPr>
    </w:p>
    <w:p w:rsidR="00962FC3" w:rsidRPr="00962FC3" w:rsidRDefault="00962FC3" w:rsidP="00E16D28">
      <w:pPr>
        <w:spacing w:line="480" w:lineRule="auto"/>
        <w:rPr>
          <w:lang w:val="fr-CH"/>
        </w:rPr>
      </w:pPr>
      <w:r w:rsidRPr="00962FC3">
        <w:rPr>
          <w:b/>
          <w:bCs/>
          <w:lang w:val="fr-CH"/>
        </w:rPr>
        <w:t>Annexe</w:t>
      </w:r>
      <w:r w:rsidRPr="00962FC3">
        <w:rPr>
          <w:lang w:val="fr-CH"/>
        </w:rPr>
        <w:t>:</w:t>
      </w:r>
      <w:r>
        <w:rPr>
          <w:lang w:val="fr-CH"/>
        </w:rPr>
        <w:t xml:space="preserve"> 1</w:t>
      </w:r>
    </w:p>
    <w:p w:rsidR="00962FC3" w:rsidRDefault="00962FC3" w:rsidP="00611B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  <w:sectPr w:rsidR="00962FC3" w:rsidSect="0039169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255359" w:rsidRPr="00255359" w:rsidRDefault="00255359" w:rsidP="00110198">
      <w:pPr>
        <w:pStyle w:val="AnnexNo"/>
        <w:rPr>
          <w:b/>
          <w:lang w:val="fr-CH"/>
        </w:rPr>
      </w:pPr>
      <w:r w:rsidRPr="00255359">
        <w:rPr>
          <w:lang w:val="fr-CH"/>
        </w:rPr>
        <w:lastRenderedPageBreak/>
        <w:t>ANNEXE</w:t>
      </w:r>
    </w:p>
    <w:p w:rsidR="00E577B4" w:rsidRPr="00F1595E" w:rsidRDefault="00E577B4" w:rsidP="00110198">
      <w:pPr>
        <w:pStyle w:val="Annextitle"/>
        <w:rPr>
          <w:lang w:val="fr-CH"/>
        </w:rPr>
      </w:pPr>
      <w:r w:rsidRPr="00F1595E">
        <w:rPr>
          <w:lang w:val="fr-CH"/>
        </w:rPr>
        <w:t>Pays membres de la RCC appuyant les propositions commun</w:t>
      </w:r>
      <w:r w:rsidR="00932352">
        <w:rPr>
          <w:lang w:val="fr-CH"/>
        </w:rPr>
        <w:t>es pour les travaux de l'AMNT-16</w:t>
      </w:r>
    </w:p>
    <w:tbl>
      <w:tblPr>
        <w:tblStyle w:val="TableGrid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9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E577B4" w:rsidRPr="00491A6C" w:rsidTr="002A5B61">
        <w:trPr>
          <w:cantSplit/>
          <w:trHeight w:val="1701"/>
          <w:tblHeader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7B4" w:rsidRPr="00F1595E" w:rsidRDefault="00E577B4" w:rsidP="00611B85">
            <w:pPr>
              <w:pStyle w:val="Tablehead"/>
              <w:rPr>
                <w:lang w:val="fr-CH"/>
              </w:rPr>
            </w:pPr>
            <w:r w:rsidRPr="00F1595E">
              <w:rPr>
                <w:lang w:val="fr-CH"/>
              </w:rPr>
              <w:t>Addendum au Document RCC 44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7B4" w:rsidRPr="00F1595E" w:rsidRDefault="00E577B4" w:rsidP="00611B85">
            <w:pPr>
              <w:pStyle w:val="Tablehead"/>
              <w:rPr>
                <w:lang w:val="fr-CH"/>
              </w:rPr>
            </w:pPr>
            <w:r w:rsidRPr="00F1595E">
              <w:rPr>
                <w:lang w:val="fr-CH"/>
              </w:rPr>
              <w:t>Intitulé de la proposition de la RCC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932352" w:rsidP="00110198">
            <w:pPr>
              <w:pStyle w:val="Tablehead"/>
              <w:ind w:left="113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>Azerbaïdjan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932352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Arménie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932352" w:rsidP="00110198">
            <w:pPr>
              <w:pStyle w:val="Tablehead"/>
              <w:ind w:left="113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Bélarus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932352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Géorgie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CD5077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Kazakhstan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CD5077" w:rsidP="00110198">
            <w:pPr>
              <w:pStyle w:val="Tablehead"/>
              <w:ind w:left="113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>Kirghizistan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CD5077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Mold</w:t>
            </w:r>
            <w:r w:rsidR="00611B85">
              <w:rPr>
                <w:color w:val="000000"/>
              </w:rPr>
              <w:t>av</w:t>
            </w:r>
            <w:r w:rsidR="00110198">
              <w:rPr>
                <w:color w:val="000000"/>
              </w:rPr>
              <w:t>a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E577B4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en-US"/>
              </w:rPr>
              <w:t>Russi</w:t>
            </w:r>
            <w:r w:rsidR="00A32FC5">
              <w:rPr>
                <w:color w:val="000000"/>
                <w:lang w:val="en-US"/>
              </w:rPr>
              <w:t>e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CD5077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Tadjikistan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CD5077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Turkménistan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CD5077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Ouzbékistan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577B4" w:rsidRPr="00491A6C" w:rsidRDefault="00CD5077" w:rsidP="00110198">
            <w:pPr>
              <w:pStyle w:val="Tablehead"/>
              <w:ind w:left="113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>Ukraine</w:t>
            </w:r>
          </w:p>
        </w:tc>
      </w:tr>
      <w:tr w:rsidR="00E577B4" w:rsidRPr="008F23DE" w:rsidTr="002A5B61">
        <w:trPr>
          <w:trHeight w:val="265"/>
          <w:jc w:val="center"/>
        </w:trPr>
        <w:tc>
          <w:tcPr>
            <w:tcW w:w="1668" w:type="dxa"/>
            <w:tcBorders>
              <w:right w:val="nil"/>
            </w:tcBorders>
            <w:shd w:val="clear" w:color="auto" w:fill="FFFFCC"/>
            <w:vAlign w:val="center"/>
          </w:tcPr>
          <w:p w:rsidR="00E577B4" w:rsidRPr="00491A6C" w:rsidRDefault="00E577B4" w:rsidP="00611B85">
            <w:pPr>
              <w:pStyle w:val="Tablehead"/>
              <w:rPr>
                <w:color w:val="000000"/>
                <w:lang w:val="ru-RU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FFFFCC"/>
          </w:tcPr>
          <w:p w:rsidR="00E577B4" w:rsidRPr="00611B85" w:rsidRDefault="00E577B4" w:rsidP="00611B85">
            <w:pPr>
              <w:pStyle w:val="Tablehead"/>
              <w:rPr>
                <w:color w:val="000000"/>
                <w:lang w:val="fr-CH"/>
              </w:rPr>
            </w:pPr>
            <w:r w:rsidRPr="00611B85">
              <w:rPr>
                <w:color w:val="000000"/>
                <w:lang w:val="fr-CH"/>
              </w:rPr>
              <w:t>I. </w:t>
            </w:r>
            <w:r w:rsidR="00CD5077" w:rsidRPr="00611B85">
              <w:rPr>
                <w:color w:val="000000"/>
                <w:lang w:val="fr-CH"/>
              </w:rPr>
              <w:t>Méthodes de travail</w:t>
            </w:r>
            <w:r w:rsidRPr="00611B85">
              <w:rPr>
                <w:color w:val="000000"/>
                <w:lang w:val="fr-CH"/>
              </w:rPr>
              <w:t xml:space="preserve"> (COM3)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FFFFCC"/>
            <w:vAlign w:val="center"/>
          </w:tcPr>
          <w:p w:rsidR="00E577B4" w:rsidRPr="00611B85" w:rsidRDefault="00E577B4" w:rsidP="00611B85">
            <w:pPr>
              <w:pStyle w:val="Tablehead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en-US"/>
              </w:rPr>
            </w:pPr>
            <w:r w:rsidRPr="00491A6C">
              <w:rPr>
                <w:color w:val="000000"/>
                <w:lang w:val="en-US"/>
              </w:rPr>
              <w:t>1</w:t>
            </w:r>
          </w:p>
        </w:tc>
        <w:tc>
          <w:tcPr>
            <w:tcW w:w="5695" w:type="dxa"/>
            <w:shd w:val="clear" w:color="auto" w:fill="auto"/>
          </w:tcPr>
          <w:p w:rsidR="00124AFD" w:rsidRPr="00E577B4" w:rsidRDefault="00124AFD" w:rsidP="00124AFD">
            <w:pPr>
              <w:pStyle w:val="Tabletext"/>
              <w:rPr>
                <w:lang w:val="fr-CH"/>
              </w:rPr>
            </w:pPr>
            <w:r w:rsidRPr="00E577B4">
              <w:rPr>
                <w:lang w:val="fr-CH"/>
              </w:rPr>
              <w:t>Révision de la Résolution 1 "</w:t>
            </w:r>
            <w:r w:rsidRPr="00111C62">
              <w:rPr>
                <w:lang w:val="fr-CH"/>
              </w:rPr>
              <w:t>Règlement intérieur du Secteur de la normalisation</w:t>
            </w:r>
            <w:r>
              <w:rPr>
                <w:lang w:val="fr-CH"/>
              </w:rPr>
              <w:t xml:space="preserve"> </w:t>
            </w:r>
            <w:r w:rsidRPr="00111C62">
              <w:rPr>
                <w:lang w:val="fr-CH"/>
              </w:rPr>
              <w:t>des télécommunications de l'UIT</w:t>
            </w:r>
            <w:r w:rsidRPr="00E577B4">
              <w:rPr>
                <w:lang w:val="fr-CH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en-US"/>
              </w:rPr>
              <w:t>2</w:t>
            </w:r>
          </w:p>
        </w:tc>
        <w:tc>
          <w:tcPr>
            <w:tcW w:w="5695" w:type="dxa"/>
          </w:tcPr>
          <w:p w:rsidR="00124AFD" w:rsidRPr="00E577B4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E577B4">
              <w:rPr>
                <w:lang w:val="fr-CH"/>
              </w:rPr>
              <w:t>Révision de la Ré</w:t>
            </w:r>
            <w:r>
              <w:rPr>
                <w:lang w:val="fr-CH"/>
              </w:rPr>
              <w:t xml:space="preserve">solution </w:t>
            </w:r>
            <w:r w:rsidRPr="00E577B4">
              <w:rPr>
                <w:color w:val="000000"/>
                <w:lang w:val="fr-CH"/>
              </w:rPr>
              <w:t xml:space="preserve">7 "Collaboration </w:t>
            </w:r>
            <w:r w:rsidRPr="006024D9">
              <w:rPr>
                <w:lang w:val="fr-CH"/>
              </w:rPr>
              <w:t>avec l'Organisation internationale de normalisation et la Commission électrotechnique internationale</w:t>
            </w:r>
            <w:r w:rsidRPr="00E577B4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3</w:t>
            </w:r>
          </w:p>
        </w:tc>
        <w:tc>
          <w:tcPr>
            <w:tcW w:w="5695" w:type="dxa"/>
          </w:tcPr>
          <w:p w:rsidR="00124AFD" w:rsidRPr="00E577B4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E577B4">
              <w:rPr>
                <w:lang w:val="fr-CH"/>
              </w:rPr>
              <w:t xml:space="preserve">Révision de la Résolution </w:t>
            </w:r>
            <w:r w:rsidRPr="00E577B4">
              <w:rPr>
                <w:color w:val="000000"/>
                <w:lang w:val="fr-CH"/>
              </w:rPr>
              <w:t>18 "</w:t>
            </w:r>
            <w:r w:rsidRPr="002F5902">
              <w:rPr>
                <w:lang w:val="fr-FR"/>
              </w:rPr>
              <w:t>Principes et procédures applicables à la répartition des tâches et à la coordination entre le Sec</w:t>
            </w:r>
            <w:r>
              <w:rPr>
                <w:lang w:val="fr-FR"/>
              </w:rPr>
              <w:t xml:space="preserve">teur des radiocommunications de </w:t>
            </w:r>
            <w:r w:rsidRPr="002F5902">
              <w:rPr>
                <w:lang w:val="fr-FR"/>
              </w:rPr>
              <w:t>l'UIT et le Secteur de la normalisation des</w:t>
            </w:r>
            <w:r>
              <w:rPr>
                <w:lang w:val="fr-FR"/>
              </w:rPr>
              <w:t xml:space="preserve"> </w:t>
            </w:r>
            <w:r w:rsidRPr="002F5902">
              <w:rPr>
                <w:lang w:val="fr-FR"/>
              </w:rPr>
              <w:t>télécommunications de l'UIT</w:t>
            </w:r>
            <w:r w:rsidRPr="00E577B4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4</w:t>
            </w:r>
          </w:p>
        </w:tc>
        <w:tc>
          <w:tcPr>
            <w:tcW w:w="5695" w:type="dxa"/>
          </w:tcPr>
          <w:p w:rsidR="00124AFD" w:rsidRPr="00E577B4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E577B4">
              <w:rPr>
                <w:lang w:val="fr-CH"/>
              </w:rPr>
              <w:t xml:space="preserve">Révision de la Résolution </w:t>
            </w:r>
            <w:r w:rsidRPr="00E577B4">
              <w:rPr>
                <w:color w:val="000000"/>
                <w:lang w:val="fr-CH"/>
              </w:rPr>
              <w:t>57 "</w:t>
            </w:r>
            <w:r w:rsidRPr="000A3C7B">
              <w:rPr>
                <w:lang w:val="fr-CH"/>
              </w:rPr>
              <w:t>Renforcer la coordination et la coopération entre les trois Secteurs de l'UIT sur des questions d'intérêt mutuel</w:t>
            </w:r>
            <w:r w:rsidRPr="00E577B4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5</w:t>
            </w:r>
          </w:p>
        </w:tc>
        <w:tc>
          <w:tcPr>
            <w:tcW w:w="5695" w:type="dxa"/>
          </w:tcPr>
          <w:p w:rsidR="00124AFD" w:rsidRPr="00E577B4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E577B4">
              <w:rPr>
                <w:lang w:val="fr-CH"/>
              </w:rPr>
              <w:t xml:space="preserve">Révision de la Résolution </w:t>
            </w:r>
            <w:r w:rsidRPr="00E577B4">
              <w:rPr>
                <w:color w:val="000000"/>
                <w:lang w:val="fr-CH"/>
              </w:rPr>
              <w:t>67 "</w:t>
            </w:r>
            <w:r w:rsidRPr="00FA69B9">
              <w:rPr>
                <w:lang w:val="fr-FR"/>
              </w:rPr>
              <w:t>Utilisation des six langues officielles de l'Union sur un pied d'égalité au sein de l'UIT-T</w:t>
            </w:r>
            <w:r w:rsidRPr="00E577B4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E577B4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124AFD" w:rsidRPr="00E577B4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24AFD" w:rsidRPr="00611B85" w:rsidRDefault="00124AFD" w:rsidP="00124AFD">
            <w:pPr>
              <w:pStyle w:val="Tablehead"/>
              <w:rPr>
                <w:lang w:val="fr-CH"/>
              </w:rPr>
            </w:pPr>
            <w:r w:rsidRPr="00611B85">
              <w:rPr>
                <w:lang w:val="fr-CH"/>
              </w:rPr>
              <w:t>II. Programme de travail et structure des commissions d'études (COM4)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right w:val="nil"/>
            </w:tcBorders>
            <w:shd w:val="clear" w:color="auto" w:fill="DAEEF3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/>
          </w:tcPr>
          <w:p w:rsidR="00124AFD" w:rsidRPr="00611B85" w:rsidRDefault="00124AFD" w:rsidP="00124AFD">
            <w:pPr>
              <w:pStyle w:val="Tablehead"/>
              <w:rPr>
                <w:lang w:val="fr-CH"/>
              </w:rPr>
            </w:pPr>
            <w:r w:rsidRPr="00611B85">
              <w:rPr>
                <w:lang w:val="fr-CH"/>
              </w:rPr>
              <w:t>Future structure des commissions d'études de l'UIT-T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6</w:t>
            </w:r>
          </w:p>
        </w:tc>
        <w:tc>
          <w:tcPr>
            <w:tcW w:w="5695" w:type="dxa"/>
          </w:tcPr>
          <w:p w:rsidR="00124AFD" w:rsidRPr="008D779E" w:rsidRDefault="00124AFD" w:rsidP="00124AFD">
            <w:pPr>
              <w:pStyle w:val="Tabletext"/>
              <w:rPr>
                <w:color w:val="000000"/>
                <w:lang w:val="fr-CH"/>
              </w:rPr>
            </w:pPr>
            <w:r>
              <w:rPr>
                <w:lang w:val="fr-CH"/>
              </w:rPr>
              <w:t>Structure des commissions d'études de l'UIT-T</w:t>
            </w: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7</w:t>
            </w:r>
          </w:p>
        </w:tc>
        <w:tc>
          <w:tcPr>
            <w:tcW w:w="5695" w:type="dxa"/>
          </w:tcPr>
          <w:p w:rsidR="00124AFD" w:rsidRPr="008D779E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764314">
              <w:rPr>
                <w:lang w:val="fr-CH"/>
              </w:rPr>
              <w:t>Cessation des activités</w:t>
            </w:r>
            <w:r>
              <w:rPr>
                <w:lang w:val="fr-CH"/>
              </w:rPr>
              <w:t xml:space="preserve"> du Comité d'</w:t>
            </w:r>
            <w:r w:rsidRPr="00764314">
              <w:rPr>
                <w:lang w:val="fr-CH"/>
              </w:rPr>
              <w:t>examen</w:t>
            </w: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8D779E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E577B4">
              <w:rPr>
                <w:lang w:val="fr-CH"/>
              </w:rPr>
              <w:t xml:space="preserve">Révision de la Résolution </w:t>
            </w:r>
            <w:r w:rsidRPr="008D779E">
              <w:rPr>
                <w:color w:val="000000"/>
                <w:lang w:val="fr-CH"/>
              </w:rPr>
              <w:t>54 "</w:t>
            </w:r>
            <w:r w:rsidRPr="000C3E28">
              <w:rPr>
                <w:lang w:val="fr-FR"/>
              </w:rPr>
              <w:t>Création de Groupes régionaux et assistance à ces groupes</w:t>
            </w:r>
            <w:r w:rsidRPr="008D779E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491A6C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124AFD" w:rsidRPr="00491A6C" w:rsidRDefault="00124AFD" w:rsidP="00124AFD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Questions relatives au SMSI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9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8D779E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E577B4">
              <w:rPr>
                <w:lang w:val="fr-CH"/>
              </w:rPr>
              <w:t xml:space="preserve">Révision de la Résolution </w:t>
            </w:r>
            <w:r w:rsidRPr="008D779E">
              <w:rPr>
                <w:color w:val="000000"/>
                <w:lang w:val="fr-CH"/>
              </w:rPr>
              <w:t>75 "</w:t>
            </w:r>
            <w:r w:rsidRPr="003E77ED">
              <w:rPr>
                <w:lang w:val="fr-CH"/>
              </w:rPr>
              <w:t xml:space="preserve">Contribution du Secteur de la normalisation des télécommunications de l'UIT </w:t>
            </w:r>
            <w:r>
              <w:rPr>
                <w:lang w:val="fr-CH"/>
              </w:rPr>
              <w:t>à la mise en oe</w:t>
            </w:r>
            <w:r w:rsidRPr="003E77ED">
              <w:rPr>
                <w:lang w:val="fr-CH"/>
              </w:rPr>
              <w:t>uvre des résultats du Sommet mondial sur la société</w:t>
            </w:r>
            <w:r>
              <w:rPr>
                <w:lang w:val="fr-CH"/>
              </w:rPr>
              <w:t xml:space="preserve"> </w:t>
            </w:r>
            <w:r w:rsidRPr="003E77ED">
              <w:rPr>
                <w:lang w:val="fr-CH"/>
              </w:rPr>
              <w:t>de l'information</w:t>
            </w:r>
            <w:r w:rsidRPr="008D779E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24AFD" w:rsidRPr="008D779E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124AFD" w:rsidRPr="00611B85" w:rsidRDefault="00124AFD" w:rsidP="00124AFD">
            <w:pPr>
              <w:pStyle w:val="Tablehead"/>
              <w:rPr>
                <w:lang w:val="fr-CH"/>
              </w:rPr>
            </w:pPr>
            <w:r w:rsidRPr="00611B85">
              <w:rPr>
                <w:lang w:val="fr-CH"/>
              </w:rPr>
              <w:t>Conformité et interopérabilité (C&amp;I)</w:t>
            </w:r>
            <w:r w:rsidRPr="00611B85">
              <w:rPr>
                <w:lang w:val="fr-CH"/>
              </w:rPr>
              <w:br/>
              <w:t>Lutte contre les produits de contrefaçon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10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124AFD" w:rsidRPr="00FC3F79" w:rsidRDefault="00124AFD" w:rsidP="00124AFD">
            <w:pPr>
              <w:pStyle w:val="Tabletext"/>
              <w:rPr>
                <w:lang w:val="fr-CH"/>
              </w:rPr>
            </w:pPr>
            <w:r w:rsidRPr="00CA72DF">
              <w:rPr>
                <w:lang w:val="fr-CH"/>
              </w:rPr>
              <w:t>Projet de nouvelle Résolution</w:t>
            </w:r>
            <w:r>
              <w:rPr>
                <w:lang w:val="fr-CH"/>
              </w:rPr>
              <w:t xml:space="preserve"> de l'AMNT </w:t>
            </w:r>
            <w:r w:rsidRPr="00FC3F79">
              <w:rPr>
                <w:color w:val="000000"/>
                <w:lang w:val="fr-CH"/>
              </w:rPr>
              <w:t>"</w:t>
            </w:r>
            <w:r>
              <w:rPr>
                <w:lang w:val="fr-CH"/>
              </w:rPr>
              <w:t>L</w:t>
            </w:r>
            <w:r w:rsidRPr="00CA72DF">
              <w:rPr>
                <w:lang w:val="fr-CH"/>
              </w:rPr>
              <w:t>utter contre le vol de dispositifs mobiles au moyen de</w:t>
            </w:r>
            <w:r>
              <w:rPr>
                <w:lang w:val="fr-CH"/>
              </w:rPr>
              <w:t xml:space="preserve"> </w:t>
            </w:r>
            <w:r w:rsidRPr="00CA72DF">
              <w:rPr>
                <w:lang w:val="fr-CH"/>
              </w:rPr>
              <w:t xml:space="preserve">technologies </w:t>
            </w:r>
            <w:r>
              <w:rPr>
                <w:lang w:val="fr-CH"/>
              </w:rPr>
              <w:t>modernes</w:t>
            </w:r>
            <w:r w:rsidRPr="00CA72DF">
              <w:rPr>
                <w:lang w:val="fr-CH"/>
              </w:rPr>
              <w:t xml:space="preserve"> de l'information et de la communication</w:t>
            </w:r>
            <w:r w:rsidRPr="00FC3F79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11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124AFD" w:rsidRPr="00FC3F79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CA72DF">
              <w:rPr>
                <w:lang w:val="fr-CH"/>
              </w:rPr>
              <w:t>Projet de nouvelle Résolution</w:t>
            </w:r>
            <w:r>
              <w:rPr>
                <w:lang w:val="fr-CH"/>
              </w:rPr>
              <w:t xml:space="preserve"> de l'AMNT</w:t>
            </w:r>
            <w:r w:rsidRPr="00CA72DF">
              <w:rPr>
                <w:lang w:val="fr-CH"/>
              </w:rPr>
              <w:t xml:space="preserve"> </w:t>
            </w:r>
            <w:r w:rsidRPr="00FC3F79">
              <w:rPr>
                <w:color w:val="000000"/>
                <w:lang w:val="fr-CH"/>
              </w:rPr>
              <w:t>"</w:t>
            </w:r>
            <w:r w:rsidRPr="000505BC">
              <w:rPr>
                <w:lang w:val="fr-CH"/>
              </w:rPr>
              <w:t>Etudes relatives à la lutte contre la contrefaçon de produits, y compris de dispositifs de télécommunication/TIC</w:t>
            </w:r>
            <w:r w:rsidRPr="00FC3F79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12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FC3F79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FC3F79">
              <w:rPr>
                <w:lang w:val="fr-CH"/>
              </w:rPr>
              <w:t xml:space="preserve">Révision de la Résolution </w:t>
            </w:r>
            <w:r w:rsidRPr="00FC3F79">
              <w:rPr>
                <w:color w:val="000000"/>
                <w:lang w:val="fr-CH"/>
              </w:rPr>
              <w:t>76 "</w:t>
            </w:r>
            <w:r w:rsidRPr="003D5758">
              <w:rPr>
                <w:lang w:val="fr-CH"/>
              </w:rPr>
              <w:t>Etudes relatives aux tests de conformité et d'interopérabilité, assistance aux pays en développement et futur programme éventuel de marque UIT</w:t>
            </w:r>
            <w:r w:rsidRPr="00FC3F79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FC3F79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491A6C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24AFD" w:rsidRPr="00FC3F79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124AFD" w:rsidRPr="00491A6C" w:rsidRDefault="00124AFD" w:rsidP="00124AFD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Gestion des ressources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13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124AFD" w:rsidRPr="00522CB0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CA72DF">
              <w:rPr>
                <w:lang w:val="fr-CH"/>
              </w:rPr>
              <w:t>Projet de nouvelle Résolution</w:t>
            </w:r>
            <w:r>
              <w:rPr>
                <w:lang w:val="fr-CH"/>
              </w:rPr>
              <w:t xml:space="preserve"> de l'AMNT</w:t>
            </w:r>
            <w:r w:rsidRPr="00CA72DF">
              <w:rPr>
                <w:lang w:val="fr-CH"/>
              </w:rPr>
              <w:t xml:space="preserve"> </w:t>
            </w:r>
            <w:r w:rsidRPr="00522CB0">
              <w:rPr>
                <w:color w:val="000000"/>
                <w:lang w:val="fr-CH"/>
              </w:rPr>
              <w:t>"</w:t>
            </w:r>
            <w:r>
              <w:rPr>
                <w:lang w:val="fr-CH"/>
              </w:rPr>
              <w:t>E</w:t>
            </w:r>
            <w:r w:rsidRPr="00457BAC">
              <w:rPr>
                <w:lang w:val="fr-CH"/>
              </w:rPr>
              <w:t>tudes relatives à la protection des utilisateurs de services de télécommunication</w:t>
            </w:r>
            <w:r>
              <w:rPr>
                <w:lang w:val="fr-CH"/>
              </w:rPr>
              <w:t>/TIC</w:t>
            </w:r>
            <w:r w:rsidRPr="00522CB0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522CB0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14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7D6DB2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7D6DB2">
              <w:rPr>
                <w:lang w:val="fr-CH"/>
              </w:rPr>
              <w:t xml:space="preserve">Révision de la Résolution </w:t>
            </w:r>
            <w:r w:rsidRPr="007D6DB2">
              <w:rPr>
                <w:color w:val="000000"/>
                <w:lang w:val="fr-CH"/>
              </w:rPr>
              <w:t>20 "</w:t>
            </w:r>
            <w:r w:rsidRPr="00D5738F">
              <w:rPr>
                <w:lang w:val="fr-FR"/>
              </w:rPr>
              <w:t>Procédures d'attribution et de gestion des ressources internationales de numérotage, de nommage, d'adressage et d'identification pour les télécommunications</w:t>
            </w:r>
            <w:r w:rsidRPr="007D6DB2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15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7D6DB2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E577B4">
              <w:rPr>
                <w:lang w:val="fr-CH"/>
              </w:rPr>
              <w:t xml:space="preserve">Révision de la Résolution </w:t>
            </w:r>
            <w:r w:rsidRPr="007D6DB2">
              <w:rPr>
                <w:color w:val="000000"/>
                <w:lang w:val="fr-CH"/>
              </w:rPr>
              <w:t>29 "</w:t>
            </w:r>
            <w:r w:rsidRPr="00E03854">
              <w:rPr>
                <w:lang w:val="fr-CH"/>
              </w:rPr>
              <w:t>Procédures d'appel alternatives utilisées sur les réseaux</w:t>
            </w:r>
            <w:r>
              <w:rPr>
                <w:lang w:val="fr-CH"/>
              </w:rPr>
              <w:t xml:space="preserve"> </w:t>
            </w:r>
            <w:r w:rsidRPr="00E03854">
              <w:rPr>
                <w:lang w:val="fr-CH"/>
              </w:rPr>
              <w:t>de télécommunication internationaux</w:t>
            </w:r>
            <w:r w:rsidRPr="007D6DB2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16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7D6DB2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7D6DB2">
              <w:rPr>
                <w:lang w:val="fr-CH"/>
              </w:rPr>
              <w:t xml:space="preserve">Révision de la Résolution </w:t>
            </w:r>
            <w:r w:rsidRPr="007D6DB2">
              <w:rPr>
                <w:color w:val="000000"/>
                <w:lang w:val="fr-CH"/>
              </w:rPr>
              <w:t>61 "</w:t>
            </w:r>
            <w:r w:rsidRPr="00F95391">
              <w:rPr>
                <w:lang w:val="fr-FR"/>
              </w:rPr>
              <w:t>Lutter contre le détournement et l'utilisation abusive des ressources internationales de numérotage des télécommunications</w:t>
            </w:r>
            <w:r w:rsidRPr="007D6DB2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cantSplit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17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7D6DB2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7D6DB2">
              <w:rPr>
                <w:lang w:val="fr-CH"/>
              </w:rPr>
              <w:t xml:space="preserve">Révision de la Résolution </w:t>
            </w:r>
            <w:r w:rsidRPr="007D6DB2">
              <w:rPr>
                <w:color w:val="000000"/>
                <w:lang w:val="fr-CH"/>
              </w:rPr>
              <w:t>65 "</w:t>
            </w:r>
            <w:r w:rsidRPr="000A3C7B">
              <w:rPr>
                <w:lang w:val="fr-CH"/>
              </w:rPr>
              <w:t>Acheminement du numéro de l'appelant, identification de la ligne appelante et</w:t>
            </w:r>
            <w:r>
              <w:rPr>
                <w:lang w:val="fr-CH"/>
              </w:rPr>
              <w:t xml:space="preserve"> </w:t>
            </w:r>
            <w:r w:rsidRPr="000A3C7B">
              <w:rPr>
                <w:lang w:val="fr-CH"/>
              </w:rPr>
              <w:t>identification de l'origine</w:t>
            </w:r>
            <w:r w:rsidRPr="007D6DB2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lang w:val="ru-RU"/>
              </w:rPr>
            </w:pPr>
            <w:r w:rsidRPr="00491A6C">
              <w:rPr>
                <w:lang w:val="ru-RU"/>
              </w:rPr>
              <w:t>18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7D6DB2" w:rsidRDefault="00124AFD" w:rsidP="00124AFD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Nouvelle</w:t>
            </w:r>
            <w:r w:rsidRPr="00CA72DF">
              <w:rPr>
                <w:lang w:val="fr-CH"/>
              </w:rPr>
              <w:t xml:space="preserve"> Résolution</w:t>
            </w:r>
            <w:r>
              <w:rPr>
                <w:lang w:val="fr-CH"/>
              </w:rPr>
              <w:t xml:space="preserve"> de l'AMNT</w:t>
            </w:r>
            <w:r w:rsidRPr="00CA72DF">
              <w:rPr>
                <w:lang w:val="fr-CH"/>
              </w:rPr>
              <w:t xml:space="preserve"> </w:t>
            </w:r>
            <w:r w:rsidRPr="007D6DB2">
              <w:rPr>
                <w:color w:val="000000"/>
                <w:lang w:val="fr-CH"/>
              </w:rPr>
              <w:t>"</w:t>
            </w:r>
            <w:r w:rsidRPr="00A7294F">
              <w:rPr>
                <w:lang w:val="fr-CH"/>
              </w:rPr>
              <w:t>Création d'un</w:t>
            </w:r>
            <w:r>
              <w:rPr>
                <w:lang w:val="fr-CH"/>
              </w:rPr>
              <w:t>e base de données mondiale de l'</w:t>
            </w:r>
            <w:r w:rsidRPr="00A7294F">
              <w:rPr>
                <w:lang w:val="fr-CH"/>
              </w:rPr>
              <w:t xml:space="preserve">UIT-T contenant les numéros téléphoniques </w:t>
            </w:r>
            <w:r>
              <w:rPr>
                <w:lang w:val="fr-CH"/>
              </w:rPr>
              <w:t>attribué</w:t>
            </w:r>
            <w:r w:rsidRPr="00A7294F">
              <w:rPr>
                <w:lang w:val="fr-CH"/>
              </w:rPr>
              <w:t>s ou</w:t>
            </w:r>
            <w:r>
              <w:rPr>
                <w:lang w:val="fr-CH"/>
              </w:rPr>
              <w:t xml:space="preserve"> alloués figurant dans d</w:t>
            </w:r>
            <w:r w:rsidRPr="00A7294F">
              <w:rPr>
                <w:lang w:val="fr-CH"/>
              </w:rPr>
              <w:t>es plans nationaux</w:t>
            </w:r>
            <w:r w:rsidRPr="007D6DB2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7D6DB2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19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A171AB" w:rsidRDefault="00124AFD" w:rsidP="00124AFD">
            <w:pPr>
              <w:pStyle w:val="Tabletext"/>
              <w:rPr>
                <w:lang w:val="fr-CH"/>
              </w:rPr>
            </w:pPr>
            <w:r w:rsidRPr="00A171AB">
              <w:rPr>
                <w:lang w:val="fr-CH"/>
              </w:rPr>
              <w:t xml:space="preserve">Révision de la Résolution </w:t>
            </w:r>
            <w:r w:rsidRPr="00A171AB">
              <w:rPr>
                <w:color w:val="000000"/>
                <w:lang w:val="fr-CH"/>
              </w:rPr>
              <w:t>64 "</w:t>
            </w:r>
            <w:r w:rsidRPr="00A4732F">
              <w:rPr>
                <w:lang w:val="fr-CH"/>
              </w:rPr>
              <w:t>Attribution des adresses IP et mesures propres à faciliter</w:t>
            </w:r>
            <w:r>
              <w:rPr>
                <w:lang w:val="fr-CH"/>
              </w:rPr>
              <w:t xml:space="preserve"> </w:t>
            </w:r>
            <w:r w:rsidRPr="00A4732F">
              <w:rPr>
                <w:lang w:val="fr-CH"/>
              </w:rPr>
              <w:t>le</w:t>
            </w:r>
            <w:r>
              <w:rPr>
                <w:lang w:val="fr-CH"/>
              </w:rPr>
              <w:t xml:space="preserve"> </w:t>
            </w:r>
            <w:r w:rsidRPr="00A4732F">
              <w:rPr>
                <w:lang w:val="fr-CH"/>
              </w:rPr>
              <w:t>passage au protocole IPv6 ainsi que le déploiement de ce protocole</w:t>
            </w:r>
            <w:r>
              <w:rPr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491A6C" w:rsidTr="002A5B61">
        <w:trPr>
          <w:jc w:val="center"/>
        </w:trPr>
        <w:tc>
          <w:tcPr>
            <w:tcW w:w="1668" w:type="dxa"/>
            <w:tcBorders>
              <w:right w:val="nil"/>
            </w:tcBorders>
            <w:shd w:val="clear" w:color="auto" w:fill="DAEEF3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/>
          </w:tcPr>
          <w:p w:rsidR="00124AFD" w:rsidRPr="00491A6C" w:rsidRDefault="00124AFD" w:rsidP="00124AFD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Normalisation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en-US"/>
              </w:rPr>
            </w:pPr>
            <w:r w:rsidRPr="00491A6C">
              <w:rPr>
                <w:color w:val="000000"/>
                <w:lang w:val="ru-RU"/>
              </w:rPr>
              <w:t>20</w:t>
            </w:r>
          </w:p>
        </w:tc>
        <w:tc>
          <w:tcPr>
            <w:tcW w:w="5695" w:type="dxa"/>
            <w:shd w:val="clear" w:color="auto" w:fill="auto"/>
          </w:tcPr>
          <w:p w:rsidR="00124AFD" w:rsidRPr="00A171AB" w:rsidRDefault="00124AFD" w:rsidP="00124AFD">
            <w:pPr>
              <w:pStyle w:val="Tabletext"/>
              <w:rPr>
                <w:color w:val="000000"/>
                <w:lang w:val="fr-CH"/>
              </w:rPr>
            </w:pPr>
            <w:r w:rsidRPr="00A171AB">
              <w:rPr>
                <w:lang w:val="fr-CH"/>
              </w:rPr>
              <w:t xml:space="preserve">Révision de la Résolution </w:t>
            </w:r>
            <w:r w:rsidRPr="00A171AB">
              <w:rPr>
                <w:color w:val="000000"/>
                <w:lang w:val="fr-CH"/>
              </w:rPr>
              <w:t>77 "</w:t>
            </w:r>
            <w:r w:rsidRPr="00434F87">
              <w:rPr>
                <w:lang w:val="fr-FR"/>
              </w:rPr>
              <w:t>Travaux de normalisation au sein du Secteur de la</w:t>
            </w:r>
            <w:r>
              <w:rPr>
                <w:lang w:val="fr-FR"/>
              </w:rPr>
              <w:t xml:space="preserve"> </w:t>
            </w:r>
            <w:r w:rsidRPr="00434F87">
              <w:rPr>
                <w:lang w:val="fr-FR"/>
              </w:rPr>
              <w:t>normalisation des télécommunications de l'UIT sur</w:t>
            </w:r>
            <w:r>
              <w:rPr>
                <w:lang w:val="fr-FR"/>
              </w:rPr>
              <w:t xml:space="preserve"> </w:t>
            </w:r>
            <w:r w:rsidRPr="00434F87">
              <w:rPr>
                <w:lang w:val="fr-FR"/>
              </w:rPr>
              <w:t>les</w:t>
            </w:r>
            <w:r>
              <w:rPr>
                <w:lang w:val="fr-FR"/>
              </w:rPr>
              <w:t xml:space="preserve"> </w:t>
            </w:r>
            <w:r w:rsidRPr="00434F87">
              <w:rPr>
                <w:lang w:val="fr-FR"/>
              </w:rPr>
              <w:t>réseaux pilotés par logiciel</w:t>
            </w:r>
            <w:r w:rsidRPr="00A171AB">
              <w:rPr>
                <w:color w:val="000000"/>
                <w:lang w:val="fr-CH"/>
              </w:rPr>
              <w:t>"</w:t>
            </w: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right w:val="nil"/>
            </w:tcBorders>
            <w:shd w:val="clear" w:color="auto" w:fill="DAEEF3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/>
          </w:tcPr>
          <w:p w:rsidR="00124AFD" w:rsidRPr="00611B85" w:rsidRDefault="00124AFD" w:rsidP="00124AFD">
            <w:pPr>
              <w:pStyle w:val="Tablehead"/>
              <w:rPr>
                <w:lang w:val="fr-CH"/>
              </w:rPr>
            </w:pPr>
            <w:r w:rsidRPr="00611B85">
              <w:rPr>
                <w:lang w:val="fr-CH"/>
              </w:rPr>
              <w:t>Réduction de la fracture numérique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491A6C">
              <w:rPr>
                <w:color w:val="000000"/>
                <w:lang w:val="ru-RU"/>
              </w:rPr>
              <w:t>21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A171AB" w:rsidRDefault="00124AFD" w:rsidP="00124AFD">
            <w:pPr>
              <w:pStyle w:val="Tabletext"/>
              <w:rPr>
                <w:lang w:val="fr-CH"/>
              </w:rPr>
            </w:pPr>
            <w:r w:rsidRPr="00A171AB">
              <w:rPr>
                <w:lang w:val="fr-CH"/>
              </w:rPr>
              <w:t xml:space="preserve">Révision de la Résolution </w:t>
            </w:r>
            <w:r w:rsidRPr="00A171AB">
              <w:rPr>
                <w:color w:val="000000"/>
                <w:lang w:val="fr-CH"/>
              </w:rPr>
              <w:t>44 "</w:t>
            </w:r>
            <w:r w:rsidRPr="00F67058">
              <w:rPr>
                <w:lang w:val="fr-FR"/>
              </w:rPr>
              <w:t>Réduire l'écart en matière de normalisation entre pays en développement et pays développés</w:t>
            </w:r>
            <w:r>
              <w:rPr>
                <w:lang w:val="fr-FR"/>
              </w:rPr>
              <w:t>"</w:t>
            </w:r>
            <w:r w:rsidRPr="00F67058">
              <w:rPr>
                <w:lang w:val="fr-FR"/>
              </w:rPr>
              <w:t xml:space="preserve"> en ce qui concerne la création de centres de test dans les pays en développement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tcBorders>
              <w:right w:val="nil"/>
            </w:tcBorders>
            <w:shd w:val="clear" w:color="auto" w:fill="DAEEF3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/>
          </w:tcPr>
          <w:p w:rsidR="00124AFD" w:rsidRPr="00611B85" w:rsidRDefault="00124AFD" w:rsidP="00124AFD">
            <w:pPr>
              <w:pStyle w:val="Tablehead"/>
              <w:rPr>
                <w:lang w:val="fr-CH"/>
              </w:rPr>
            </w:pPr>
            <w:r w:rsidRPr="00611B85">
              <w:rPr>
                <w:lang w:val="fr-CH"/>
              </w:rPr>
              <w:t>Autres questions (liées à la r</w:t>
            </w:r>
            <w:r>
              <w:rPr>
                <w:lang w:val="fr-CH"/>
              </w:rPr>
              <w:t>é</w:t>
            </w:r>
            <w:r w:rsidRPr="00611B85">
              <w:rPr>
                <w:lang w:val="fr-CH"/>
              </w:rPr>
              <w:t>glementation, à la politique générale et d'ordre économique)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color w:val="000000"/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lang w:val="ru-RU"/>
              </w:rPr>
            </w:pPr>
            <w:r w:rsidRPr="00491A6C">
              <w:rPr>
                <w:lang w:val="ru-RU"/>
              </w:rPr>
              <w:t>22</w:t>
            </w:r>
          </w:p>
        </w:tc>
        <w:tc>
          <w:tcPr>
            <w:tcW w:w="5695" w:type="dxa"/>
          </w:tcPr>
          <w:p w:rsidR="00124AFD" w:rsidRPr="00A171AB" w:rsidRDefault="00124AFD" w:rsidP="00124AFD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CA72DF">
              <w:rPr>
                <w:lang w:val="fr-CH"/>
              </w:rPr>
              <w:t>ouvelle Résolution</w:t>
            </w:r>
            <w:r>
              <w:rPr>
                <w:lang w:val="fr-CH"/>
              </w:rPr>
              <w:t xml:space="preserve"> de l'AMNT</w:t>
            </w:r>
            <w:r w:rsidRPr="00CA72DF">
              <w:rPr>
                <w:lang w:val="fr-CH"/>
              </w:rPr>
              <w:t xml:space="preserve"> </w:t>
            </w:r>
            <w:r w:rsidRPr="00A171AB">
              <w:rPr>
                <w:lang w:val="fr-CH"/>
              </w:rPr>
              <w:t>"</w:t>
            </w:r>
            <w:r w:rsidRPr="003E718B">
              <w:rPr>
                <w:lang w:val="fr-FR"/>
              </w:rPr>
              <w:t>Interconnexion des réseaux 4G, des réseaux 5G/IMT-2020 et des réseaux ultérieurs</w:t>
            </w:r>
            <w:r w:rsidRPr="00A171AB">
              <w:rPr>
                <w:lang w:val="fr-CH"/>
              </w:rPr>
              <w:t>"</w:t>
            </w: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lang w:val="ru-RU"/>
              </w:rPr>
            </w:pPr>
            <w:r w:rsidRPr="00491A6C">
              <w:rPr>
                <w:lang w:val="ru-RU"/>
              </w:rPr>
              <w:t>23</w:t>
            </w:r>
          </w:p>
        </w:tc>
        <w:tc>
          <w:tcPr>
            <w:tcW w:w="5695" w:type="dxa"/>
            <w:shd w:val="clear" w:color="auto" w:fill="auto"/>
          </w:tcPr>
          <w:p w:rsidR="00124AFD" w:rsidRPr="00611B85" w:rsidRDefault="00124AFD" w:rsidP="00124AFD">
            <w:pPr>
              <w:pStyle w:val="Tabletext"/>
              <w:rPr>
                <w:lang w:val="fr-CH"/>
              </w:rPr>
            </w:pPr>
            <w:r w:rsidRPr="00E577B4">
              <w:rPr>
                <w:lang w:val="fr-CH"/>
              </w:rPr>
              <w:t xml:space="preserve">Révision de la Résolution </w:t>
            </w:r>
            <w:r w:rsidRPr="00611B85">
              <w:rPr>
                <w:lang w:val="fr-CH"/>
              </w:rPr>
              <w:t>2 "Domaine de compétence et mandat des commissions d'études du Secteur de la normalisation des télécommunications de l'UIT"</w:t>
            </w: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611B85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124AFD" w:rsidRPr="008F23DE" w:rsidTr="002A5B61">
        <w:trPr>
          <w:jc w:val="center"/>
        </w:trPr>
        <w:tc>
          <w:tcPr>
            <w:tcW w:w="1668" w:type="dxa"/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lang w:val="ru-RU"/>
              </w:rPr>
            </w:pPr>
            <w:r w:rsidRPr="00491A6C">
              <w:rPr>
                <w:lang w:val="en-US"/>
              </w:rPr>
              <w:t>2</w:t>
            </w:r>
            <w:r w:rsidRPr="00491A6C">
              <w:rPr>
                <w:lang w:val="ru-RU"/>
              </w:rPr>
              <w:t>4</w:t>
            </w:r>
          </w:p>
        </w:tc>
        <w:tc>
          <w:tcPr>
            <w:tcW w:w="5695" w:type="dxa"/>
            <w:shd w:val="clear" w:color="auto" w:fill="auto"/>
          </w:tcPr>
          <w:p w:rsidR="00124AFD" w:rsidRPr="00A171AB" w:rsidRDefault="00124AFD" w:rsidP="00124AFD">
            <w:pPr>
              <w:pStyle w:val="Tabletext"/>
              <w:rPr>
                <w:lang w:val="fr-CH"/>
              </w:rPr>
            </w:pPr>
            <w:r>
              <w:rPr>
                <w:lang w:val="fr-FR"/>
              </w:rPr>
              <w:t>Révision de la R</w:t>
            </w:r>
            <w:r w:rsidRPr="00AD1158">
              <w:rPr>
                <w:lang w:val="fr-FR"/>
              </w:rPr>
              <w:t>ecommandation UIT-T A.12</w:t>
            </w:r>
            <w:r>
              <w:rPr>
                <w:lang w:val="fr-FR"/>
              </w:rPr>
              <w:t xml:space="preserve"> </w:t>
            </w:r>
            <w:r w:rsidRPr="00A171AB">
              <w:rPr>
                <w:lang w:val="fr-CH"/>
              </w:rPr>
              <w:t>"</w:t>
            </w:r>
            <w:r w:rsidRPr="00AD1158">
              <w:rPr>
                <w:lang w:val="fr-FR"/>
              </w:rPr>
              <w:t>Identification et présentation des Recommandations UIT-T</w:t>
            </w:r>
            <w:r w:rsidRPr="00A171AB">
              <w:rPr>
                <w:lang w:val="fr-CH"/>
              </w:rPr>
              <w:t>"</w:t>
            </w: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683" w:type="dxa"/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124AFD" w:rsidRPr="008F23DE" w:rsidTr="002A5B61">
        <w:trPr>
          <w:cantSplit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491A6C" w:rsidRDefault="00124AFD" w:rsidP="00124AFD">
            <w:pPr>
              <w:pStyle w:val="Tabletext"/>
              <w:jc w:val="center"/>
              <w:rPr>
                <w:lang w:val="ru-RU"/>
              </w:rPr>
            </w:pPr>
            <w:r w:rsidRPr="00491A6C">
              <w:rPr>
                <w:lang w:val="ru-RU"/>
              </w:rPr>
              <w:t>2</w:t>
            </w:r>
            <w:r w:rsidRPr="00491A6C">
              <w:rPr>
                <w:lang w:val="en-US"/>
              </w:rPr>
              <w:t>5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Pr="00A171AB" w:rsidRDefault="00124AFD" w:rsidP="00124AFD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Nouvelle R</w:t>
            </w:r>
            <w:r w:rsidRPr="00A7294F">
              <w:rPr>
                <w:lang w:val="fr-CH"/>
              </w:rPr>
              <w:t>ésolution</w:t>
            </w:r>
            <w:r>
              <w:rPr>
                <w:lang w:val="fr-CH"/>
              </w:rPr>
              <w:t xml:space="preserve"> de l'AMNT</w:t>
            </w:r>
            <w:r w:rsidRPr="00A7294F">
              <w:rPr>
                <w:lang w:val="fr-CH"/>
              </w:rPr>
              <w:t xml:space="preserve"> </w:t>
            </w:r>
            <w:r w:rsidRPr="00A171AB">
              <w:rPr>
                <w:lang w:val="fr-CH"/>
              </w:rPr>
              <w:t>"</w:t>
            </w:r>
            <w:r>
              <w:rPr>
                <w:lang w:val="fr-CH"/>
              </w:rPr>
              <w:t>Participation du S</w:t>
            </w:r>
            <w:r w:rsidRPr="0057286F">
              <w:rPr>
                <w:lang w:val="fr-CH"/>
              </w:rPr>
              <w:t>ecteur de la normalisation des télécommunications à l'examen e</w:t>
            </w:r>
            <w:r>
              <w:rPr>
                <w:lang w:val="fr-CH"/>
              </w:rPr>
              <w:t>t à la révision périodiques du R</w:t>
            </w:r>
            <w:r w:rsidRPr="0057286F">
              <w:rPr>
                <w:lang w:val="fr-CH"/>
              </w:rPr>
              <w:t>èglement des télécommunications internationales</w:t>
            </w:r>
            <w:r w:rsidRPr="00A171AB">
              <w:rPr>
                <w:lang w:val="fr-CH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124AFD" w:rsidRPr="008F23DE" w:rsidTr="002A5B61">
        <w:trPr>
          <w:cantSplit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24AFD" w:rsidRPr="00EF1AED" w:rsidRDefault="00124AFD" w:rsidP="008F23DE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Document 54 (Kazakhstan)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124AFD" w:rsidRDefault="00124AFD" w:rsidP="008F23D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EF1AED">
              <w:rPr>
                <w:lang w:val="fr-CH"/>
              </w:rPr>
              <w:t>ropositions visant à mettre à jour et à améliorer les classificateurs des types d'activité économique et de production par branche d'activité économique dans le domaine des télécommunications/</w:t>
            </w:r>
            <w:r>
              <w:rPr>
                <w:lang w:val="fr-CH"/>
              </w:rPr>
              <w:t>TIC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8F23DE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8F23DE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8F23DE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8F23DE">
            <w:pPr>
              <w:pStyle w:val="Header"/>
              <w:tabs>
                <w:tab w:val="left" w:pos="173"/>
                <w:tab w:val="left" w:pos="954"/>
              </w:tabs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8F23D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8F23DE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8F23DE">
            <w:pPr>
              <w:pStyle w:val="Header"/>
              <w:tabs>
                <w:tab w:val="left" w:pos="173"/>
                <w:tab w:val="left" w:pos="954"/>
              </w:tabs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8F23DE">
            <w:pPr>
              <w:pStyle w:val="Header"/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8F23DE" w:rsidRDefault="00124AFD" w:rsidP="00124AFD">
            <w:pPr>
              <w:numPr>
                <w:ilvl w:val="0"/>
                <w:numId w:val="4"/>
              </w:numPr>
              <w:tabs>
                <w:tab w:val="left" w:pos="173"/>
              </w:tabs>
              <w:overflowPunct/>
              <w:autoSpaceDE/>
              <w:autoSpaceDN/>
              <w:adjustRightInd/>
              <w:spacing w:before="0"/>
              <w:contextualSpacing/>
              <w:jc w:val="center"/>
              <w:textAlignment w:val="auto"/>
              <w:rPr>
                <w:color w:val="000000"/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24AFD" w:rsidRPr="00A171AB" w:rsidRDefault="00124AFD" w:rsidP="00124AFD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124AFD" w:rsidRPr="008F23DE" w:rsidTr="002A5B61">
        <w:trPr>
          <w:cantSplit/>
          <w:jc w:val="center"/>
        </w:trPr>
        <w:tc>
          <w:tcPr>
            <w:tcW w:w="155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FD" w:rsidRPr="006A2B04" w:rsidRDefault="00124AFD" w:rsidP="00124AFD">
            <w:pPr>
              <w:pStyle w:val="Tabletext"/>
              <w:rPr>
                <w:lang w:val="fr-CH"/>
              </w:rPr>
            </w:pPr>
            <w:r w:rsidRPr="006A2B04">
              <w:rPr>
                <w:color w:val="000000"/>
                <w:szCs w:val="28"/>
                <w:lang w:val="fr-CH"/>
              </w:rPr>
              <w:t>Légende:</w:t>
            </w:r>
            <w:r w:rsidRPr="006A2B04">
              <w:rPr>
                <w:color w:val="000000"/>
                <w:szCs w:val="28"/>
                <w:lang w:val="fr-CH"/>
              </w:rPr>
              <w:tab/>
              <w:t>"</w:t>
            </w:r>
            <w:r>
              <w:rPr>
                <w:color w:val="000000"/>
                <w:szCs w:val="28"/>
                <w:lang w:val="en-US"/>
              </w:rPr>
              <w:sym w:font="Wingdings" w:char="F0FC"/>
            </w:r>
            <w:r w:rsidRPr="006A2B04">
              <w:rPr>
                <w:color w:val="000000"/>
                <w:szCs w:val="28"/>
                <w:lang w:val="fr-CH"/>
              </w:rPr>
              <w:t>"</w:t>
            </w:r>
            <w:r w:rsidRPr="006A2B04">
              <w:rPr>
                <w:color w:val="000000"/>
                <w:szCs w:val="28"/>
                <w:lang w:val="fr-CH"/>
              </w:rPr>
              <w:tab/>
              <w:t>–</w:t>
            </w:r>
            <w:r w:rsidRPr="006A2B04">
              <w:rPr>
                <w:color w:val="000000"/>
                <w:szCs w:val="28"/>
                <w:lang w:val="fr-CH"/>
              </w:rPr>
              <w:tab/>
            </w:r>
            <w:r w:rsidRPr="00F1595E">
              <w:rPr>
                <w:lang w:val="fr-CH"/>
              </w:rPr>
              <w:t>Administration appuyant la proposition</w:t>
            </w:r>
          </w:p>
        </w:tc>
      </w:tr>
    </w:tbl>
    <w:p w:rsidR="00F776DF" w:rsidRDefault="00F776DF" w:rsidP="009756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10198" w:rsidRPr="008F23DE" w:rsidRDefault="00110198" w:rsidP="0032202E">
      <w:pPr>
        <w:pStyle w:val="Reasons"/>
        <w:rPr>
          <w:lang w:val="fr-CH"/>
        </w:rPr>
      </w:pPr>
    </w:p>
    <w:p w:rsidR="00110198" w:rsidRDefault="00110198">
      <w:pPr>
        <w:jc w:val="center"/>
      </w:pPr>
      <w:r>
        <w:t>______________</w:t>
      </w:r>
    </w:p>
    <w:p w:rsidR="00110198" w:rsidRPr="006A2B04" w:rsidRDefault="00110198" w:rsidP="00110198">
      <w:pPr>
        <w:rPr>
          <w:lang w:val="fr-CH"/>
        </w:rPr>
      </w:pPr>
      <w:bookmarkStart w:id="0" w:name="_GoBack"/>
      <w:bookmarkEnd w:id="0"/>
    </w:p>
    <w:sectPr w:rsidR="00110198" w:rsidRPr="006A2B04" w:rsidSect="00962FC3">
      <w:footerReference w:type="default" r:id="rId16"/>
      <w:headerReference w:type="first" r:id="rId17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8F23DE" w:rsidRDefault="00E45D05">
    <w:pPr>
      <w:ind w:right="360"/>
      <w:rPr>
        <w:lang w:val="en-US"/>
      </w:rPr>
    </w:pPr>
    <w:r>
      <w:fldChar w:fldCharType="begin"/>
    </w:r>
    <w:r w:rsidRPr="008F23DE">
      <w:rPr>
        <w:lang w:val="en-US"/>
      </w:rPr>
      <w:instrText xml:space="preserve"> FILENAME \p  \* MERGEFORMAT </w:instrText>
    </w:r>
    <w:r>
      <w:fldChar w:fldCharType="separate"/>
    </w:r>
    <w:r w:rsidR="00E16D28" w:rsidRPr="008F23DE">
      <w:rPr>
        <w:noProof/>
        <w:lang w:val="en-US"/>
      </w:rPr>
      <w:t>L:\working\TSB_407424\T13-WTSA.16-C-0047!!MSW-F.docx</w:t>
    </w:r>
    <w:r>
      <w:fldChar w:fldCharType="end"/>
    </w:r>
    <w:r w:rsidRPr="008F23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210B">
      <w:rPr>
        <w:noProof/>
      </w:rPr>
      <w:t>24.10.16</w:t>
    </w:r>
    <w:r>
      <w:fldChar w:fldCharType="end"/>
    </w:r>
    <w:r w:rsidRPr="008F23D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6D28">
      <w:rPr>
        <w:noProof/>
      </w:rPr>
      <w:t>24.10.16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F23DE" w:rsidRDefault="00E45D05" w:rsidP="00526703">
    <w:pPr>
      <w:pStyle w:val="Footer"/>
      <w:rPr>
        <w:lang w:val="en-US"/>
      </w:rPr>
    </w:pPr>
    <w:r>
      <w:fldChar w:fldCharType="begin"/>
    </w:r>
    <w:r w:rsidRPr="008F23DE">
      <w:rPr>
        <w:lang w:val="en-US"/>
      </w:rPr>
      <w:instrText xml:space="preserve"> FILENAME \p  \* MERGEFORMAT </w:instrText>
    </w:r>
    <w:r>
      <w:fldChar w:fldCharType="separate"/>
    </w:r>
    <w:r w:rsidR="00E16D28" w:rsidRPr="008F23DE">
      <w:rPr>
        <w:lang w:val="en-US"/>
      </w:rPr>
      <w:t>L:\working\TSB_407424\T13-WTSA.16-C-0047!!MSW-F.docx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8F23DE" w:rsidRDefault="008F23DE" w:rsidP="008F23DE">
    <w:pPr>
      <w:pStyle w:val="Footer"/>
      <w:rPr>
        <w:lang w:val="fr-CH"/>
      </w:rPr>
    </w:pPr>
    <w:r>
      <w:fldChar w:fldCharType="begin"/>
    </w:r>
    <w:r w:rsidRPr="008F23DE">
      <w:rPr>
        <w:lang w:val="fr-CH"/>
      </w:rPr>
      <w:instrText xml:space="preserve"> FILENAME \p  \* MERGEFORMAT </w:instrText>
    </w:r>
    <w:r>
      <w:fldChar w:fldCharType="separate"/>
    </w:r>
    <w:r w:rsidRPr="008F23DE">
      <w:rPr>
        <w:lang w:val="fr-CH"/>
      </w:rPr>
      <w:t>P:\FRA\ITU-T\CONF-T\WTSA16\000\047REV1F.docx</w:t>
    </w:r>
    <w:r>
      <w:fldChar w:fldCharType="end"/>
    </w:r>
    <w:r w:rsidRPr="008F23DE">
      <w:rPr>
        <w:lang w:val="fr-CH"/>
      </w:rPr>
      <w:t xml:space="preserve"> (40</w:t>
    </w:r>
    <w:r>
      <w:rPr>
        <w:lang w:val="fr-CH"/>
      </w:rPr>
      <w:t>7424</w:t>
    </w:r>
    <w:r w:rsidRPr="008F23DE">
      <w:rPr>
        <w:lang w:val="fr-CH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32" w:rsidRPr="008F23DE" w:rsidRDefault="00231732" w:rsidP="008F23DE">
    <w:pPr>
      <w:pStyle w:val="Footer"/>
      <w:rPr>
        <w:lang w:val="fr-CH"/>
      </w:rPr>
    </w:pPr>
    <w:r>
      <w:fldChar w:fldCharType="begin"/>
    </w:r>
    <w:r w:rsidRPr="008F23DE">
      <w:rPr>
        <w:lang w:val="fr-CH"/>
      </w:rPr>
      <w:instrText xml:space="preserve"> FILENAME \p  \* MERGEFORMAT </w:instrText>
    </w:r>
    <w:r>
      <w:fldChar w:fldCharType="separate"/>
    </w:r>
    <w:r w:rsidR="008F23DE" w:rsidRPr="008F23DE">
      <w:rPr>
        <w:lang w:val="fr-CH"/>
      </w:rPr>
      <w:t>P:\FRA\ITU-T\CONF-T\WTSA16\000\047REV1F.docx</w:t>
    </w:r>
    <w:r>
      <w:fldChar w:fldCharType="end"/>
    </w:r>
    <w:r w:rsidRPr="008F23DE">
      <w:rPr>
        <w:lang w:val="fr-CH"/>
      </w:rPr>
      <w:t xml:space="preserve"> (40</w:t>
    </w:r>
    <w:r w:rsidR="008F23DE">
      <w:rPr>
        <w:lang w:val="fr-CH"/>
      </w:rPr>
      <w:t>7424</w:t>
    </w:r>
    <w:r w:rsidRPr="008F23DE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F23DE">
      <w:rPr>
        <w:noProof/>
      </w:rPr>
      <w:t>5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/47</w:t>
    </w:r>
    <w:r w:rsidR="008F23DE">
      <w:t>(Rév.1)</w:t>
    </w:r>
    <w:r w:rsidR="00987C1F">
      <w:t>-</w:t>
    </w:r>
    <w:r w:rsidR="00987C1F" w:rsidRPr="00010B43">
      <w:t>F</w:t>
    </w:r>
    <w:r w:rsidR="00110198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88" w:rsidRDefault="006F5288" w:rsidP="0023173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F23DE">
      <w:rPr>
        <w:noProof/>
      </w:rPr>
      <w:t>2</w:t>
    </w:r>
    <w:r>
      <w:fldChar w:fldCharType="end"/>
    </w:r>
  </w:p>
  <w:p w:rsidR="006F5288" w:rsidRDefault="006F5288">
    <w:pPr>
      <w:pStyle w:val="Header"/>
    </w:pPr>
    <w:r>
      <w:t>AMNT16/47</w:t>
    </w:r>
    <w:r w:rsidR="008F23DE">
      <w:t>(Rév.1)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142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055"/>
    <w:multiLevelType w:val="hybridMultilevel"/>
    <w:tmpl w:val="E8024A78"/>
    <w:lvl w:ilvl="0" w:tplc="73DE80A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4E89"/>
    <w:rsid w:val="0009706C"/>
    <w:rsid w:val="000A14AF"/>
    <w:rsid w:val="000F73FF"/>
    <w:rsid w:val="00110198"/>
    <w:rsid w:val="00114CF7"/>
    <w:rsid w:val="00123B68"/>
    <w:rsid w:val="00124AFD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31732"/>
    <w:rsid w:val="00250AF4"/>
    <w:rsid w:val="00255359"/>
    <w:rsid w:val="00271316"/>
    <w:rsid w:val="002A3339"/>
    <w:rsid w:val="002B2A75"/>
    <w:rsid w:val="002D58BE"/>
    <w:rsid w:val="002E210D"/>
    <w:rsid w:val="002F521D"/>
    <w:rsid w:val="00322E11"/>
    <w:rsid w:val="003236A6"/>
    <w:rsid w:val="00332C56"/>
    <w:rsid w:val="00345A52"/>
    <w:rsid w:val="00377BD3"/>
    <w:rsid w:val="003832C0"/>
    <w:rsid w:val="00384088"/>
    <w:rsid w:val="00385C7B"/>
    <w:rsid w:val="0039169B"/>
    <w:rsid w:val="003A7F8C"/>
    <w:rsid w:val="003B532E"/>
    <w:rsid w:val="003D0F8B"/>
    <w:rsid w:val="004054F5"/>
    <w:rsid w:val="004079B0"/>
    <w:rsid w:val="0041348E"/>
    <w:rsid w:val="00417AD4"/>
    <w:rsid w:val="00422431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2CB0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11B85"/>
    <w:rsid w:val="00657DE0"/>
    <w:rsid w:val="00685313"/>
    <w:rsid w:val="0069092B"/>
    <w:rsid w:val="00692833"/>
    <w:rsid w:val="006A2B04"/>
    <w:rsid w:val="006A6E9B"/>
    <w:rsid w:val="006B249F"/>
    <w:rsid w:val="006B7C2A"/>
    <w:rsid w:val="006C23DA"/>
    <w:rsid w:val="006E013B"/>
    <w:rsid w:val="006E3D45"/>
    <w:rsid w:val="006F5288"/>
    <w:rsid w:val="006F580E"/>
    <w:rsid w:val="007149F9"/>
    <w:rsid w:val="00733A30"/>
    <w:rsid w:val="00745AEE"/>
    <w:rsid w:val="00750F10"/>
    <w:rsid w:val="007742CA"/>
    <w:rsid w:val="00790D70"/>
    <w:rsid w:val="007D5320"/>
    <w:rsid w:val="007D5C4E"/>
    <w:rsid w:val="007D6DB2"/>
    <w:rsid w:val="007F732A"/>
    <w:rsid w:val="008006C5"/>
    <w:rsid w:val="00800972"/>
    <w:rsid w:val="00804475"/>
    <w:rsid w:val="00811633"/>
    <w:rsid w:val="00813B79"/>
    <w:rsid w:val="0084210B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D779E"/>
    <w:rsid w:val="008F23DE"/>
    <w:rsid w:val="009162DC"/>
    <w:rsid w:val="0092425C"/>
    <w:rsid w:val="009274B4"/>
    <w:rsid w:val="00932352"/>
    <w:rsid w:val="00934EA2"/>
    <w:rsid w:val="00940614"/>
    <w:rsid w:val="00944A5C"/>
    <w:rsid w:val="00952A66"/>
    <w:rsid w:val="0095515A"/>
    <w:rsid w:val="00957670"/>
    <w:rsid w:val="00962FC3"/>
    <w:rsid w:val="009756B2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71AB"/>
    <w:rsid w:val="00A30305"/>
    <w:rsid w:val="00A31D2D"/>
    <w:rsid w:val="00A32FC5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2F4B"/>
    <w:rsid w:val="00B639E9"/>
    <w:rsid w:val="00B647FB"/>
    <w:rsid w:val="00B8079B"/>
    <w:rsid w:val="00B817CD"/>
    <w:rsid w:val="00B94AD0"/>
    <w:rsid w:val="00BA5265"/>
    <w:rsid w:val="00BB3A95"/>
    <w:rsid w:val="00BB3F42"/>
    <w:rsid w:val="00BB6D50"/>
    <w:rsid w:val="00C0018F"/>
    <w:rsid w:val="00C16A5A"/>
    <w:rsid w:val="00C20466"/>
    <w:rsid w:val="00C214ED"/>
    <w:rsid w:val="00C234E6"/>
    <w:rsid w:val="00C26BA2"/>
    <w:rsid w:val="00C324A8"/>
    <w:rsid w:val="00C52B8A"/>
    <w:rsid w:val="00C54517"/>
    <w:rsid w:val="00C64CD8"/>
    <w:rsid w:val="00C812F6"/>
    <w:rsid w:val="00C97C68"/>
    <w:rsid w:val="00CA1A47"/>
    <w:rsid w:val="00CC247A"/>
    <w:rsid w:val="00CD5077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B18AF"/>
    <w:rsid w:val="00DD44AF"/>
    <w:rsid w:val="00DE2AC3"/>
    <w:rsid w:val="00DE5692"/>
    <w:rsid w:val="00E03C94"/>
    <w:rsid w:val="00E07AF5"/>
    <w:rsid w:val="00E11197"/>
    <w:rsid w:val="00E14E2A"/>
    <w:rsid w:val="00E16D28"/>
    <w:rsid w:val="00E26226"/>
    <w:rsid w:val="00E45D05"/>
    <w:rsid w:val="00E55816"/>
    <w:rsid w:val="00E55AEF"/>
    <w:rsid w:val="00E577B4"/>
    <w:rsid w:val="00E84ED7"/>
    <w:rsid w:val="00E917FD"/>
    <w:rsid w:val="00E976C1"/>
    <w:rsid w:val="00E97C21"/>
    <w:rsid w:val="00EA12E5"/>
    <w:rsid w:val="00EA70B6"/>
    <w:rsid w:val="00EB55C6"/>
    <w:rsid w:val="00ED0097"/>
    <w:rsid w:val="00EF1AED"/>
    <w:rsid w:val="00EF2B09"/>
    <w:rsid w:val="00F02766"/>
    <w:rsid w:val="00F05BD4"/>
    <w:rsid w:val="00F6155B"/>
    <w:rsid w:val="00F65C19"/>
    <w:rsid w:val="00F7356B"/>
    <w:rsid w:val="00F776DF"/>
    <w:rsid w:val="00F840C7"/>
    <w:rsid w:val="00FC3F79"/>
    <w:rsid w:val="00FD248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E577B4"/>
    <w:rPr>
      <w:rFonts w:ascii="Calibri" w:eastAsia="Calibri" w:hAnsi="Calibri" w:cs="Arial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7B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8d61d9-30a3-4418-8d7d-4a7eadb645a5">Documents Proposals Manager (DPM)</DPM_x0020_Author>
    <DPM_x0020_File_x0020_name xmlns="c58d61d9-30a3-4418-8d7d-4a7eadb645a5">T13-WTSA.16-C-0047!!MSW-F</DPM_x0020_File_x0020_name>
    <DPM_x0020_Version xmlns="c58d61d9-30a3-4418-8d7d-4a7eadb645a5">DPM_v2016.10.17.1_prod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8d61d9-30a3-4418-8d7d-4a7eadb645a5" targetNamespace="http://schemas.microsoft.com/office/2006/metadata/properties" ma:root="true" ma:fieldsID="d41af5c836d734370eb92e7ee5f83852" ns2:_="" ns3:_="">
    <xsd:import namespace="996b2e75-67fd-4955-a3b0-5ab9934cb50b"/>
    <xsd:import namespace="c58d61d9-30a3-4418-8d7d-4a7eadb645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d61d9-30a3-4418-8d7d-4a7eadb645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58d61d9-30a3-4418-8d7d-4a7eadb645a5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8d61d9-30a3-4418-8d7d-4a7eadb64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03058-399B-4284-9954-00E0A458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1025</Words>
  <Characters>5066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T13-WTSA.16-C-0047!!MSW-F</vt:lpstr>
    </vt:vector>
  </TitlesOfParts>
  <Manager>General Secretariat - Pool</Manager>
  <Company>International Telecommunication Union (ITU)</Company>
  <LinksUpToDate>false</LinksUpToDate>
  <CharactersWithSpaces>6079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T13-WTSA.16-C-0047!!MSW-F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Saxod, Nathalie</cp:lastModifiedBy>
  <cp:revision>3</cp:revision>
  <cp:lastPrinted>2016-10-24T15:25:00Z</cp:lastPrinted>
  <dcterms:created xsi:type="dcterms:W3CDTF">2016-10-24T17:12:00Z</dcterms:created>
  <dcterms:modified xsi:type="dcterms:W3CDTF">2016-10-24T17:25:00Z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