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864A57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864A57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864A57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864A57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864A57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864A57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864A57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71E36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19"/>
                <w:szCs w:val="30"/>
                <w:rtl/>
              </w:rPr>
            </w:pPr>
            <w:r w:rsidRPr="00F71E36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F71E36" w:rsidRDefault="006E424E" w:rsidP="006E424E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Pr="006E424E">
              <w:t>1</w:t>
            </w:r>
            <w:r>
              <w:rPr>
                <w:rFonts w:asciiTheme="minorHAnsi" w:hAnsiTheme="minorHAnsi" w:hint="cs"/>
                <w:rtl/>
                <w:lang w:bidi="ar-SA"/>
              </w:rPr>
              <w:t xml:space="preserve"> </w:t>
            </w:r>
            <w:r>
              <w:rPr>
                <w:rFonts w:asciiTheme="minorHAnsi" w:hAnsiTheme="minorHAnsi"/>
                <w:rtl/>
                <w:lang w:bidi="ar-SA"/>
              </w:rPr>
              <w:br/>
            </w:r>
            <w:r>
              <w:rPr>
                <w:rFonts w:hint="cs"/>
                <w:rtl/>
              </w:rPr>
              <w:t>ل</w:t>
            </w:r>
            <w:r w:rsidR="0022345D" w:rsidRPr="00F71E36">
              <w:rPr>
                <w:rtl/>
              </w:rPr>
              <w:t xml:space="preserve">لوثيقة </w:t>
            </w:r>
            <w:r w:rsidR="0022345D" w:rsidRPr="00F71E36">
              <w:t>47-</w:t>
            </w:r>
            <w:r w:rsidR="00F71E36" w:rsidRPr="00F71E36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71E3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F71E36" w:rsidRDefault="006E424E" w:rsidP="006E424E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20</w:t>
            </w:r>
            <w:r w:rsidR="0022345D" w:rsidRPr="00F71E36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22345D" w:rsidRPr="00F71E36">
              <w:rPr>
                <w:rFonts w:eastAsia="SimSun"/>
                <w:rtl/>
              </w:rPr>
              <w:t xml:space="preserve"> </w:t>
            </w:r>
            <w:r w:rsidR="0022345D" w:rsidRPr="00F71E36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F71E36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F71E36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71E36">
              <w:rPr>
                <w:rFonts w:eastAsia="SimSun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F71E36" w:rsidP="005712E3">
            <w:pPr>
              <w:pStyle w:val="Source"/>
              <w:rPr>
                <w:rtl/>
              </w:rPr>
            </w:pPr>
            <w:r w:rsidRPr="00F71E36">
              <w:rPr>
                <w:rtl/>
                <w:lang w:bidi="ar-SA"/>
              </w:rPr>
              <w:t>الدول الأعضاء في الات‍حاد الدولي للاتصالات،</w:t>
            </w:r>
            <w:r>
              <w:rPr>
                <w:lang w:bidi="ar-SA"/>
              </w:rPr>
              <w:br/>
            </w:r>
            <w:r w:rsidRPr="00F71E36">
              <w:rPr>
                <w:rtl/>
                <w:lang w:bidi="ar-SA"/>
              </w:rPr>
              <w:t xml:space="preserve">الأعضاء في الكومنولث الإقليمي في م‍جال </w:t>
            </w:r>
            <w:r w:rsidR="00EE4C01">
              <w:rPr>
                <w:rFonts w:hint="cs"/>
                <w:rtl/>
                <w:lang w:bidi="ar-SA"/>
              </w:rPr>
              <w:t xml:space="preserve">الاتصالات </w:t>
            </w:r>
            <w:r w:rsidRPr="00F71E36">
              <w:t>(RCC)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F71E36" w:rsidP="00F71E36">
            <w:pPr>
              <w:pStyle w:val="Title1"/>
              <w:spacing w:before="240"/>
              <w:rPr>
                <w:rtl/>
              </w:rPr>
            </w:pPr>
            <w:r w:rsidRPr="00F71E36">
              <w:rPr>
                <w:rtl/>
                <w:lang w:bidi="ar-SA"/>
              </w:rPr>
              <w:t>مقترحات مشتركة بشأن أعمال الجمعية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E0463A"/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B621BA">
        <w:trPr>
          <w:cantSplit/>
          <w:jc w:val="right"/>
        </w:trPr>
        <w:tc>
          <w:tcPr>
            <w:tcW w:w="8506" w:type="dxa"/>
          </w:tcPr>
          <w:p w:rsidR="006157A3" w:rsidRPr="00984EA5" w:rsidRDefault="00E761BE" w:rsidP="00AD1C27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تتضمن هذه المساهمة قائمة بالمقترحات المشتركة للبلدان الأعضاء في الكومنولث الإقليمي في مجال الاتصالات المقدمة إلى </w:t>
            </w:r>
            <w:r w:rsidR="00AD1C27">
              <w:rPr>
                <w:rFonts w:hint="cs"/>
                <w:rtl/>
                <w:lang w:bidi="ar-EG"/>
              </w:rPr>
              <w:t>الجمعية العالمية لتقييس الاتصالات لعام </w:t>
            </w:r>
            <w:r w:rsidR="00AD1C27">
              <w:rPr>
                <w:lang w:bidi="ar-EG"/>
              </w:rPr>
              <w:t>2016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6D2B4D" w:rsidRDefault="006D2B4D" w:rsidP="006D2B4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D2B4D" w:rsidRDefault="00E97EAF" w:rsidP="006D2B4D">
      <w:pPr>
        <w:rPr>
          <w:b/>
          <w:bCs/>
          <w:rtl/>
          <w:lang w:bidi="ar-EG"/>
        </w:rPr>
      </w:pPr>
      <w:r w:rsidRPr="00F71E36">
        <w:rPr>
          <w:rFonts w:hint="cs"/>
          <w:rtl/>
          <w:lang w:bidi="ar-EG"/>
        </w:rPr>
        <w:t xml:space="preserve">في إطار استعراض تنظيم أعمال قطاع تقييس الاتصالات بالاتحاد، تقدم الدول الأعضاء في الاتحاد التي </w:t>
      </w:r>
      <w:r>
        <w:rPr>
          <w:rFonts w:hint="cs"/>
          <w:rtl/>
          <w:lang w:bidi="ar-EG"/>
        </w:rPr>
        <w:t>تكون</w:t>
      </w:r>
      <w:r w:rsidRPr="00F71E36">
        <w:rPr>
          <w:rFonts w:hint="cs"/>
          <w:rtl/>
          <w:lang w:bidi="ar-EG"/>
        </w:rPr>
        <w:t xml:space="preserve"> إداراتها من</w:t>
      </w:r>
      <w:r w:rsidRPr="00F71E36">
        <w:rPr>
          <w:rFonts w:hint="eastAsia"/>
          <w:rtl/>
          <w:lang w:bidi="ar-EG"/>
        </w:rPr>
        <w:t> </w:t>
      </w:r>
      <w:r w:rsidRPr="00F71E36">
        <w:rPr>
          <w:rFonts w:hint="cs"/>
          <w:rtl/>
          <w:lang w:bidi="ar-EG"/>
        </w:rPr>
        <w:t xml:space="preserve">أعضاء الكومنولث الإقليمي في مجال الاتصالات، المقترحات التالية بشأن أعمال الجمعية العالمية لتقييس الاتصالات </w:t>
      </w:r>
      <w:r w:rsidRPr="00F71E36">
        <w:t>(WTSA-1</w:t>
      </w:r>
      <w:r>
        <w:t>6</w:t>
      </w:r>
      <w:r w:rsidRPr="00F71E36">
        <w:t>)</w:t>
      </w:r>
      <w:r w:rsidRPr="00F71E36">
        <w:rPr>
          <w:rFonts w:hint="cs"/>
          <w:rtl/>
          <w:lang w:bidi="ar-EG"/>
        </w:rPr>
        <w:t>.</w:t>
      </w:r>
    </w:p>
    <w:p w:rsidR="006E424E" w:rsidRPr="002D1A94" w:rsidRDefault="002D1A94" w:rsidP="00CE0573">
      <w:pPr>
        <w:rPr>
          <w:rtl/>
        </w:rPr>
      </w:pPr>
      <w:r w:rsidRPr="002D1A94">
        <w:rPr>
          <w:rFonts w:hint="cs"/>
          <w:rtl/>
          <w:lang w:bidi="ar-EG"/>
        </w:rPr>
        <w:t xml:space="preserve">يرجي العلم بأن المقترح المقدم من جمهورية كازاخستان والوارد بالوثيقة </w:t>
      </w:r>
      <w:r w:rsidRPr="002D1A94">
        <w:rPr>
          <w:lang w:bidi="ar-EG"/>
        </w:rPr>
        <w:t>54</w:t>
      </w:r>
      <w:r w:rsidRPr="002D1A94">
        <w:rPr>
          <w:rFonts w:hint="cs"/>
          <w:rtl/>
          <w:lang w:bidi="ar-EG"/>
        </w:rPr>
        <w:t xml:space="preserve"> </w:t>
      </w:r>
      <w:r w:rsidR="00CE0573">
        <w:rPr>
          <w:rFonts w:hint="cs"/>
          <w:rtl/>
          <w:lang w:bidi="ar-EG"/>
        </w:rPr>
        <w:t>اعتُمد</w:t>
      </w:r>
      <w:r w:rsidRPr="002D1A94">
        <w:rPr>
          <w:rFonts w:hint="cs"/>
          <w:rtl/>
          <w:lang w:bidi="ar-EG"/>
        </w:rPr>
        <w:t xml:space="preserve"> كمقترح مشترك من البلدان الأعضاء في الكومنولث الإقليمي في مجال الاتصالات.</w:t>
      </w:r>
    </w:p>
    <w:p w:rsidR="006E424E" w:rsidRDefault="006E424E" w:rsidP="006D2B4D">
      <w:pPr>
        <w:rPr>
          <w:b/>
          <w:bCs/>
          <w:rtl/>
          <w:lang w:bidi="ar-EG"/>
        </w:rPr>
      </w:pPr>
    </w:p>
    <w:p w:rsidR="006E424E" w:rsidRDefault="006E424E" w:rsidP="006D2B4D">
      <w:pPr>
        <w:rPr>
          <w:b/>
          <w:bCs/>
          <w:rtl/>
        </w:rPr>
      </w:pPr>
    </w:p>
    <w:p w:rsidR="00513572" w:rsidRDefault="00513572" w:rsidP="00E97EAF">
      <w:pPr>
        <w:spacing w:before="1200"/>
        <w:rPr>
          <w:lang w:bidi="ar-EG"/>
        </w:rPr>
      </w:pPr>
      <w:r w:rsidRPr="00F66249">
        <w:rPr>
          <w:rFonts w:hint="cs"/>
          <w:b/>
          <w:bCs/>
          <w:rtl/>
          <w:lang w:bidi="ar-EG"/>
        </w:rPr>
        <w:t>الملحقات:</w:t>
      </w:r>
      <w:r w:rsidRPr="00E0463A">
        <w:rPr>
          <w:rFonts w:hint="cs"/>
          <w:rtl/>
          <w:lang w:bidi="ar-EG"/>
        </w:rPr>
        <w:t xml:space="preserve"> </w:t>
      </w:r>
      <w:r w:rsidRPr="00E0463A">
        <w:rPr>
          <w:lang w:bidi="ar-EG"/>
        </w:rPr>
        <w:t>1</w:t>
      </w:r>
    </w:p>
    <w:p w:rsidR="006D2B4D" w:rsidRDefault="006D2B4D" w:rsidP="006D2B4D">
      <w:pPr>
        <w:rPr>
          <w:lang w:bidi="ar-EG"/>
        </w:rPr>
      </w:pPr>
    </w:p>
    <w:p w:rsidR="00513572" w:rsidRDefault="00513572" w:rsidP="00513572">
      <w:pPr>
        <w:tabs>
          <w:tab w:val="clear" w:pos="1134"/>
        </w:tabs>
        <w:spacing w:before="0" w:after="160" w:line="259" w:lineRule="auto"/>
        <w:jc w:val="left"/>
        <w:rPr>
          <w:rtl/>
        </w:rPr>
        <w:sectPr w:rsidR="00513572" w:rsidSect="00E0737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6352B" w:rsidRDefault="00E0463A" w:rsidP="00F6352B">
      <w:pPr>
        <w:pStyle w:val="AnnexNo"/>
        <w:spacing w:before="0"/>
      </w:pPr>
      <w:r>
        <w:rPr>
          <w:rFonts w:hint="cs"/>
          <w:rtl/>
        </w:rPr>
        <w:lastRenderedPageBreak/>
        <w:t>الملحـق</w:t>
      </w:r>
    </w:p>
    <w:p w:rsidR="0022345D" w:rsidRDefault="00F6352B" w:rsidP="00E0463A">
      <w:pPr>
        <w:pStyle w:val="Annextitle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البلدان ال‍مشاركة من</w:t>
      </w:r>
      <w:r w:rsidRPr="00E3570A">
        <w:rPr>
          <w:rFonts w:hint="cs"/>
          <w:rtl/>
          <w:lang w:bidi="ar-EG"/>
        </w:rPr>
        <w:t xml:space="preserve"> الكومنولث الإقليمي في مجال الاتصالات التي تؤيد المقترحات المشتركة بشأن أعمال الجمعية </w:t>
      </w:r>
      <w:r w:rsidRPr="00E3570A">
        <w:rPr>
          <w:lang w:bidi="ar-EG"/>
        </w:rPr>
        <w:t>WTSA-1</w:t>
      </w:r>
      <w:r w:rsidR="005E7E99">
        <w:rPr>
          <w:lang w:bidi="ar-EG"/>
        </w:rPr>
        <w:t>6</w:t>
      </w:r>
    </w:p>
    <w:tbl>
      <w:tblPr>
        <w:tblStyle w:val="TableGrid"/>
        <w:bidiVisual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5979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F6352B" w:rsidRPr="00B95D91" w:rsidTr="00DC2451">
        <w:trPr>
          <w:cantSplit/>
          <w:trHeight w:val="1176"/>
          <w:tblHeader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352B" w:rsidRPr="00B95D91" w:rsidRDefault="00C86413" w:rsidP="00C20A7C">
            <w:pPr>
              <w:pStyle w:val="Tablehead"/>
              <w:spacing w:line="280" w:lineRule="exact"/>
              <w:rPr>
                <w:rtl/>
                <w:lang w:val="en-US"/>
              </w:rPr>
            </w:pPr>
            <w:r w:rsidRPr="00B95D91">
              <w:rPr>
                <w:rFonts w:hint="cs"/>
                <w:rtl/>
              </w:rPr>
              <w:t>الإضافات إلى</w:t>
            </w:r>
            <w:r w:rsidR="00A10D88" w:rsidRPr="00B95D91">
              <w:rPr>
                <w:rtl/>
              </w:rPr>
              <w:br/>
            </w:r>
            <w:r w:rsidRPr="00B95D91">
              <w:rPr>
                <w:rFonts w:hint="cs"/>
                <w:rtl/>
              </w:rPr>
              <w:t xml:space="preserve">الوثيقة </w:t>
            </w:r>
            <w:r w:rsidR="00C20A7C">
              <w:rPr>
                <w:lang w:val="en-US"/>
              </w:rPr>
              <w:t>XX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352B" w:rsidRPr="00B95D91" w:rsidRDefault="00B05EA4" w:rsidP="00B95D91">
            <w:pPr>
              <w:pStyle w:val="Tablehead"/>
              <w:spacing w:line="280" w:lineRule="exact"/>
            </w:pPr>
            <w:r w:rsidRPr="00B95D91">
              <w:rPr>
                <w:rFonts w:hint="cs"/>
                <w:rtl/>
                <w:lang w:val="fr-CH"/>
              </w:rPr>
              <w:t>عنوان المقترح المقدم من الكومنولث الإقليمي في مجال الاتصالات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أذربيجان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أرمينيا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بيلاروس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C86413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جورجيا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كازاخستان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قيرغيزستان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مولدوفا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Fonts w:hint="cs"/>
                <w:rtl/>
              </w:rPr>
              <w:t>روسيا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طاجيكستان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تركمانستان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أوزبكستان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F6352B" w:rsidRPr="00B95D91" w:rsidRDefault="0004094A" w:rsidP="00B95D91">
            <w:pPr>
              <w:pStyle w:val="Tablehead"/>
              <w:spacing w:line="280" w:lineRule="exact"/>
            </w:pPr>
            <w:r w:rsidRPr="00B95D91">
              <w:rPr>
                <w:rtl/>
                <w:lang w:bidi="ar-SA"/>
              </w:rPr>
              <w:t>أوكرانيا</w:t>
            </w:r>
          </w:p>
        </w:tc>
      </w:tr>
      <w:tr w:rsidR="00F6352B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FFFFCC"/>
            <w:vAlign w:val="center"/>
          </w:tcPr>
          <w:p w:rsidR="00F6352B" w:rsidRPr="00B95D91" w:rsidRDefault="00F6352B" w:rsidP="00B95D91">
            <w:pPr>
              <w:pStyle w:val="Tablehead"/>
              <w:spacing w:line="280" w:lineRule="exact"/>
              <w:rPr>
                <w:color w:val="000000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:rsidR="00F6352B" w:rsidRPr="00B95D91" w:rsidRDefault="005E7E99" w:rsidP="00B95D91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 xml:space="preserve">أولاً </w:t>
            </w:r>
            <w:r w:rsidRPr="00B95D91">
              <w:rPr>
                <w:color w:val="000000"/>
                <w:rtl/>
                <w:lang w:val="en-US"/>
              </w:rPr>
              <w:t>–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أساليب العمل (اللجنة </w:t>
            </w:r>
            <w:r w:rsidR="0028701E" w:rsidRPr="00B95D91">
              <w:rPr>
                <w:color w:val="000000"/>
                <w:lang w:val="en-US"/>
              </w:rPr>
              <w:t>3</w:t>
            </w:r>
            <w:r w:rsidRPr="00B95D91">
              <w:rPr>
                <w:rFonts w:hint="cs"/>
                <w:color w:val="000000"/>
                <w:rtl/>
                <w:lang w:val="en-US"/>
              </w:rPr>
              <w:t>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FFFFCC"/>
            <w:vAlign w:val="center"/>
          </w:tcPr>
          <w:p w:rsidR="00F6352B" w:rsidRPr="00B95D91" w:rsidRDefault="00F6352B" w:rsidP="00B95D91">
            <w:pPr>
              <w:pStyle w:val="Tablehead"/>
              <w:spacing w:line="280" w:lineRule="exact"/>
              <w:rPr>
                <w:color w:val="000000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B95D91">
              <w:rPr>
                <w:color w:val="000000"/>
                <w:lang w:val="en-US"/>
              </w:rPr>
              <w:t>1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highlight w:val="cyan"/>
                <w:rtl/>
                <w:lang w:val="en-US"/>
              </w:rPr>
            </w:pPr>
            <w:r w:rsidRPr="00B95D91">
              <w:rPr>
                <w:rFonts w:hint="cs"/>
                <w:rtl/>
                <w:lang w:val="en-US" w:bidi="ar-SA"/>
              </w:rPr>
              <w:t xml:space="preserve">مراجعة </w:t>
            </w:r>
            <w:r w:rsidRPr="00B95D91">
              <w:rPr>
                <w:rFonts w:hint="cs"/>
                <w:rtl/>
                <w:lang w:val="en-US"/>
              </w:rPr>
              <w:t>ا</w:t>
            </w:r>
            <w:r w:rsidRPr="00B95D91">
              <w:rPr>
                <w:rFonts w:hint="cs"/>
                <w:rtl/>
                <w:lang w:val="en-US" w:bidi="ar-SA"/>
              </w:rPr>
              <w:t xml:space="preserve">لقرار </w:t>
            </w:r>
            <w:r w:rsidRPr="00B95D91">
              <w:rPr>
                <w:lang w:val="en-US"/>
              </w:rPr>
              <w:t>1</w:t>
            </w:r>
            <w:r w:rsidRPr="00B95D91">
              <w:rPr>
                <w:rFonts w:hint="cs"/>
                <w:rtl/>
                <w:lang w:val="en-US"/>
              </w:rPr>
              <w:t xml:space="preserve"> </w:t>
            </w:r>
            <w:r w:rsidRPr="00B95D91">
              <w:rPr>
                <w:rFonts w:hint="cs"/>
                <w:rtl/>
                <w:lang w:val="en-US" w:bidi="ar-SA"/>
              </w:rPr>
              <w:t>"</w:t>
            </w:r>
            <w:r w:rsidRPr="00B95D91">
              <w:rPr>
                <w:rtl/>
                <w:lang w:val="en-US" w:bidi="ar-SA"/>
              </w:rPr>
              <w:t>النظام الداخلي لقطاع تقييس الاتصالات للاتحاد الدولي</w:t>
            </w:r>
            <w:r w:rsidRPr="00B95D91">
              <w:rPr>
                <w:rFonts w:hint="cs"/>
                <w:rtl/>
                <w:lang w:val="en-US" w:bidi="ar-SA"/>
              </w:rPr>
              <w:t> </w:t>
            </w:r>
            <w:r w:rsidRPr="00B95D91">
              <w:rPr>
                <w:rtl/>
                <w:lang w:val="en-US" w:bidi="ar-SA"/>
              </w:rPr>
              <w:t>للاتصالات</w:t>
            </w:r>
            <w:r w:rsidRPr="00B95D91">
              <w:rPr>
                <w:rFonts w:hint="cs"/>
                <w:rtl/>
                <w:lang w:val="en-US" w:bidi="ar-SA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en-US"/>
              </w:rPr>
              <w:t>2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مراجعة القرار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color w:val="000000"/>
                <w:lang w:val="en-US"/>
              </w:rPr>
              <w:t>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التعاون مع المنظمة الدولية للتوحيد القياسي واللجنة الكهرتقنية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الدولية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3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 w:bidi="ar-SA"/>
              </w:rPr>
            </w:pPr>
            <w:r w:rsidRPr="00B95D91">
              <w:rPr>
                <w:color w:val="000000"/>
                <w:rtl/>
                <w:lang w:val="en-US" w:bidi="ar-SA"/>
              </w:rPr>
              <w:t xml:space="preserve">مراجعة </w:t>
            </w:r>
            <w:r>
              <w:rPr>
                <w:rFonts w:hint="cs"/>
                <w:color w:val="000000"/>
                <w:rtl/>
                <w:lang w:val="en-US" w:bidi="ar-SA"/>
              </w:rPr>
              <w:t xml:space="preserve">القرار </w:t>
            </w:r>
            <w:r w:rsidRPr="00B95D91">
              <w:rPr>
                <w:color w:val="000000"/>
                <w:lang w:val="en-US" w:bidi="ar-SA"/>
              </w:rPr>
              <w:t>18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مبادئ وإجراءات توزيع العمل على قطاعي الاتصالات الراديوية وتقييس الاتصالات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للاتحاد الدولي للاتصالات والتنسيق فيما بينهما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4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57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تعزيز التنسيق والتعاون فيما بين القطاعات الثلاثة للاتحاد الدولي للاتصالات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B95D91">
              <w:rPr>
                <w:color w:val="000000"/>
                <w:rtl/>
                <w:lang w:val="en-US"/>
              </w:rPr>
              <w:t>في المسائل ذات الاهتمام المشترك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5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highlight w:val="cyan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مراجعة القرار </w:t>
            </w:r>
            <w:r w:rsidRPr="00B95D91">
              <w:rPr>
                <w:color w:val="000000"/>
                <w:lang w:val="en-US"/>
              </w:rPr>
              <w:t>67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rFonts w:hint="cs"/>
                <w:color w:val="000000"/>
                <w:rtl/>
                <w:lang w:val="en-US" w:bidi="ar-SY"/>
              </w:rPr>
              <w:t>استعمال لغات الاتحاد على قدم المساواة في قطاع تقييس الاتصالات للاتحاد الدولي للاتصالات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79037C" w:rsidRPr="00B95D91" w:rsidRDefault="0079037C" w:rsidP="0079037C">
            <w:pPr>
              <w:pStyle w:val="Tablehead"/>
              <w:spacing w:line="280" w:lineRule="exact"/>
              <w:rPr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 xml:space="preserve">ثانياً </w:t>
            </w:r>
            <w:r w:rsidRPr="00B95D91">
              <w:rPr>
                <w:color w:val="000000"/>
                <w:rtl/>
                <w:lang w:val="en-US"/>
              </w:rPr>
              <w:t>–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برنامج عمل لجان الدراسات وهيكلها (اللجنة </w:t>
            </w:r>
            <w:r w:rsidRPr="00B95D91">
              <w:rPr>
                <w:color w:val="000000"/>
                <w:lang w:val="en-US"/>
              </w:rPr>
              <w:t>4</w:t>
            </w:r>
            <w:r w:rsidRPr="00B95D91">
              <w:rPr>
                <w:rFonts w:hint="cs"/>
                <w:color w:val="000000"/>
                <w:rtl/>
                <w:lang w:val="en-US"/>
              </w:rPr>
              <w:t>)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الهيكل المقبل للجان دراسات قطاع تقييس الاتصالات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6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left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هيكل ل‍جان دراسات قطاع تقييس الاتصالات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7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left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إنهاء عمل لجنة الاستعراض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8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left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مراجعة للقرار </w:t>
            </w:r>
            <w:r w:rsidRPr="00B95D91">
              <w:rPr>
                <w:color w:val="000000"/>
                <w:lang w:val="en-US"/>
              </w:rPr>
              <w:t>54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"إنشاء أفرقة إقليمية ومساعدتها"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  <w:tab w:val="left" w:pos="954"/>
              </w:tabs>
              <w:spacing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مسائل تتعلق بالقمة العالمية لمجتمع المعلومات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79037C" w:rsidRPr="00D45BD3" w:rsidRDefault="0079037C" w:rsidP="0079037C">
            <w:pPr>
              <w:pStyle w:val="Tabletext"/>
              <w:keepNext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9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75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مساهمة قطاع تقييس الاتصالات للاتحاد الدولي للاتصالات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B95D91">
              <w:rPr>
                <w:color w:val="000000"/>
                <w:rtl/>
                <w:lang w:val="en-US"/>
              </w:rPr>
              <w:t>في تنفيذ نواتج القمة العالمية لمجتمع المعلومات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9037C" w:rsidRPr="00C20A7C" w:rsidRDefault="0079037C" w:rsidP="0079037C">
            <w:pPr>
              <w:pStyle w:val="Tablehead"/>
              <w:keepNext/>
              <w:spacing w:line="280" w:lineRule="exact"/>
              <w:rPr>
                <w:color w:val="000000"/>
              </w:rPr>
            </w:pPr>
            <w:r w:rsidRPr="00C20A7C">
              <w:rPr>
                <w:rFonts w:hint="cs"/>
                <w:color w:val="000000"/>
                <w:rtl/>
                <w:lang w:val="en-US"/>
              </w:rPr>
              <w:t xml:space="preserve">المطابقة وقابلية التشغيل البيني </w:t>
            </w:r>
            <w:r w:rsidRPr="00C20A7C">
              <w:rPr>
                <w:color w:val="000000"/>
                <w:lang w:val="en-US"/>
              </w:rPr>
              <w:t>(C&amp;I)</w:t>
            </w:r>
            <w:r w:rsidRPr="00C20A7C">
              <w:rPr>
                <w:rFonts w:hint="cs"/>
                <w:color w:val="000000"/>
                <w:rtl/>
                <w:lang w:val="en-US"/>
              </w:rPr>
              <w:t xml:space="preserve"> ومكافحة المنتجات المزيفة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10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مشروع قرار جديد للجمعية العالمية لتقييس الاتصالات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مكافحة سرقة الأجهزة المتنقلة باستخدام تكنولوجيا المعلومات والاتصالات المتقدمة"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11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مشروع قرار جديد للجمعية العالمية لتقييس الاتصالات "دراسات بشأن مكافحة المنتجات الزائفة بما فيها أجهزة الاتصالات/تكنولوجيا المعلومات والاتصالات"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12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76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الاتحاد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tabs>
                <w:tab w:val="left" w:pos="173"/>
              </w:tabs>
              <w:spacing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إدارة الموارد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ru-RU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13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مشروع قرار جديد للجمعية العالمية لتقييس الاتصالات "دراسات تتعلق بحماية مستعملي خدمات الاتصالات/تكنولوجيا المعلومات والاتصالات"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14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 w:bidi="ar-SA"/>
              </w:rPr>
              <w:t xml:space="preserve">مراجعة </w:t>
            </w:r>
            <w:r>
              <w:rPr>
                <w:rFonts w:hint="cs"/>
                <w:color w:val="000000"/>
                <w:rtl/>
                <w:lang w:val="en-US" w:bidi="ar-SA"/>
              </w:rPr>
              <w:t>ا</w:t>
            </w:r>
            <w:r w:rsidRPr="00B95D91">
              <w:rPr>
                <w:color w:val="000000"/>
                <w:rtl/>
                <w:lang w:val="en-US" w:bidi="ar-SA"/>
              </w:rPr>
              <w:t>لقرار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lang w:val="en-US"/>
              </w:rPr>
              <w:t>20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إجراءات تخصيص وإدارة الموارد الدولية للترقيم والتسمية والعنونة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وتحديد الهوية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</w:t>
            </w:r>
            <w:r w:rsidRPr="00B95D91">
              <w:rPr>
                <w:color w:val="000000"/>
                <w:rtl/>
                <w:lang w:val="en-US" w:bidi="ar-SA"/>
              </w:rPr>
              <w:t>في مجال الاتصالات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15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29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إجراءات النداء البديلة على شبكات الاتصالات الدولية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16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41493D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spacing w:val="4"/>
                <w:lang w:val="en-US"/>
              </w:rPr>
            </w:pPr>
            <w:r w:rsidRPr="0041493D">
              <w:rPr>
                <w:rFonts w:hint="cs"/>
                <w:color w:val="000000"/>
                <w:spacing w:val="4"/>
                <w:rtl/>
                <w:lang w:val="en-US" w:bidi="ar-SA"/>
              </w:rPr>
              <w:t xml:space="preserve">مراجعة القرار </w:t>
            </w:r>
            <w:r w:rsidRPr="0041493D">
              <w:rPr>
                <w:color w:val="000000"/>
                <w:spacing w:val="4"/>
                <w:lang w:val="en-US"/>
              </w:rPr>
              <w:t>61</w:t>
            </w:r>
            <w:r w:rsidRPr="0041493D">
              <w:rPr>
                <w:rFonts w:hint="cs"/>
                <w:color w:val="000000"/>
                <w:spacing w:val="4"/>
                <w:rtl/>
                <w:lang w:val="en-US"/>
              </w:rPr>
              <w:t xml:space="preserve"> "</w:t>
            </w:r>
            <w:r w:rsidRPr="0041493D">
              <w:rPr>
                <w:rFonts w:hint="cs"/>
                <w:color w:val="000000"/>
                <w:spacing w:val="4"/>
                <w:rtl/>
                <w:lang w:val="en-US" w:bidi="ar-SA"/>
              </w:rPr>
              <w:t>مواجهة ومكافحة سوء استغلال وسوء استعمال موارد الترقيم الدولية للاتصالات"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cantSplit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17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15422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spacing w:val="4"/>
                <w:lang w:val="en-US" w:bidi="ar-SA"/>
              </w:rPr>
            </w:pPr>
            <w:r w:rsidRPr="00B15422">
              <w:rPr>
                <w:color w:val="000000"/>
                <w:spacing w:val="4"/>
                <w:rtl/>
                <w:lang w:val="en-US" w:bidi="ar-SA"/>
              </w:rPr>
              <w:t xml:space="preserve">مراجعة القرار </w:t>
            </w:r>
            <w:r w:rsidRPr="00B15422">
              <w:rPr>
                <w:color w:val="000000"/>
                <w:spacing w:val="4"/>
                <w:lang w:val="en-US" w:bidi="ar-SA"/>
              </w:rPr>
              <w:t>65</w:t>
            </w:r>
            <w:r w:rsidRPr="00B15422">
              <w:rPr>
                <w:rFonts w:hint="cs"/>
                <w:color w:val="000000"/>
                <w:spacing w:val="4"/>
                <w:rtl/>
                <w:lang w:val="en-US" w:bidi="ar-SA"/>
              </w:rPr>
              <w:t xml:space="preserve"> "</w:t>
            </w:r>
            <w:r w:rsidRPr="00B15422">
              <w:rPr>
                <w:color w:val="000000"/>
                <w:spacing w:val="4"/>
                <w:rtl/>
                <w:lang w:val="en-US" w:bidi="ar-SA"/>
              </w:rPr>
              <w:t>توفير رقم الطرف طالب النداء وتعرف هوية الخط الطالب وتحديد منشأ الاتصال</w:t>
            </w:r>
            <w:r w:rsidRPr="00B15422">
              <w:rPr>
                <w:rFonts w:hint="cs"/>
                <w:color w:val="000000"/>
                <w:spacing w:val="4"/>
                <w:rtl/>
                <w:lang w:val="en-US" w:bidi="ar-SA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18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>قرار جديد للجمعية العالمية لتقييس الاتصالات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إنشاء قاعدة بيانات عالمية لقطاع تقييس الاتصالات تضم الأرقام الهاتفية الموزَّعة/المعيَّنة في خطط الترقيم الوطنية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19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color w:val="000000"/>
                <w:rtl/>
                <w:lang w:val="en-US" w:bidi="ar-SA"/>
              </w:rPr>
              <w:t>مراجعة القرار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color w:val="000000"/>
                <w:lang w:val="en-US"/>
              </w:rPr>
              <w:t>64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 w:bidi="ar-SA"/>
              </w:rPr>
              <w:t>توزيع عناوين بروتوكول الإنترنت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وتسهيل الانتقال إلى الإصدار السادس لبروتوكول الإنترنت</w:t>
            </w:r>
            <w:r w:rsidRPr="00B95D91">
              <w:rPr>
                <w:rFonts w:hint="eastAsia"/>
                <w:color w:val="000000"/>
                <w:rtl/>
                <w:lang w:val="en-US" w:bidi="ar-SA"/>
              </w:rPr>
              <w:t> </w:t>
            </w:r>
            <w:r w:rsidRPr="00B95D91">
              <w:rPr>
                <w:color w:val="000000"/>
                <w:lang w:val="en-US"/>
              </w:rPr>
              <w:t>(IPv6)</w:t>
            </w:r>
            <w:r w:rsidRPr="00B95D91">
              <w:rPr>
                <w:rFonts w:hint="cs"/>
                <w:color w:val="000000"/>
                <w:rtl/>
                <w:lang w:val="en-US" w:bidi="ar-SA"/>
              </w:rPr>
              <w:t xml:space="preserve"> ونشره"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  <w:tab w:val="left" w:pos="173"/>
                <w:tab w:val="center" w:pos="4677"/>
                <w:tab w:val="right" w:pos="9355"/>
              </w:tabs>
              <w:bidi w:val="0"/>
              <w:spacing w:after="120" w:line="280" w:lineRule="exact"/>
              <w:jc w:val="center"/>
              <w:rPr>
                <w:rFonts w:cs="Times New Roman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keepNext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head"/>
              <w:keepNext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أعمال التقييس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keepNext/>
              <w:spacing w:line="280" w:lineRule="exact"/>
              <w:rPr>
                <w:color w:val="000000"/>
                <w:lang w:val="ru-RU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B95D91">
              <w:rPr>
                <w:color w:val="000000"/>
                <w:lang w:val="ru-RU"/>
              </w:rPr>
              <w:t>20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color w:val="000000"/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القرار </w:t>
            </w:r>
            <w:r w:rsidRPr="00B95D91">
              <w:rPr>
                <w:color w:val="000000"/>
                <w:lang w:val="en-US"/>
              </w:rPr>
              <w:t>77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أعمال التقييس المتعلقة بالتوصيل الشبكي المعرّف بالبرمجيات في</w:t>
            </w:r>
            <w:r w:rsidRPr="00B95D91">
              <w:rPr>
                <w:rFonts w:hint="cs"/>
                <w:color w:val="000000"/>
                <w:rtl/>
                <w:lang w:val="en-US"/>
              </w:rPr>
              <w:t> </w:t>
            </w:r>
            <w:r w:rsidRPr="00B95D91">
              <w:rPr>
                <w:color w:val="000000"/>
                <w:rtl/>
                <w:lang w:val="en-US"/>
              </w:rPr>
              <w:t>قطاع تقييس الاتصالات للاتحاد الدولي للاتصالات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 xml:space="preserve">سد الفجوة </w:t>
            </w:r>
            <w:r>
              <w:rPr>
                <w:rFonts w:hint="cs"/>
                <w:color w:val="000000"/>
                <w:rtl/>
                <w:lang w:val="en-US"/>
              </w:rPr>
              <w:t>الرقمية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ru-RU"/>
              </w:rPr>
            </w:pPr>
            <w:r w:rsidRPr="00B95D91">
              <w:rPr>
                <w:color w:val="000000"/>
                <w:lang w:val="ru-RU"/>
              </w:rPr>
              <w:t>21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color w:val="000000"/>
                <w:rtl/>
                <w:lang w:val="en-US"/>
              </w:rPr>
              <w:t xml:space="preserve">مراجعة </w:t>
            </w:r>
            <w:r>
              <w:rPr>
                <w:rFonts w:hint="cs"/>
                <w:color w:val="000000"/>
                <w:rtl/>
                <w:lang w:val="en-US"/>
              </w:rPr>
              <w:t>ا</w:t>
            </w:r>
            <w:r w:rsidRPr="00B95D91">
              <w:rPr>
                <w:color w:val="000000"/>
                <w:rtl/>
                <w:lang w:val="en-US"/>
              </w:rPr>
              <w:t xml:space="preserve">لقرار </w:t>
            </w:r>
            <w:r w:rsidRPr="00B95D91">
              <w:rPr>
                <w:color w:val="000000"/>
                <w:lang w:val="en-US"/>
              </w:rPr>
              <w:t>44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"</w:t>
            </w:r>
            <w:r w:rsidRPr="00B95D91">
              <w:rPr>
                <w:color w:val="000000"/>
                <w:rtl/>
                <w:lang w:val="en-US"/>
              </w:rPr>
              <w:t>سد الفجوة التقييسية بين البلدان النامية والبلدان المتقدمة</w:t>
            </w:r>
            <w:r w:rsidRPr="00B95D91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B95D91">
              <w:rPr>
                <w:color w:val="000000"/>
                <w:rtl/>
                <w:lang w:val="en-US"/>
              </w:rPr>
              <w:t>من حيث إقامة مراكز اختبار في البلدان النامية</w:t>
            </w:r>
            <w:r w:rsidRPr="00B95D91">
              <w:rPr>
                <w:rFonts w:hint="cs"/>
                <w:color w:val="000000"/>
                <w:rtl/>
                <w:lang w:val="en-US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DC64D4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left w:val="nil"/>
              <w:right w:val="nil"/>
            </w:tcBorders>
            <w:shd w:val="clear" w:color="auto" w:fill="DAEEF3"/>
            <w:vAlign w:val="center"/>
          </w:tcPr>
          <w:p w:rsidR="0079037C" w:rsidRPr="00B95D91" w:rsidRDefault="0079037C" w:rsidP="0079037C">
            <w:pPr>
              <w:pStyle w:val="Tablehead"/>
              <w:spacing w:line="280" w:lineRule="exact"/>
              <w:rPr>
                <w:color w:val="000000"/>
              </w:rPr>
            </w:pPr>
            <w:r w:rsidRPr="00B95D91">
              <w:rPr>
                <w:rFonts w:hint="cs"/>
                <w:color w:val="000000"/>
                <w:rtl/>
                <w:lang w:val="en-US"/>
              </w:rPr>
              <w:t>مسائل أخرى (تنظيمية وسياساتية واقتصادية)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color w:val="000000"/>
                <w:highlight w:val="yellow"/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22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lang w:val="en-US"/>
              </w:rPr>
            </w:pPr>
            <w:r w:rsidRPr="00B95D91">
              <w:rPr>
                <w:rFonts w:hint="cs"/>
                <w:rtl/>
                <w:lang w:val="en-US" w:bidi="ar-SA"/>
              </w:rPr>
              <w:t>قرار جديد للجمعية العالمية لتقييس الاتصالات "</w:t>
            </w:r>
            <w:r w:rsidRPr="00B95D91">
              <w:rPr>
                <w:rtl/>
                <w:lang w:val="en-US" w:bidi="ar-SA"/>
              </w:rPr>
              <w:t xml:space="preserve">التوصيل البيني </w:t>
            </w:r>
            <w:r w:rsidRPr="00B95D91">
              <w:rPr>
                <w:rFonts w:hint="cs"/>
                <w:rtl/>
                <w:lang w:val="en-US" w:bidi="ar-SA"/>
              </w:rPr>
              <w:t xml:space="preserve">لشبكات الجيل الرابع وشبكات </w:t>
            </w:r>
            <w:r w:rsidRPr="00B95D91">
              <w:rPr>
                <w:rtl/>
                <w:lang w:val="en-US" w:bidi="ar-SA"/>
              </w:rPr>
              <w:t>الجيل الخامس/الاتصالات</w:t>
            </w:r>
            <w:r w:rsidRPr="00B95D91">
              <w:rPr>
                <w:rFonts w:hint="cs"/>
                <w:rtl/>
                <w:lang w:val="en-US" w:bidi="ar-SA"/>
              </w:rPr>
              <w:t xml:space="preserve"> المتنقلة الدولية</w:t>
            </w:r>
            <w:r w:rsidRPr="00B95D91">
              <w:rPr>
                <w:rtl/>
                <w:lang w:val="en-US" w:bidi="ar-SA"/>
              </w:rPr>
              <w:noBreakHyphen/>
            </w:r>
            <w:r w:rsidRPr="00B95D91">
              <w:rPr>
                <w:lang w:val="en-US" w:bidi="ar-SA"/>
              </w:rPr>
              <w:t>2020</w:t>
            </w:r>
            <w:r w:rsidRPr="00B95D91">
              <w:rPr>
                <w:rFonts w:hint="cs"/>
                <w:rtl/>
                <w:lang w:val="en-US" w:bidi="ar-SA"/>
              </w:rPr>
              <w:t xml:space="preserve"> </w:t>
            </w:r>
            <w:r w:rsidRPr="00B95D91">
              <w:rPr>
                <w:rtl/>
                <w:lang w:val="en-US" w:bidi="ar-SA"/>
              </w:rPr>
              <w:t>وما</w:t>
            </w:r>
            <w:r w:rsidRPr="00B95D91">
              <w:rPr>
                <w:rFonts w:hint="cs"/>
                <w:rtl/>
                <w:lang w:val="en-US" w:bidi="ar-SA"/>
              </w:rPr>
              <w:t> </w:t>
            </w:r>
            <w:r w:rsidRPr="00B95D91">
              <w:rPr>
                <w:rtl/>
                <w:lang w:val="en-US" w:bidi="ar-SA"/>
              </w:rPr>
              <w:t>بعدها</w:t>
            </w:r>
            <w:r w:rsidRPr="00B95D91">
              <w:rPr>
                <w:rFonts w:hint="cs"/>
                <w:rtl/>
                <w:lang w:val="en-US" w:bidi="ar-SA"/>
              </w:rPr>
              <w:t>"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highlight w:val="yellow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23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jc w:val="both"/>
              <w:rPr>
                <w:spacing w:val="-4"/>
                <w:lang w:val="en-US"/>
              </w:rPr>
            </w:pPr>
            <w:r w:rsidRPr="00B95D91">
              <w:rPr>
                <w:spacing w:val="-4"/>
                <w:rtl/>
                <w:lang w:val="en-US"/>
              </w:rPr>
              <w:t xml:space="preserve">مراجعة القرار </w:t>
            </w:r>
            <w:r w:rsidRPr="00B95D91">
              <w:rPr>
                <w:spacing w:val="-4"/>
                <w:lang w:val="en-US"/>
              </w:rPr>
              <w:t>2</w:t>
            </w:r>
            <w:r w:rsidRPr="00B95D91">
              <w:rPr>
                <w:rFonts w:hint="cs"/>
                <w:spacing w:val="-4"/>
                <w:rtl/>
                <w:lang w:val="en-US"/>
              </w:rPr>
              <w:t xml:space="preserve"> "</w:t>
            </w:r>
            <w:r w:rsidRPr="00B95D91">
              <w:rPr>
                <w:spacing w:val="-4"/>
                <w:rtl/>
                <w:lang w:val="en-US"/>
              </w:rPr>
              <w:t>مسؤوليات لجان دراسات قطاع تقييس الاتصالات</w:t>
            </w:r>
            <w:r w:rsidRPr="00B95D91">
              <w:rPr>
                <w:rFonts w:hint="cs"/>
                <w:spacing w:val="-4"/>
                <w:rtl/>
                <w:lang w:val="en-US"/>
              </w:rPr>
              <w:t> </w:t>
            </w:r>
            <w:r w:rsidRPr="00B95D91">
              <w:rPr>
                <w:color w:val="000000"/>
                <w:spacing w:val="-4"/>
                <w:rtl/>
                <w:lang w:val="en-US"/>
              </w:rPr>
              <w:t>واختصاصاتها</w:t>
            </w:r>
            <w:r w:rsidRPr="00B95D91">
              <w:rPr>
                <w:rFonts w:hint="cs"/>
                <w:color w:val="000000"/>
                <w:spacing w:val="-4"/>
                <w:rtl/>
                <w:lang w:val="en-US"/>
              </w:rPr>
              <w:t>"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highlight w:val="yellow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79037C" w:rsidRPr="00B95D91" w:rsidTr="00DC2451">
        <w:trPr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en-US"/>
              </w:rPr>
              <w:t>2</w:t>
            </w:r>
            <w:r w:rsidRPr="00B95D91">
              <w:rPr>
                <w:lang w:val="ru-RU"/>
              </w:rPr>
              <w:t>4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79037C" w:rsidRPr="00342E99" w:rsidRDefault="0079037C" w:rsidP="0079037C">
            <w:pPr>
              <w:pStyle w:val="Tabletext"/>
              <w:spacing w:line="280" w:lineRule="exact"/>
              <w:jc w:val="both"/>
              <w:rPr>
                <w:spacing w:val="-8"/>
                <w:lang w:val="en-US"/>
              </w:rPr>
            </w:pPr>
            <w:r w:rsidRPr="00342E99">
              <w:rPr>
                <w:rFonts w:hint="cs"/>
                <w:spacing w:val="-8"/>
                <w:rtl/>
                <w:lang w:val="en-US" w:bidi="ar-SA"/>
              </w:rPr>
              <w:t xml:space="preserve">مراجعة التوصية </w:t>
            </w:r>
            <w:r w:rsidRPr="00342E99">
              <w:rPr>
                <w:spacing w:val="-8"/>
                <w:lang w:val="en-US"/>
              </w:rPr>
              <w:t>ITU-T A.12</w:t>
            </w:r>
            <w:r w:rsidRPr="00342E99">
              <w:rPr>
                <w:rFonts w:hint="cs"/>
                <w:spacing w:val="-8"/>
                <w:rtl/>
                <w:lang w:val="en-US"/>
              </w:rPr>
              <w:t xml:space="preserve"> "</w:t>
            </w:r>
            <w:r w:rsidRPr="00342E99">
              <w:rPr>
                <w:rFonts w:hint="cs"/>
                <w:spacing w:val="-8"/>
                <w:rtl/>
                <w:lang w:val="en-US" w:bidi="ar-SA"/>
              </w:rPr>
              <w:t>تعريف التوصيات الصادرة عن قطاع تقييس الاتصالات</w:t>
            </w:r>
            <w:r w:rsidRPr="00342E99">
              <w:rPr>
                <w:rFonts w:hint="eastAsia"/>
                <w:spacing w:val="-8"/>
                <w:rtl/>
                <w:lang w:val="en-US" w:bidi="ar-SA"/>
              </w:rPr>
              <w:t> </w:t>
            </w:r>
            <w:r w:rsidRPr="00342E99">
              <w:rPr>
                <w:rFonts w:hint="cs"/>
                <w:spacing w:val="-8"/>
                <w:rtl/>
                <w:lang w:val="en-US" w:bidi="ar-SA"/>
              </w:rPr>
              <w:t>وتنسيقها"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highlight w:val="yellow"/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</w:p>
        </w:tc>
      </w:tr>
      <w:tr w:rsidR="0079037C" w:rsidRPr="00B95D91" w:rsidTr="00DC2451">
        <w:trPr>
          <w:cantSplit/>
          <w:jc w:val="center"/>
        </w:trPr>
        <w:tc>
          <w:tcPr>
            <w:tcW w:w="1384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ru-RU"/>
              </w:rPr>
            </w:pPr>
            <w:r w:rsidRPr="00B95D91">
              <w:rPr>
                <w:lang w:val="ru-RU"/>
              </w:rPr>
              <w:t>2</w:t>
            </w:r>
            <w:r w:rsidRPr="00B95D91">
              <w:rPr>
                <w:lang w:val="en-US"/>
              </w:rPr>
              <w:t>5</w:t>
            </w:r>
          </w:p>
        </w:tc>
        <w:tc>
          <w:tcPr>
            <w:tcW w:w="5979" w:type="dxa"/>
            <w:vAlign w:val="center"/>
          </w:tcPr>
          <w:p w:rsidR="0079037C" w:rsidRPr="00927A21" w:rsidRDefault="0079037C" w:rsidP="0079037C">
            <w:pPr>
              <w:pStyle w:val="Tabletext"/>
              <w:spacing w:line="280" w:lineRule="exact"/>
              <w:jc w:val="both"/>
              <w:rPr>
                <w:spacing w:val="-4"/>
                <w:lang w:val="en-US"/>
              </w:rPr>
            </w:pPr>
            <w:r w:rsidRPr="00927A21">
              <w:rPr>
                <w:rFonts w:hint="cs"/>
                <w:spacing w:val="-4"/>
                <w:rtl/>
                <w:lang w:val="en-US" w:bidi="ar-SA"/>
              </w:rPr>
              <w:t>قرار جديد للجمعية العالمية لتقييس الاتصالات "مشاركة قطاع تقييس الاتصالات في</w:t>
            </w:r>
            <w:r w:rsidRPr="00927A21">
              <w:rPr>
                <w:rFonts w:hint="eastAsia"/>
                <w:spacing w:val="-4"/>
                <w:rtl/>
                <w:lang w:val="en-US" w:bidi="ar-SA"/>
              </w:rPr>
              <w:t> </w:t>
            </w:r>
            <w:r w:rsidRPr="00927A21">
              <w:rPr>
                <w:rFonts w:hint="cs"/>
                <w:spacing w:val="-4"/>
                <w:rtl/>
                <w:lang w:val="en-US" w:bidi="ar-SA"/>
              </w:rPr>
              <w:t>استعراض لوائح الاتصالات الدولية ومراجعتها بصورة دورية"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highlight w:val="yellow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  <w:tr w:rsidR="0079037C" w:rsidRPr="00B95D91" w:rsidTr="00DC2451">
        <w:trPr>
          <w:cantSplit/>
          <w:jc w:val="center"/>
        </w:trPr>
        <w:tc>
          <w:tcPr>
            <w:tcW w:w="1384" w:type="dxa"/>
            <w:vAlign w:val="center"/>
          </w:tcPr>
          <w:p w:rsidR="0079037C" w:rsidRPr="00E1198B" w:rsidRDefault="0079037C" w:rsidP="0079037C">
            <w:pPr>
              <w:pStyle w:val="Tabletext"/>
              <w:spacing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الوثيقة </w:t>
            </w:r>
            <w:r>
              <w:rPr>
                <w:lang w:val="en-US" w:bidi="ar-SA"/>
              </w:rPr>
              <w:t>54</w:t>
            </w:r>
            <w:r>
              <w:rPr>
                <w:rFonts w:hint="cs"/>
                <w:rtl/>
                <w:lang w:val="en-US" w:bidi="ar-SA"/>
              </w:rPr>
              <w:t xml:space="preserve"> (كازاخستان)</w:t>
            </w:r>
          </w:p>
        </w:tc>
        <w:tc>
          <w:tcPr>
            <w:tcW w:w="5979" w:type="dxa"/>
            <w:vAlign w:val="center"/>
          </w:tcPr>
          <w:p w:rsidR="0079037C" w:rsidRPr="00B95D91" w:rsidRDefault="0079037C" w:rsidP="00063BC1">
            <w:pPr>
              <w:pStyle w:val="Tabletext"/>
              <w:spacing w:line="280" w:lineRule="exact"/>
              <w:jc w:val="both"/>
              <w:rPr>
                <w:rtl/>
                <w:lang w:val="en-US" w:bidi="ar"/>
              </w:rPr>
            </w:pPr>
            <w:r w:rsidRPr="00E9313E">
              <w:rPr>
                <w:rFonts w:hint="cs"/>
                <w:rtl/>
                <w:lang w:bidi="ar"/>
              </w:rPr>
              <w:t>مقترحات بشأن تحديث وتحسين مصن</w:t>
            </w:r>
            <w:r>
              <w:rPr>
                <w:rFonts w:hint="cs"/>
                <w:rtl/>
                <w:lang w:bidi="ar"/>
              </w:rPr>
              <w:t>ِّ</w:t>
            </w:r>
            <w:r w:rsidRPr="00E9313E">
              <w:rPr>
                <w:rFonts w:hint="cs"/>
                <w:rtl/>
                <w:lang w:bidi="ar"/>
              </w:rPr>
              <w:t>فات أنواع النشاط الاقتصادي</w:t>
            </w:r>
            <w:r>
              <w:rPr>
                <w:rFonts w:hint="cs"/>
                <w:rtl/>
                <w:lang w:bidi="ar"/>
              </w:rPr>
              <w:t xml:space="preserve"> </w:t>
            </w:r>
            <w:r w:rsidRPr="00E9313E">
              <w:rPr>
                <w:rFonts w:hint="cs"/>
                <w:rtl/>
                <w:lang w:bidi="ar"/>
              </w:rPr>
              <w:t>والإنتاج حسب نوع النشاط الاقتصادي في مجال الاتصالات/تكنولوجيا المعلومات والاتصالات</w:t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45BD3" w:rsidRDefault="0079037C" w:rsidP="0079037C">
            <w:pPr>
              <w:pStyle w:val="Tabletext"/>
              <w:spacing w:line="280" w:lineRule="exact"/>
              <w:rPr>
                <w:highlight w:val="yellow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rtl/>
                <w:lang w:val="en-US" w:bidi="ar-SA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DC64D4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  <w:r w:rsidRPr="00DC64D4">
              <w:rPr>
                <w:rFonts w:eastAsia="Calibri"/>
                <w:color w:val="000000"/>
                <w:szCs w:val="28"/>
              </w:rPr>
              <w:sym w:font="Wingdings" w:char="F0FC"/>
            </w:r>
          </w:p>
        </w:tc>
        <w:tc>
          <w:tcPr>
            <w:tcW w:w="683" w:type="dxa"/>
            <w:vAlign w:val="center"/>
          </w:tcPr>
          <w:p w:rsidR="0079037C" w:rsidRPr="007513AB" w:rsidRDefault="0079037C" w:rsidP="0079037C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left" w:pos="173"/>
                <w:tab w:val="left" w:pos="954"/>
              </w:tabs>
              <w:bidi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79037C" w:rsidRPr="00B95D91" w:rsidRDefault="0079037C" w:rsidP="0079037C">
            <w:pPr>
              <w:pStyle w:val="Tabletext"/>
              <w:spacing w:line="280" w:lineRule="exact"/>
              <w:rPr>
                <w:lang w:val="en-US"/>
              </w:rPr>
            </w:pPr>
          </w:p>
        </w:tc>
      </w:tr>
    </w:tbl>
    <w:p w:rsidR="00A76850" w:rsidRPr="002A45B3" w:rsidRDefault="00A76850" w:rsidP="008240CF">
      <w:pPr>
        <w:tabs>
          <w:tab w:val="clear" w:pos="1134"/>
          <w:tab w:val="left" w:pos="680"/>
          <w:tab w:val="right" w:pos="1531"/>
          <w:tab w:val="right" w:pos="2948"/>
        </w:tabs>
        <w:ind w:leftChars="-206" w:left="-453" w:firstLine="1"/>
        <w:rPr>
          <w:sz w:val="20"/>
          <w:szCs w:val="26"/>
          <w:rtl/>
          <w:lang w:bidi="ar-EG"/>
        </w:rPr>
      </w:pPr>
      <w:r w:rsidRPr="002A45B3">
        <w:rPr>
          <w:rFonts w:hint="cs"/>
          <w:sz w:val="20"/>
          <w:szCs w:val="26"/>
          <w:rtl/>
          <w:lang w:bidi="ar-EG"/>
        </w:rPr>
        <w:t>شرح الرموز:</w:t>
      </w:r>
      <w:r w:rsidR="002A45B3" w:rsidRPr="002A45B3">
        <w:rPr>
          <w:sz w:val="20"/>
          <w:szCs w:val="26"/>
          <w:rtl/>
          <w:lang w:bidi="ar-EG"/>
        </w:rPr>
        <w:tab/>
      </w:r>
      <w:r w:rsidR="00B0248B" w:rsidRPr="002A45B3">
        <w:rPr>
          <w:rFonts w:eastAsia="Calibri"/>
          <w:color w:val="000000"/>
          <w:sz w:val="20"/>
          <w:szCs w:val="26"/>
        </w:rPr>
        <w:t>"</w:t>
      </w:r>
      <w:r w:rsidRPr="002A45B3">
        <w:rPr>
          <w:rFonts w:eastAsia="Calibri"/>
          <w:color w:val="000000"/>
          <w:sz w:val="20"/>
          <w:szCs w:val="26"/>
        </w:rPr>
        <w:sym w:font="Wingdings" w:char="F0FC"/>
      </w:r>
      <w:r w:rsidR="00B0248B" w:rsidRPr="002A45B3">
        <w:rPr>
          <w:rFonts w:eastAsia="Calibri"/>
          <w:color w:val="000000"/>
          <w:sz w:val="20"/>
          <w:szCs w:val="26"/>
        </w:rPr>
        <w:t>"</w:t>
      </w:r>
      <w:r w:rsidRPr="002A45B3">
        <w:rPr>
          <w:rFonts w:hint="cs"/>
          <w:sz w:val="20"/>
          <w:szCs w:val="26"/>
          <w:rtl/>
          <w:lang w:bidi="ar-EG"/>
        </w:rPr>
        <w:tab/>
        <w:t>-</w:t>
      </w:r>
      <w:r w:rsidRPr="002A45B3">
        <w:rPr>
          <w:rFonts w:hint="cs"/>
          <w:sz w:val="20"/>
          <w:szCs w:val="26"/>
          <w:rtl/>
          <w:lang w:bidi="ar-EG"/>
        </w:rPr>
        <w:tab/>
        <w:t>إدارة تؤيد المقترح</w:t>
      </w:r>
      <w:r w:rsidR="00EC65F8">
        <w:rPr>
          <w:rFonts w:hint="cs"/>
          <w:sz w:val="20"/>
          <w:szCs w:val="26"/>
          <w:rtl/>
          <w:lang w:bidi="ar-EG"/>
        </w:rPr>
        <w:t>.</w:t>
      </w:r>
      <w:bookmarkStart w:id="0" w:name="_GoBack"/>
      <w:bookmarkEnd w:id="0"/>
    </w:p>
    <w:p w:rsidR="00251DEA" w:rsidRDefault="00251DEA" w:rsidP="00251DEA">
      <w:pPr>
        <w:pStyle w:val="Reasons"/>
        <w:rPr>
          <w:rtl/>
          <w:lang w:bidi="ar-EG"/>
        </w:rPr>
      </w:pPr>
    </w:p>
    <w:p w:rsidR="00251DEA" w:rsidRPr="00251DEA" w:rsidRDefault="00E60236" w:rsidP="002A45B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51DEA" w:rsidRPr="00251DEA" w:rsidSect="00C20A7C">
      <w:footerReference w:type="default" r:id="rId15"/>
      <w:headerReference w:type="first" r:id="rId16"/>
      <w:footerReference w:type="first" r:id="rId17"/>
      <w:pgSz w:w="1684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37587" w:rsidRDefault="00E07379" w:rsidP="005431CF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3758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D45BD3">
      <w:rPr>
        <w:rFonts w:cs="Times New Roman"/>
        <w:noProof/>
        <w:sz w:val="16"/>
        <w:szCs w:val="16"/>
        <w:lang w:val="fr-CH"/>
      </w:rPr>
      <w:t>P:\TRAD\A\ITU-T\CONF-T\WTSA16\000\047REV1A.docx</w:t>
    </w:r>
    <w:r w:rsidRPr="00E07379">
      <w:rPr>
        <w:rFonts w:cs="Times New Roman"/>
        <w:sz w:val="16"/>
        <w:szCs w:val="16"/>
      </w:rPr>
      <w:fldChar w:fldCharType="end"/>
    </w:r>
    <w:r w:rsidR="005431CF">
      <w:rPr>
        <w:rFonts w:cs="Times New Roman"/>
        <w:sz w:val="16"/>
        <w:szCs w:val="16"/>
        <w:lang w:val="fr-CH"/>
      </w:rPr>
      <w:t>   </w:t>
    </w:r>
    <w:r w:rsidR="00937587" w:rsidRPr="00937587">
      <w:rPr>
        <w:rFonts w:cs="Times New Roman"/>
        <w:sz w:val="16"/>
        <w:szCs w:val="16"/>
        <w:lang w:val="fr-CH"/>
      </w:rPr>
      <w:t>(400976)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37587" w:rsidRDefault="0022345D" w:rsidP="006E424E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37587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2D1A94">
      <w:rPr>
        <w:noProof/>
        <w:szCs w:val="12"/>
        <w:lang w:val="fr-CH"/>
      </w:rPr>
      <w:t>P:\ARA\ITU-T\CONF-T\WTSA16\000\047REV1A.docx</w:t>
    </w:r>
    <w:r w:rsidRPr="0022345D">
      <w:rPr>
        <w:szCs w:val="12"/>
      </w:rPr>
      <w:fldChar w:fldCharType="end"/>
    </w:r>
    <w:r w:rsidR="006D03B6">
      <w:rPr>
        <w:szCs w:val="12"/>
        <w:lang w:val="fr-CH"/>
      </w:rPr>
      <w:t>   </w:t>
    </w:r>
    <w:r w:rsidR="00937587" w:rsidRPr="00937587">
      <w:rPr>
        <w:szCs w:val="12"/>
        <w:lang w:val="fr-CH"/>
      </w:rPr>
      <w:t>(</w:t>
    </w:r>
    <w:r w:rsidR="006E424E">
      <w:rPr>
        <w:szCs w:val="12"/>
        <w:lang w:val="fr-CH"/>
      </w:rPr>
      <w:t>407424</w:t>
    </w:r>
    <w:r w:rsidR="00937587" w:rsidRPr="00937587">
      <w:rPr>
        <w:szCs w:val="12"/>
        <w:lang w:val="fr-CH"/>
      </w:rPr>
      <w:t>)</w:t>
    </w:r>
  </w:p>
  <w:p w:rsidR="00E07379" w:rsidRPr="00937587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4E" w:rsidRPr="006E424E" w:rsidRDefault="006E424E" w:rsidP="006E424E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37587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D45BD3">
      <w:rPr>
        <w:noProof/>
        <w:szCs w:val="12"/>
        <w:lang w:val="fr-CH"/>
      </w:rPr>
      <w:t>P:\TRAD\A\ITU-T\CONF-T\WTSA16\000\047REV1A.docx</w:t>
    </w:r>
    <w:r w:rsidRPr="0022345D">
      <w:rPr>
        <w:szCs w:val="12"/>
      </w:rPr>
      <w:fldChar w:fldCharType="end"/>
    </w:r>
    <w:r>
      <w:rPr>
        <w:szCs w:val="12"/>
        <w:lang w:val="fr-CH"/>
      </w:rPr>
      <w:t>   </w:t>
    </w:r>
    <w:r w:rsidRPr="00937587">
      <w:rPr>
        <w:szCs w:val="12"/>
        <w:lang w:val="fr-CH"/>
      </w:rPr>
      <w:t>(</w:t>
    </w:r>
    <w:r>
      <w:rPr>
        <w:szCs w:val="12"/>
        <w:lang w:val="fr-CH"/>
      </w:rPr>
      <w:t>407424</w:t>
    </w:r>
    <w:r w:rsidRPr="00937587">
      <w:rPr>
        <w:szCs w:val="12"/>
        <w:lang w:val="fr-CH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4E" w:rsidRPr="006E424E" w:rsidRDefault="006E424E" w:rsidP="006E424E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37587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2D1A94">
      <w:rPr>
        <w:noProof/>
        <w:szCs w:val="12"/>
        <w:lang w:val="fr-CH"/>
      </w:rPr>
      <w:t>P:\ARA\ITU-T\CONF-T\WTSA16\000\047REV1A.docx</w:t>
    </w:r>
    <w:r w:rsidRPr="0022345D">
      <w:rPr>
        <w:szCs w:val="12"/>
      </w:rPr>
      <w:fldChar w:fldCharType="end"/>
    </w:r>
    <w:r>
      <w:rPr>
        <w:szCs w:val="12"/>
        <w:lang w:val="fr-CH"/>
      </w:rPr>
      <w:t>   </w:t>
    </w:r>
    <w:r w:rsidRPr="00937587">
      <w:rPr>
        <w:szCs w:val="12"/>
        <w:lang w:val="fr-CH"/>
      </w:rPr>
      <w:t>(</w:t>
    </w:r>
    <w:r>
      <w:rPr>
        <w:szCs w:val="12"/>
        <w:lang w:val="fr-CH"/>
      </w:rPr>
      <w:t>407424</w:t>
    </w:r>
    <w:r w:rsidRPr="00937587">
      <w:rPr>
        <w:szCs w:val="12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6E424E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  <w:lang w:val="fr-CH"/>
      </w:rPr>
    </w:pPr>
    <w:r w:rsidRPr="005D6C0D">
      <w:rPr>
        <w:rStyle w:val="PageNumber"/>
        <w:sz w:val="18"/>
        <w:szCs w:val="18"/>
      </w:rPr>
      <w:fldChar w:fldCharType="begin"/>
    </w:r>
    <w:r w:rsidRPr="006E424E">
      <w:rPr>
        <w:rStyle w:val="PageNumber"/>
        <w:sz w:val="18"/>
        <w:szCs w:val="18"/>
        <w:lang w:val="fr-CH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C65F8">
      <w:rPr>
        <w:rStyle w:val="PageNumber"/>
        <w:noProof/>
        <w:sz w:val="18"/>
        <w:szCs w:val="18"/>
        <w:lang w:val="fr-CH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6E424E">
      <w:rPr>
        <w:sz w:val="18"/>
        <w:szCs w:val="24"/>
        <w:lang w:val="fr-CH"/>
      </w:rPr>
      <w:t>WTSA16/47</w:t>
    </w:r>
    <w:r w:rsidR="006E424E" w:rsidRPr="006E424E">
      <w:rPr>
        <w:sz w:val="18"/>
        <w:szCs w:val="24"/>
        <w:lang w:val="fr-CH"/>
      </w:rPr>
      <w:t>(Rev.</w:t>
    </w:r>
    <w:r w:rsidR="006E424E">
      <w:rPr>
        <w:sz w:val="18"/>
        <w:szCs w:val="24"/>
        <w:lang w:val="fr-CH"/>
      </w:rPr>
      <w:t>1)</w:t>
    </w:r>
    <w:r w:rsidR="005D6C0D" w:rsidRPr="006E424E">
      <w:rPr>
        <w:sz w:val="18"/>
        <w:szCs w:val="24"/>
        <w:lang w:val="fr-CH"/>
      </w:rPr>
      <w:t>-A</w:t>
    </w:r>
  </w:p>
  <w:p w:rsidR="002E3E3F" w:rsidRPr="006E424E" w:rsidRDefault="002E3E3F">
    <w:pPr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C1" w:rsidRPr="00F6352B" w:rsidRDefault="00551AC1" w:rsidP="00F6352B">
    <w:pPr>
      <w:bidi w:val="0"/>
      <w:spacing w:after="360" w:line="240" w:lineRule="auto"/>
      <w:jc w:val="center"/>
      <w:rPr>
        <w:rFonts w:cs="Times New Roman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E0573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WTSA16/47</w:t>
    </w:r>
    <w:r w:rsidR="006E424E"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3B97"/>
    <w:rsid w:val="000124CC"/>
    <w:rsid w:val="00034BE3"/>
    <w:rsid w:val="00036AFF"/>
    <w:rsid w:val="0004094A"/>
    <w:rsid w:val="00046444"/>
    <w:rsid w:val="0006023B"/>
    <w:rsid w:val="000629DF"/>
    <w:rsid w:val="00063BC1"/>
    <w:rsid w:val="00065711"/>
    <w:rsid w:val="00073529"/>
    <w:rsid w:val="0008638B"/>
    <w:rsid w:val="00090574"/>
    <w:rsid w:val="00092FC2"/>
    <w:rsid w:val="000A1677"/>
    <w:rsid w:val="000A716D"/>
    <w:rsid w:val="000B407F"/>
    <w:rsid w:val="000B6600"/>
    <w:rsid w:val="000F0B1C"/>
    <w:rsid w:val="000F1D42"/>
    <w:rsid w:val="000F4D07"/>
    <w:rsid w:val="00102A03"/>
    <w:rsid w:val="001040A3"/>
    <w:rsid w:val="001137EF"/>
    <w:rsid w:val="00141776"/>
    <w:rsid w:val="001472E5"/>
    <w:rsid w:val="00166AA7"/>
    <w:rsid w:val="00173915"/>
    <w:rsid w:val="001A21B7"/>
    <w:rsid w:val="0022345D"/>
    <w:rsid w:val="00225854"/>
    <w:rsid w:val="0023283D"/>
    <w:rsid w:val="00232FC1"/>
    <w:rsid w:val="00251DEA"/>
    <w:rsid w:val="00252E0C"/>
    <w:rsid w:val="00264AF2"/>
    <w:rsid w:val="00276881"/>
    <w:rsid w:val="0028701E"/>
    <w:rsid w:val="002978F4"/>
    <w:rsid w:val="002A45B3"/>
    <w:rsid w:val="002B028D"/>
    <w:rsid w:val="002B435E"/>
    <w:rsid w:val="002C4DAE"/>
    <w:rsid w:val="002D1A94"/>
    <w:rsid w:val="002E3E3F"/>
    <w:rsid w:val="002E6541"/>
    <w:rsid w:val="002F50A1"/>
    <w:rsid w:val="002F5560"/>
    <w:rsid w:val="0030486B"/>
    <w:rsid w:val="003231B9"/>
    <w:rsid w:val="003255AD"/>
    <w:rsid w:val="00326DDA"/>
    <w:rsid w:val="003275AC"/>
    <w:rsid w:val="00333D29"/>
    <w:rsid w:val="003409F4"/>
    <w:rsid w:val="00342E99"/>
    <w:rsid w:val="0035213F"/>
    <w:rsid w:val="00357185"/>
    <w:rsid w:val="00364239"/>
    <w:rsid w:val="00372B6D"/>
    <w:rsid w:val="00394032"/>
    <w:rsid w:val="003947CB"/>
    <w:rsid w:val="00395ABC"/>
    <w:rsid w:val="003B56AB"/>
    <w:rsid w:val="003C475F"/>
    <w:rsid w:val="003E4132"/>
    <w:rsid w:val="003F678F"/>
    <w:rsid w:val="003F6B8D"/>
    <w:rsid w:val="0041493D"/>
    <w:rsid w:val="0042686F"/>
    <w:rsid w:val="004367CE"/>
    <w:rsid w:val="00443869"/>
    <w:rsid w:val="004712C6"/>
    <w:rsid w:val="004720A7"/>
    <w:rsid w:val="00497703"/>
    <w:rsid w:val="004F0F06"/>
    <w:rsid w:val="004F6697"/>
    <w:rsid w:val="00501E0E"/>
    <w:rsid w:val="00513572"/>
    <w:rsid w:val="005204D7"/>
    <w:rsid w:val="00530420"/>
    <w:rsid w:val="005431CF"/>
    <w:rsid w:val="00551AC1"/>
    <w:rsid w:val="00552BC5"/>
    <w:rsid w:val="0055516A"/>
    <w:rsid w:val="0056374C"/>
    <w:rsid w:val="0056614F"/>
    <w:rsid w:val="005712E3"/>
    <w:rsid w:val="0057656F"/>
    <w:rsid w:val="00576731"/>
    <w:rsid w:val="0059285F"/>
    <w:rsid w:val="005A1499"/>
    <w:rsid w:val="005A24B1"/>
    <w:rsid w:val="005B7B8A"/>
    <w:rsid w:val="005D19C5"/>
    <w:rsid w:val="005D6476"/>
    <w:rsid w:val="005D6C0D"/>
    <w:rsid w:val="005E4EA6"/>
    <w:rsid w:val="005E5283"/>
    <w:rsid w:val="005E58F5"/>
    <w:rsid w:val="005E7E99"/>
    <w:rsid w:val="00606660"/>
    <w:rsid w:val="006157A3"/>
    <w:rsid w:val="00620E60"/>
    <w:rsid w:val="00622228"/>
    <w:rsid w:val="0063315A"/>
    <w:rsid w:val="0065591D"/>
    <w:rsid w:val="00662C5A"/>
    <w:rsid w:val="00670AF5"/>
    <w:rsid w:val="006C1556"/>
    <w:rsid w:val="006D03B6"/>
    <w:rsid w:val="006D2B4D"/>
    <w:rsid w:val="006E424E"/>
    <w:rsid w:val="006F267F"/>
    <w:rsid w:val="006F63F7"/>
    <w:rsid w:val="006F6F03"/>
    <w:rsid w:val="00706D7A"/>
    <w:rsid w:val="00722725"/>
    <w:rsid w:val="00726AEC"/>
    <w:rsid w:val="007530CA"/>
    <w:rsid w:val="00756229"/>
    <w:rsid w:val="0079037C"/>
    <w:rsid w:val="0079553D"/>
    <w:rsid w:val="007B01CC"/>
    <w:rsid w:val="007B59C4"/>
    <w:rsid w:val="007F6238"/>
    <w:rsid w:val="007F646C"/>
    <w:rsid w:val="00801FCD"/>
    <w:rsid w:val="00803D7E"/>
    <w:rsid w:val="00803F08"/>
    <w:rsid w:val="008235CD"/>
    <w:rsid w:val="00823A07"/>
    <w:rsid w:val="008240CF"/>
    <w:rsid w:val="00830E28"/>
    <w:rsid w:val="00835FEC"/>
    <w:rsid w:val="008513CB"/>
    <w:rsid w:val="00861B9A"/>
    <w:rsid w:val="00864A57"/>
    <w:rsid w:val="00874D9C"/>
    <w:rsid w:val="008A1810"/>
    <w:rsid w:val="008B2EE4"/>
    <w:rsid w:val="008E2CFD"/>
    <w:rsid w:val="008E78CA"/>
    <w:rsid w:val="00917694"/>
    <w:rsid w:val="009263CD"/>
    <w:rsid w:val="00927A21"/>
    <w:rsid w:val="00930BDF"/>
    <w:rsid w:val="00930E6D"/>
    <w:rsid w:val="00937587"/>
    <w:rsid w:val="00972CA2"/>
    <w:rsid w:val="00982B28"/>
    <w:rsid w:val="00984EA5"/>
    <w:rsid w:val="00992593"/>
    <w:rsid w:val="009C17E1"/>
    <w:rsid w:val="009C35ED"/>
    <w:rsid w:val="009F1C12"/>
    <w:rsid w:val="00A10D88"/>
    <w:rsid w:val="00A25A43"/>
    <w:rsid w:val="00A3295B"/>
    <w:rsid w:val="00A42AE5"/>
    <w:rsid w:val="00A52B61"/>
    <w:rsid w:val="00A64820"/>
    <w:rsid w:val="00A71DD6"/>
    <w:rsid w:val="00A723C7"/>
    <w:rsid w:val="00A76850"/>
    <w:rsid w:val="00A80E11"/>
    <w:rsid w:val="00A97F94"/>
    <w:rsid w:val="00AB1309"/>
    <w:rsid w:val="00AC2C52"/>
    <w:rsid w:val="00AD1503"/>
    <w:rsid w:val="00AD1C27"/>
    <w:rsid w:val="00AE7244"/>
    <w:rsid w:val="00AF3FEE"/>
    <w:rsid w:val="00B0248B"/>
    <w:rsid w:val="00B02F46"/>
    <w:rsid w:val="00B05EA4"/>
    <w:rsid w:val="00B06F80"/>
    <w:rsid w:val="00B15422"/>
    <w:rsid w:val="00B2000C"/>
    <w:rsid w:val="00B20ADE"/>
    <w:rsid w:val="00B621BA"/>
    <w:rsid w:val="00B66B9A"/>
    <w:rsid w:val="00B82089"/>
    <w:rsid w:val="00B95D91"/>
    <w:rsid w:val="00B970AE"/>
    <w:rsid w:val="00BA1427"/>
    <w:rsid w:val="00BD056D"/>
    <w:rsid w:val="00BE49D0"/>
    <w:rsid w:val="00BF2C38"/>
    <w:rsid w:val="00C04FF8"/>
    <w:rsid w:val="00C20A7C"/>
    <w:rsid w:val="00C23331"/>
    <w:rsid w:val="00C265DA"/>
    <w:rsid w:val="00C27B21"/>
    <w:rsid w:val="00C442F2"/>
    <w:rsid w:val="00C54155"/>
    <w:rsid w:val="00C674FE"/>
    <w:rsid w:val="00C7297D"/>
    <w:rsid w:val="00C75633"/>
    <w:rsid w:val="00C8242E"/>
    <w:rsid w:val="00C82615"/>
    <w:rsid w:val="00C86413"/>
    <w:rsid w:val="00C867DB"/>
    <w:rsid w:val="00CA2A38"/>
    <w:rsid w:val="00CA50FF"/>
    <w:rsid w:val="00CC3CD2"/>
    <w:rsid w:val="00CC43BE"/>
    <w:rsid w:val="00CD123C"/>
    <w:rsid w:val="00CD2085"/>
    <w:rsid w:val="00CE0573"/>
    <w:rsid w:val="00CE2EE1"/>
    <w:rsid w:val="00CF3FFD"/>
    <w:rsid w:val="00D0494C"/>
    <w:rsid w:val="00D14BEB"/>
    <w:rsid w:val="00D21C89"/>
    <w:rsid w:val="00D45542"/>
    <w:rsid w:val="00D45BD3"/>
    <w:rsid w:val="00D474C4"/>
    <w:rsid w:val="00D77D0F"/>
    <w:rsid w:val="00DA16DE"/>
    <w:rsid w:val="00DA1CF0"/>
    <w:rsid w:val="00DB2271"/>
    <w:rsid w:val="00DB5659"/>
    <w:rsid w:val="00DC2451"/>
    <w:rsid w:val="00DC24B4"/>
    <w:rsid w:val="00DC64D4"/>
    <w:rsid w:val="00DD7A05"/>
    <w:rsid w:val="00DF16DC"/>
    <w:rsid w:val="00DF5361"/>
    <w:rsid w:val="00E009A1"/>
    <w:rsid w:val="00E00D15"/>
    <w:rsid w:val="00E0463A"/>
    <w:rsid w:val="00E071BE"/>
    <w:rsid w:val="00E07379"/>
    <w:rsid w:val="00E1198B"/>
    <w:rsid w:val="00E14494"/>
    <w:rsid w:val="00E17033"/>
    <w:rsid w:val="00E32189"/>
    <w:rsid w:val="00E402C7"/>
    <w:rsid w:val="00E45211"/>
    <w:rsid w:val="00E60236"/>
    <w:rsid w:val="00E7380C"/>
    <w:rsid w:val="00E74BE7"/>
    <w:rsid w:val="00E754F3"/>
    <w:rsid w:val="00E761BE"/>
    <w:rsid w:val="00E86CC9"/>
    <w:rsid w:val="00E90BB4"/>
    <w:rsid w:val="00E91B29"/>
    <w:rsid w:val="00E96624"/>
    <w:rsid w:val="00E97EAF"/>
    <w:rsid w:val="00EA31E1"/>
    <w:rsid w:val="00EC65F8"/>
    <w:rsid w:val="00EE4C01"/>
    <w:rsid w:val="00F07868"/>
    <w:rsid w:val="00F126F1"/>
    <w:rsid w:val="00F178DE"/>
    <w:rsid w:val="00F2106A"/>
    <w:rsid w:val="00F36D8B"/>
    <w:rsid w:val="00F401D0"/>
    <w:rsid w:val="00F45F2B"/>
    <w:rsid w:val="00F57AE4"/>
    <w:rsid w:val="00F6352B"/>
    <w:rsid w:val="00F67150"/>
    <w:rsid w:val="00F71E36"/>
    <w:rsid w:val="00F84366"/>
    <w:rsid w:val="00F85089"/>
    <w:rsid w:val="00F85564"/>
    <w:rsid w:val="00F86CFA"/>
    <w:rsid w:val="00FD3AFE"/>
    <w:rsid w:val="00FD58BD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6352B"/>
    <w:pPr>
      <w:spacing w:after="0" w:line="240" w:lineRule="auto"/>
    </w:pPr>
    <w:rPr>
      <w:rFonts w:ascii="Calibri" w:eastAsia="Calibri" w:hAnsi="Calibri"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52B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a0b55f-d1d7-4c77-a5d0-9b6ffcc0e2d2" targetNamespace="http://schemas.microsoft.com/office/2006/metadata/properties" ma:root="true" ma:fieldsID="d41af5c836d734370eb92e7ee5f83852" ns2:_="" ns3:_="">
    <xsd:import namespace="996b2e75-67fd-4955-a3b0-5ab9934cb50b"/>
    <xsd:import namespace="00a0b55f-d1d7-4c77-a5d0-9b6ffcc0e2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b55f-d1d7-4c77-a5d0-9b6ffcc0e2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a0b55f-d1d7-4c77-a5d0-9b6ffcc0e2d2">Documents Proposals Manager (DPM)</DPM_x0020_Author>
    <DPM_x0020_File_x0020_name xmlns="00a0b55f-d1d7-4c77-a5d0-9b6ffcc0e2d2">T13-WTSA.16-C-0047!!MSW-A</DPM_x0020_File_x0020_name>
    <DPM_x0020_Version xmlns="00a0b55f-d1d7-4c77-a5d0-9b6ffcc0e2d2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a0b55f-d1d7-4c77-a5d0-9b6ffcc0e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purl.org/dc/dcmitype/"/>
    <ds:schemaRef ds:uri="00a0b55f-d1d7-4c77-a5d0-9b6ffcc0e2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3E936D-3245-4FD8-ABBB-04D9ADA6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T13-WTSA.16-C-0047!!MSW-A</vt:lpstr>
    </vt:vector>
  </TitlesOfParts>
  <Company>International Telecommunication Union (ITU)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T13-WTSA.16-C-0047!!MSW-A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Awad, Samy</cp:lastModifiedBy>
  <cp:revision>21</cp:revision>
  <cp:lastPrinted>2016-10-24T10:37:00Z</cp:lastPrinted>
  <dcterms:created xsi:type="dcterms:W3CDTF">2016-10-24T11:40:00Z</dcterms:created>
  <dcterms:modified xsi:type="dcterms:W3CDTF">2016-10-24T17:40:00Z</dcterms:modified>
  <cp:category>Conference document</cp:category>
</cp:coreProperties>
</file>