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53052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53052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7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47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27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russe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764314" w:rsidTr="00530525">
        <w:trPr>
          <w:cantSplit/>
        </w:trPr>
        <w:tc>
          <w:tcPr>
            <w:tcW w:w="9811" w:type="dxa"/>
            <w:gridSpan w:val="4"/>
          </w:tcPr>
          <w:p w:rsidR="006753C7" w:rsidRPr="006753C7" w:rsidRDefault="00C26BA2" w:rsidP="00046167">
            <w:pPr>
              <w:pStyle w:val="Source"/>
              <w:rPr>
                <w:lang w:val="fr-CH"/>
              </w:rPr>
            </w:pPr>
            <w:r w:rsidRPr="006753C7">
              <w:rPr>
                <w:lang w:val="fr-CH"/>
              </w:rPr>
              <w:t>Etats Membres de l'UIT, membres de la Communauté régionale</w:t>
            </w:r>
            <w:r w:rsidR="00046167">
              <w:rPr>
                <w:lang w:val="fr-CH"/>
              </w:rPr>
              <w:br/>
            </w:r>
            <w:r w:rsidRPr="006753C7">
              <w:rPr>
                <w:lang w:val="fr-CH"/>
              </w:rPr>
              <w:t>des communications (RCC)</w:t>
            </w:r>
          </w:p>
        </w:tc>
      </w:tr>
      <w:tr w:rsidR="00595780" w:rsidRPr="00764314" w:rsidTr="00530525">
        <w:trPr>
          <w:cantSplit/>
        </w:trPr>
        <w:tc>
          <w:tcPr>
            <w:tcW w:w="9811" w:type="dxa"/>
            <w:gridSpan w:val="4"/>
          </w:tcPr>
          <w:p w:rsidR="00595780" w:rsidRPr="00764314" w:rsidRDefault="00F05424" w:rsidP="00530525">
            <w:pPr>
              <w:pStyle w:val="Title1"/>
              <w:rPr>
                <w:lang w:val="fr-CH"/>
              </w:rPr>
            </w:pPr>
            <w:r w:rsidRPr="00764314">
              <w:rPr>
                <w:lang w:val="fr-CH"/>
              </w:rPr>
              <w:t>Cessation des activités</w:t>
            </w:r>
            <w:r w:rsidR="00591A2C" w:rsidRPr="00764314">
              <w:rPr>
                <w:lang w:val="fr-CH"/>
              </w:rPr>
              <w:t xml:space="preserve"> du comité d’examen</w:t>
            </w:r>
          </w:p>
        </w:tc>
      </w:tr>
      <w:tr w:rsidR="00595780" w:rsidRPr="00764314" w:rsidTr="00530525">
        <w:trPr>
          <w:cantSplit/>
        </w:trPr>
        <w:tc>
          <w:tcPr>
            <w:tcW w:w="9811" w:type="dxa"/>
            <w:gridSpan w:val="4"/>
          </w:tcPr>
          <w:p w:rsidR="00595780" w:rsidRPr="00764314" w:rsidRDefault="00595780" w:rsidP="00530525">
            <w:pPr>
              <w:pStyle w:val="Title2"/>
              <w:rPr>
                <w:lang w:val="fr-CH"/>
              </w:rPr>
            </w:pPr>
          </w:p>
        </w:tc>
      </w:tr>
      <w:tr w:rsidR="00C26BA2" w:rsidRPr="00764314" w:rsidTr="00530525">
        <w:trPr>
          <w:cantSplit/>
        </w:trPr>
        <w:tc>
          <w:tcPr>
            <w:tcW w:w="9811" w:type="dxa"/>
            <w:gridSpan w:val="4"/>
          </w:tcPr>
          <w:p w:rsidR="00C26BA2" w:rsidRPr="00764314" w:rsidRDefault="00C26BA2" w:rsidP="00530525">
            <w:pPr>
              <w:pStyle w:val="Agendaitem"/>
              <w:rPr>
                <w:lang w:val="fr-CH"/>
              </w:rPr>
            </w:pPr>
          </w:p>
        </w:tc>
      </w:tr>
    </w:tbl>
    <w:p w:rsidR="00E11197" w:rsidRPr="00764314" w:rsidRDefault="00E11197" w:rsidP="00E11197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764314" w:rsidTr="00193AD1">
        <w:trPr>
          <w:cantSplit/>
        </w:trPr>
        <w:tc>
          <w:tcPr>
            <w:tcW w:w="1951" w:type="dxa"/>
          </w:tcPr>
          <w:p w:rsidR="00E11197" w:rsidRPr="00046167" w:rsidRDefault="00E11197" w:rsidP="00764314">
            <w:pPr>
              <w:rPr>
                <w:lang w:val="fr-CH"/>
              </w:rPr>
            </w:pPr>
            <w:r w:rsidRPr="00046167">
              <w:rPr>
                <w:b/>
                <w:bCs/>
                <w:lang w:val="fr-CH"/>
              </w:rPr>
              <w:t>Résumé: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666820641"/>
            <w:placeholder>
              <w:docPart w:val="BF5A7C457FDA4D57A4854DE19A4552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764314" w:rsidRDefault="00591A2C" w:rsidP="00764314">
                <w:pPr>
                  <w:rPr>
                    <w:color w:val="000000" w:themeColor="text1"/>
                    <w:lang w:val="fr-CH"/>
                  </w:rPr>
                </w:pPr>
                <w:r w:rsidRPr="00764314">
                  <w:rPr>
                    <w:color w:val="000000" w:themeColor="text1"/>
                    <w:lang w:val="fr-CH"/>
                  </w:rPr>
                  <w:t xml:space="preserve">Il est proposé de mettre fin aux activités du Comité d’examen, qui </w:t>
                </w:r>
                <w:r w:rsidR="00F05424" w:rsidRPr="00764314">
                  <w:rPr>
                    <w:color w:val="000000" w:themeColor="text1"/>
                    <w:lang w:val="fr-CH"/>
                  </w:rPr>
                  <w:t>s’est acquitté de</w:t>
                </w:r>
                <w:r w:rsidRPr="00764314">
                  <w:rPr>
                    <w:color w:val="000000" w:themeColor="text1"/>
                    <w:lang w:val="fr-CH"/>
                  </w:rPr>
                  <w:t xml:space="preserve"> son mandat, et </w:t>
                </w:r>
                <w:r w:rsidR="00A45BFC" w:rsidRPr="00764314">
                  <w:rPr>
                    <w:color w:val="000000" w:themeColor="text1"/>
                    <w:lang w:val="fr-CH"/>
                  </w:rPr>
                  <w:t>de poursuivre ces activités au sein du</w:t>
                </w:r>
                <w:r w:rsidRPr="00764314">
                  <w:rPr>
                    <w:color w:val="000000" w:themeColor="text1"/>
                    <w:lang w:val="fr-CH"/>
                  </w:rPr>
                  <w:t xml:space="preserve"> GCNT.</w:t>
                </w:r>
              </w:p>
            </w:tc>
          </w:sdtContent>
        </w:sdt>
      </w:tr>
    </w:tbl>
    <w:p w:rsidR="006753C7" w:rsidRPr="006753C7" w:rsidRDefault="006753C7" w:rsidP="00764314">
      <w:pPr>
        <w:pStyle w:val="Headingb"/>
      </w:pPr>
      <w:r w:rsidRPr="00764314">
        <w:t>Introduction</w:t>
      </w:r>
    </w:p>
    <w:p w:rsidR="006753C7" w:rsidRPr="006753C7" w:rsidRDefault="006D1718" w:rsidP="00764314">
      <w:pPr>
        <w:rPr>
          <w:i/>
          <w:iCs/>
          <w:lang w:val="fr-CH" w:eastAsia="ja-JP"/>
        </w:rPr>
      </w:pPr>
      <w:r>
        <w:rPr>
          <w:lang w:val="fr-CH"/>
        </w:rPr>
        <w:t>L'AMNT</w:t>
      </w:r>
      <w:r w:rsidR="006753C7" w:rsidRPr="006753C7">
        <w:rPr>
          <w:lang w:val="fr-CH"/>
        </w:rPr>
        <w:t xml:space="preserve">-12 </w:t>
      </w:r>
      <w:r>
        <w:rPr>
          <w:lang w:val="fr-CH"/>
        </w:rPr>
        <w:t>a adopté la</w:t>
      </w:r>
      <w:r w:rsidR="006753C7" w:rsidRPr="006753C7">
        <w:rPr>
          <w:lang w:val="fr-CH"/>
        </w:rPr>
        <w:t xml:space="preserve"> </w:t>
      </w:r>
      <w:r w:rsidR="006753C7" w:rsidRPr="00285471">
        <w:rPr>
          <w:lang w:val="fr-CH"/>
        </w:rPr>
        <w:t xml:space="preserve">Résolution </w:t>
      </w:r>
      <w:r w:rsidR="006753C7" w:rsidRPr="00285471">
        <w:rPr>
          <w:rStyle w:val="href"/>
          <w:lang w:val="fr-CH"/>
        </w:rPr>
        <w:t>82</w:t>
      </w:r>
      <w:r w:rsidR="006753C7">
        <w:rPr>
          <w:rStyle w:val="href"/>
          <w:lang w:val="fr-CH"/>
        </w:rPr>
        <w:t xml:space="preserve"> </w:t>
      </w:r>
      <w:r w:rsidR="006753C7" w:rsidRPr="00636038">
        <w:rPr>
          <w:lang w:val="fr-CH"/>
        </w:rPr>
        <w:t>(Dubaï, 2012)</w:t>
      </w:r>
      <w:r>
        <w:rPr>
          <w:lang w:val="fr-CH"/>
        </w:rPr>
        <w:t>, intitulée</w:t>
      </w:r>
      <w:r w:rsidR="00FB3EF1">
        <w:rPr>
          <w:lang w:val="fr-CH"/>
        </w:rPr>
        <w:t xml:space="preserve"> « </w:t>
      </w:r>
      <w:r w:rsidR="006753C7">
        <w:rPr>
          <w:lang w:val="fr-CH" w:eastAsia="ja-JP"/>
        </w:rPr>
        <w:t>E</w:t>
      </w:r>
      <w:r w:rsidR="006753C7" w:rsidRPr="004C7FED">
        <w:rPr>
          <w:lang w:val="fr-CH" w:eastAsia="ja-JP"/>
        </w:rPr>
        <w:t xml:space="preserve">xamen stratégique et structurel </w:t>
      </w:r>
      <w:r w:rsidR="006753C7">
        <w:rPr>
          <w:lang w:val="fr-CH" w:eastAsia="ja-JP"/>
        </w:rPr>
        <w:t>du Secteur de la normalisation d</w:t>
      </w:r>
      <w:r>
        <w:rPr>
          <w:lang w:val="fr-CH" w:eastAsia="ja-JP"/>
        </w:rPr>
        <w:t>es télécommunications de l'UIT</w:t>
      </w:r>
      <w:r w:rsidR="00FB3EF1">
        <w:rPr>
          <w:lang w:val="fr-CH" w:eastAsia="ja-JP"/>
        </w:rPr>
        <w:t> »</w:t>
      </w:r>
      <w:r w:rsidR="006753C7" w:rsidRPr="006753C7">
        <w:rPr>
          <w:lang w:val="fr-CH"/>
        </w:rPr>
        <w:t xml:space="preserve"> </w:t>
      </w:r>
      <w:r>
        <w:rPr>
          <w:lang w:val="fr-CH"/>
        </w:rPr>
        <w:t>et dans laquelle il a été décidé</w:t>
      </w:r>
      <w:r w:rsidR="006753C7">
        <w:rPr>
          <w:lang w:val="fr-CH"/>
        </w:rPr>
        <w:t xml:space="preserve"> </w:t>
      </w:r>
      <w:r w:rsidR="00FB3EF1">
        <w:rPr>
          <w:lang w:val="fr-CH"/>
        </w:rPr>
        <w:t>« </w:t>
      </w:r>
      <w:r w:rsidR="006753C7" w:rsidRPr="006753C7">
        <w:rPr>
          <w:i/>
          <w:iCs/>
          <w:lang w:val="fr-CH"/>
        </w:rPr>
        <w:t>de créer, conformément aux numéros 191A et 191B de la Convention, un Comité d'examen qui fonctionnera conformément aux dispositions pertinentes de l'article 14A de la Convention et aux procédures exposées ci-après, et dont le mandat est reproduit dans l'Annexe A de la présente Résolution, compte tenu de l'environnement actuel de la normalisation et de l'évolution constante de l</w:t>
      </w:r>
      <w:r w:rsidR="006753C7">
        <w:rPr>
          <w:i/>
          <w:iCs/>
          <w:lang w:val="fr-CH"/>
        </w:rPr>
        <w:t>'UIT-T</w:t>
      </w:r>
      <w:r w:rsidR="00FB3EF1">
        <w:rPr>
          <w:i/>
          <w:iCs/>
          <w:lang w:val="fr-CH"/>
        </w:rPr>
        <w:t> »</w:t>
      </w:r>
      <w:r w:rsidR="006753C7">
        <w:rPr>
          <w:i/>
          <w:iCs/>
          <w:lang w:val="fr-CH"/>
        </w:rPr>
        <w:t>.</w:t>
      </w:r>
    </w:p>
    <w:p w:rsidR="006753C7" w:rsidRPr="00764314" w:rsidRDefault="00591A2C" w:rsidP="00764314">
      <w:pPr>
        <w:rPr>
          <w:lang w:val="fr-CH" w:eastAsia="ja-JP"/>
        </w:rPr>
      </w:pPr>
      <w:r w:rsidRPr="00764314">
        <w:rPr>
          <w:lang w:val="fr-CH" w:eastAsia="ja-JP"/>
        </w:rPr>
        <w:t>Le</w:t>
      </w:r>
      <w:r w:rsidR="002B46EC" w:rsidRPr="00764314">
        <w:rPr>
          <w:lang w:val="fr-CH" w:eastAsia="ja-JP"/>
        </w:rPr>
        <w:t xml:space="preserve"> mandat du</w:t>
      </w:r>
      <w:r w:rsidRPr="00764314">
        <w:rPr>
          <w:lang w:val="fr-CH" w:eastAsia="ja-JP"/>
        </w:rPr>
        <w:t xml:space="preserve"> Comité d’examen était </w:t>
      </w:r>
      <w:r w:rsidR="002B46EC" w:rsidRPr="00764314">
        <w:rPr>
          <w:lang w:val="fr-CH" w:eastAsia="ja-JP"/>
        </w:rPr>
        <w:t>le suivant</w:t>
      </w:r>
      <w:r w:rsidR="00801C06" w:rsidRPr="00764314">
        <w:rPr>
          <w:lang w:val="fr-CH" w:eastAsia="ja-JP"/>
        </w:rPr>
        <w:t>:</w:t>
      </w:r>
    </w:p>
    <w:p w:rsidR="00801C06" w:rsidRPr="004C7FED" w:rsidRDefault="002B46EC" w:rsidP="00764314">
      <w:pPr>
        <w:rPr>
          <w:lang w:val="fr-CH" w:eastAsia="ja-JP"/>
        </w:rPr>
      </w:pPr>
      <w:r>
        <w:rPr>
          <w:lang w:val="fr-CH" w:eastAsia="ja-JP"/>
        </w:rPr>
        <w:t>1</w:t>
      </w:r>
      <w:r>
        <w:rPr>
          <w:lang w:val="fr-CH" w:eastAsia="ja-JP"/>
        </w:rPr>
        <w:tab/>
      </w:r>
      <w:r w:rsidR="00801C06">
        <w:rPr>
          <w:lang w:val="fr-CH" w:eastAsia="ja-JP"/>
        </w:rPr>
        <w:t xml:space="preserve">Déterminer </w:t>
      </w:r>
      <w:r w:rsidR="00801C06" w:rsidRPr="004C7FED">
        <w:rPr>
          <w:lang w:val="fr-CH" w:eastAsia="ja-JP"/>
        </w:rPr>
        <w:t>si la structure actuelle de l</w:t>
      </w:r>
      <w:r w:rsidR="00801C06">
        <w:rPr>
          <w:lang w:val="fr-CH" w:eastAsia="ja-JP"/>
        </w:rPr>
        <w:t>'</w:t>
      </w:r>
      <w:r w:rsidR="00801C06" w:rsidRPr="004C7FED">
        <w:rPr>
          <w:lang w:val="fr-CH" w:eastAsia="ja-JP"/>
        </w:rPr>
        <w:t>UIT</w:t>
      </w:r>
      <w:r w:rsidR="00801C06" w:rsidRPr="004C7FED">
        <w:rPr>
          <w:lang w:val="fr-CH" w:eastAsia="ja-JP"/>
        </w:rPr>
        <w:noBreakHyphen/>
        <w:t xml:space="preserve">T permet à ce Secteur de continuer </w:t>
      </w:r>
      <w:r w:rsidR="00801C06">
        <w:rPr>
          <w:lang w:val="fr-CH" w:eastAsia="ja-JP"/>
        </w:rPr>
        <w:t>d'</w:t>
      </w:r>
      <w:r w:rsidR="00801C06" w:rsidRPr="004C7FED">
        <w:rPr>
          <w:lang w:val="fr-CH" w:eastAsia="ja-JP"/>
        </w:rPr>
        <w:t>évoluer et de faire face à la nécessité croissante de fournir des résultats</w:t>
      </w:r>
      <w:r w:rsidR="00801C06">
        <w:rPr>
          <w:lang w:val="fr-CH" w:eastAsia="ja-JP"/>
        </w:rPr>
        <w:t xml:space="preserve"> appropriés</w:t>
      </w:r>
      <w:r w:rsidR="00801C06" w:rsidRPr="004C7FED">
        <w:rPr>
          <w:lang w:val="fr-CH" w:eastAsia="ja-JP"/>
        </w:rPr>
        <w:t xml:space="preserve"> dans les meilleurs délais</w:t>
      </w:r>
      <w:r w:rsidR="00801C06">
        <w:rPr>
          <w:lang w:val="fr-CH" w:eastAsia="ja-JP"/>
        </w:rPr>
        <w:t>,</w:t>
      </w:r>
      <w:r w:rsidR="00801C06" w:rsidRPr="004C7FED">
        <w:rPr>
          <w:lang w:val="fr-CH" w:eastAsia="ja-JP"/>
        </w:rPr>
        <w:t xml:space="preserve"> afin de répondre à la demande du marché, compte tenu de l</w:t>
      </w:r>
      <w:r w:rsidR="00801C06">
        <w:rPr>
          <w:lang w:val="fr-CH" w:eastAsia="ja-JP"/>
        </w:rPr>
        <w:t>'</w:t>
      </w:r>
      <w:r w:rsidR="00801C06" w:rsidRPr="004C7FED">
        <w:rPr>
          <w:lang w:val="fr-CH" w:eastAsia="ja-JP"/>
        </w:rPr>
        <w:t>environnement actuel et futur de la normalisation.</w:t>
      </w:r>
    </w:p>
    <w:p w:rsidR="00801C06" w:rsidRPr="004C7FED" w:rsidRDefault="00801C06" w:rsidP="00764314">
      <w:pPr>
        <w:rPr>
          <w:lang w:val="fr-CH" w:eastAsia="ja-JP"/>
        </w:rPr>
      </w:pPr>
      <w:r w:rsidRPr="004C7FED">
        <w:rPr>
          <w:lang w:val="fr-CH" w:eastAsia="ja-JP"/>
        </w:rPr>
        <w:t>2</w:t>
      </w:r>
      <w:r w:rsidRPr="004C7FED">
        <w:rPr>
          <w:lang w:val="fr-CH" w:eastAsia="ja-JP"/>
        </w:rPr>
        <w:tab/>
      </w:r>
      <w:r>
        <w:rPr>
          <w:lang w:val="fr-CH" w:eastAsia="ja-JP"/>
        </w:rPr>
        <w:t xml:space="preserve">Examiner </w:t>
      </w:r>
      <w:r w:rsidRPr="004C7FED">
        <w:rPr>
          <w:lang w:val="fr-CH" w:eastAsia="ja-JP"/>
        </w:rPr>
        <w:t>les mécanismes actuels de coordination et de collaboration avec d</w:t>
      </w:r>
      <w:r>
        <w:rPr>
          <w:lang w:val="fr-CH" w:eastAsia="ja-JP"/>
        </w:rPr>
        <w:t>'</w:t>
      </w:r>
      <w:r w:rsidRPr="004C7FED">
        <w:rPr>
          <w:lang w:val="fr-CH" w:eastAsia="ja-JP"/>
        </w:rPr>
        <w:t>autres organismes de normalisation et proposer des améliorations.</w:t>
      </w:r>
    </w:p>
    <w:p w:rsidR="00801C06" w:rsidRPr="004C7FED" w:rsidRDefault="00801C06" w:rsidP="00764314">
      <w:pPr>
        <w:rPr>
          <w:lang w:val="fr-CH"/>
        </w:rPr>
      </w:pPr>
      <w:r w:rsidRPr="004C7FED">
        <w:rPr>
          <w:lang w:val="fr-CH"/>
        </w:rPr>
        <w:t>3</w:t>
      </w:r>
      <w:r w:rsidRPr="004C7FED">
        <w:rPr>
          <w:lang w:val="fr-CH"/>
        </w:rPr>
        <w:tab/>
      </w:r>
      <w:r>
        <w:rPr>
          <w:lang w:val="fr-CH" w:eastAsia="ja-JP"/>
        </w:rPr>
        <w:t xml:space="preserve">Examiner </w:t>
      </w:r>
      <w:r w:rsidRPr="004C7FED">
        <w:rPr>
          <w:lang w:val="fr-CH"/>
        </w:rPr>
        <w:t>les modèles existants de collaboration entre l</w:t>
      </w:r>
      <w:r>
        <w:rPr>
          <w:lang w:val="fr-CH"/>
        </w:rPr>
        <w:t>'</w:t>
      </w:r>
      <w:r w:rsidRPr="004C7FED">
        <w:rPr>
          <w:lang w:val="fr-CH"/>
        </w:rPr>
        <w:t>UIT</w:t>
      </w:r>
      <w:r>
        <w:rPr>
          <w:lang w:val="fr-CH"/>
        </w:rPr>
        <w:t>-T</w:t>
      </w:r>
      <w:r w:rsidRPr="004C7FED">
        <w:rPr>
          <w:lang w:val="fr-CH"/>
        </w:rPr>
        <w:t xml:space="preserve"> et d</w:t>
      </w:r>
      <w:r>
        <w:rPr>
          <w:lang w:val="fr-CH"/>
        </w:rPr>
        <w:t>'</w:t>
      </w:r>
      <w:r w:rsidRPr="004C7FED">
        <w:rPr>
          <w:lang w:val="fr-CH"/>
        </w:rPr>
        <w:t>autres organismes de normalisation, compte tenu de l</w:t>
      </w:r>
      <w:r>
        <w:rPr>
          <w:lang w:val="fr-CH"/>
        </w:rPr>
        <w:t>'</w:t>
      </w:r>
      <w:r w:rsidRPr="004C7FED">
        <w:rPr>
          <w:lang w:val="fr-CH"/>
        </w:rPr>
        <w:t>accélération de l</w:t>
      </w:r>
      <w:r>
        <w:rPr>
          <w:lang w:val="fr-CH"/>
        </w:rPr>
        <w:t>'</w:t>
      </w:r>
      <w:r w:rsidRPr="004C7FED">
        <w:rPr>
          <w:lang w:val="fr-CH"/>
        </w:rPr>
        <w:t>évolution de l</w:t>
      </w:r>
      <w:r>
        <w:rPr>
          <w:lang w:val="fr-CH"/>
        </w:rPr>
        <w:t>'</w:t>
      </w:r>
      <w:r w:rsidRPr="004C7FED">
        <w:rPr>
          <w:lang w:val="fr-CH"/>
        </w:rPr>
        <w:t>environnement de la normalisation à l</w:t>
      </w:r>
      <w:r>
        <w:rPr>
          <w:lang w:val="fr-CH"/>
        </w:rPr>
        <w:t>'</w:t>
      </w:r>
      <w:r w:rsidRPr="004C7FED">
        <w:rPr>
          <w:lang w:val="fr-CH"/>
        </w:rPr>
        <w:t>échelle mondiale, et de l</w:t>
      </w:r>
      <w:r>
        <w:rPr>
          <w:lang w:val="fr-CH"/>
        </w:rPr>
        <w:t>'</w:t>
      </w:r>
      <w:r w:rsidRPr="004C7FED">
        <w:rPr>
          <w:lang w:val="fr-CH"/>
        </w:rPr>
        <w:t>évolution rapide des besoins du grand public/des utilisateurs des normes mondiales.</w:t>
      </w:r>
    </w:p>
    <w:p w:rsidR="00801C06" w:rsidRPr="004C7FED" w:rsidRDefault="00801C06" w:rsidP="00801C06">
      <w:pPr>
        <w:rPr>
          <w:lang w:val="fr-CH"/>
        </w:rPr>
      </w:pPr>
      <w:r w:rsidRPr="004C7FED">
        <w:rPr>
          <w:lang w:val="fr-CH"/>
        </w:rPr>
        <w:lastRenderedPageBreak/>
        <w:t>4</w:t>
      </w:r>
      <w:r w:rsidRPr="004C7FED">
        <w:rPr>
          <w:lang w:val="fr-CH"/>
        </w:rPr>
        <w:tab/>
      </w:r>
      <w:r>
        <w:rPr>
          <w:lang w:val="fr-CH"/>
        </w:rPr>
        <w:t>Définir</w:t>
      </w:r>
      <w:r w:rsidRPr="004C7FED">
        <w:rPr>
          <w:lang w:val="fr-CH"/>
        </w:rPr>
        <w:t xml:space="preserve"> et proposer de nouvelles modalités de coopération et de collaboration sur la base du respect et de la reconnaissance mutuels de l</w:t>
      </w:r>
      <w:r>
        <w:rPr>
          <w:lang w:val="fr-CH"/>
        </w:rPr>
        <w:t>'</w:t>
      </w:r>
      <w:r w:rsidRPr="004C7FED">
        <w:rPr>
          <w:lang w:val="fr-CH"/>
        </w:rPr>
        <w:t>évolution des rôles et des responsabilités en matière de normes.</w:t>
      </w:r>
    </w:p>
    <w:p w:rsidR="00801C06" w:rsidRPr="004C7FED" w:rsidRDefault="00801C06" w:rsidP="00801C06">
      <w:pPr>
        <w:rPr>
          <w:lang w:val="fr-CH"/>
        </w:rPr>
      </w:pPr>
      <w:r w:rsidRPr="004C7FED">
        <w:rPr>
          <w:lang w:val="fr-CH" w:eastAsia="ja-JP"/>
        </w:rPr>
        <w:t>5</w:t>
      </w:r>
      <w:r w:rsidRPr="004C7FED">
        <w:rPr>
          <w:lang w:val="fr-CH" w:eastAsia="ja-JP"/>
        </w:rPr>
        <w:tab/>
      </w:r>
      <w:r>
        <w:rPr>
          <w:lang w:val="fr-CH" w:eastAsia="ja-JP"/>
        </w:rPr>
        <w:t>Définir</w:t>
      </w:r>
      <w:r w:rsidRPr="004C7FED">
        <w:rPr>
          <w:lang w:val="fr-CH" w:eastAsia="ja-JP"/>
        </w:rPr>
        <w:t xml:space="preserve"> des moyens d</w:t>
      </w:r>
      <w:r>
        <w:rPr>
          <w:lang w:val="fr-CH" w:eastAsia="ja-JP"/>
        </w:rPr>
        <w:t>'</w:t>
      </w:r>
      <w:r w:rsidRPr="004C7FED">
        <w:rPr>
          <w:lang w:val="fr-CH" w:eastAsia="ja-JP"/>
        </w:rPr>
        <w:t xml:space="preserve">améliorer la coopération avec </w:t>
      </w:r>
      <w:r>
        <w:rPr>
          <w:lang w:val="fr-CH" w:eastAsia="ja-JP"/>
        </w:rPr>
        <w:t>d'autres</w:t>
      </w:r>
      <w:r w:rsidRPr="004C7FED">
        <w:rPr>
          <w:lang w:val="fr-CH" w:eastAsia="ja-JP"/>
        </w:rPr>
        <w:t xml:space="preserve"> organismes de normalisation</w:t>
      </w:r>
      <w:r>
        <w:rPr>
          <w:lang w:val="fr-CH" w:eastAsia="ja-JP"/>
        </w:rPr>
        <w:t>,</w:t>
      </w:r>
      <w:r w:rsidRPr="004C7FED">
        <w:rPr>
          <w:lang w:val="fr-CH" w:eastAsia="ja-JP"/>
        </w:rPr>
        <w:t xml:space="preserve"> en vue de réduire le plus possible les </w:t>
      </w:r>
      <w:r>
        <w:rPr>
          <w:lang w:val="fr-CH" w:eastAsia="ja-JP"/>
        </w:rPr>
        <w:t xml:space="preserve">divergences </w:t>
      </w:r>
      <w:r w:rsidRPr="004C7FED">
        <w:rPr>
          <w:lang w:val="fr-CH" w:eastAsia="ja-JP"/>
        </w:rPr>
        <w:t>entre les normes</w:t>
      </w:r>
      <w:r>
        <w:rPr>
          <w:lang w:val="fr-CH" w:eastAsia="ja-JP"/>
        </w:rPr>
        <w:t xml:space="preserve"> de ces organismes et les normes de l'UIT-T</w:t>
      </w:r>
      <w:r w:rsidRPr="004C7FED">
        <w:rPr>
          <w:lang w:val="fr-CH" w:eastAsia="ja-JP"/>
        </w:rPr>
        <w:t>.</w:t>
      </w:r>
    </w:p>
    <w:p w:rsidR="00801C06" w:rsidRPr="004C7FED" w:rsidRDefault="00801C06" w:rsidP="00801C06">
      <w:pPr>
        <w:rPr>
          <w:lang w:val="fr-CH"/>
        </w:rPr>
      </w:pPr>
      <w:r w:rsidRPr="004C7FED">
        <w:rPr>
          <w:lang w:val="fr-CH"/>
        </w:rPr>
        <w:t>6</w:t>
      </w:r>
      <w:r>
        <w:rPr>
          <w:lang w:val="fr-CH"/>
        </w:rPr>
        <w:tab/>
      </w:r>
      <w:r w:rsidRPr="004C7FED">
        <w:rPr>
          <w:lang w:val="fr-CH"/>
        </w:rPr>
        <w:t xml:space="preserve">Elaborer et proposer des recommandations relatives à un ensemble de </w:t>
      </w:r>
      <w:r w:rsidRPr="004C7FED">
        <w:rPr>
          <w:szCs w:val="24"/>
          <w:lang w:val="fr-CH"/>
        </w:rPr>
        <w:t xml:space="preserve">principes </w:t>
      </w:r>
      <w:r>
        <w:rPr>
          <w:szCs w:val="24"/>
          <w:lang w:val="fr-CH"/>
        </w:rPr>
        <w:t>concernant</w:t>
      </w:r>
      <w:r w:rsidRPr="004C7FED">
        <w:rPr>
          <w:szCs w:val="24"/>
          <w:lang w:val="fr-CH"/>
        </w:rPr>
        <w:t xml:space="preserve"> la normalisation à l</w:t>
      </w:r>
      <w:r>
        <w:rPr>
          <w:szCs w:val="24"/>
          <w:lang w:val="fr-CH"/>
        </w:rPr>
        <w:t>'</w:t>
      </w:r>
      <w:r w:rsidRPr="004C7FED">
        <w:rPr>
          <w:szCs w:val="24"/>
          <w:lang w:val="fr-CH"/>
        </w:rPr>
        <w:t>UIT</w:t>
      </w:r>
      <w:r w:rsidRPr="004C7FED">
        <w:rPr>
          <w:szCs w:val="24"/>
          <w:lang w:val="fr-CH"/>
        </w:rPr>
        <w:noBreakHyphen/>
        <w:t xml:space="preserve">T </w:t>
      </w:r>
      <w:r>
        <w:rPr>
          <w:szCs w:val="24"/>
          <w:lang w:val="fr-CH"/>
        </w:rPr>
        <w:t xml:space="preserve">de nature </w:t>
      </w:r>
      <w:r w:rsidRPr="004C7FED">
        <w:rPr>
          <w:szCs w:val="24"/>
          <w:lang w:val="fr-CH"/>
        </w:rPr>
        <w:t>à faciliter l</w:t>
      </w:r>
      <w:r>
        <w:rPr>
          <w:szCs w:val="24"/>
          <w:lang w:val="fr-CH"/>
        </w:rPr>
        <w:t>'</w:t>
      </w:r>
      <w:r w:rsidRPr="004C7FED">
        <w:rPr>
          <w:szCs w:val="24"/>
          <w:lang w:val="fr-CH"/>
        </w:rPr>
        <w:t xml:space="preserve">interopérabilité et à encourager </w:t>
      </w:r>
      <w:r>
        <w:rPr>
          <w:szCs w:val="24"/>
          <w:lang w:val="fr-CH"/>
        </w:rPr>
        <w:t>l'innovation future</w:t>
      </w:r>
      <w:r w:rsidRPr="004C7FED">
        <w:rPr>
          <w:szCs w:val="24"/>
          <w:lang w:val="fr-CH"/>
        </w:rPr>
        <w:t>.</w:t>
      </w:r>
    </w:p>
    <w:p w:rsidR="00801C06" w:rsidRPr="004C7FED" w:rsidRDefault="00801C06" w:rsidP="00801C06">
      <w:pPr>
        <w:rPr>
          <w:lang w:val="fr-CH" w:eastAsia="ja-JP"/>
        </w:rPr>
      </w:pPr>
      <w:r w:rsidRPr="004C7FED">
        <w:rPr>
          <w:lang w:val="fr-CH" w:eastAsia="ja-JP"/>
        </w:rPr>
        <w:t>7</w:t>
      </w:r>
      <w:r w:rsidRPr="004C7FED">
        <w:rPr>
          <w:lang w:val="fr-CH" w:eastAsia="ja-JP"/>
        </w:rPr>
        <w:tab/>
        <w:t>Elaborer un programme de travail à suivre pour mener l</w:t>
      </w:r>
      <w:r>
        <w:rPr>
          <w:lang w:val="fr-CH" w:eastAsia="ja-JP"/>
        </w:rPr>
        <w:t>'</w:t>
      </w:r>
      <w:r w:rsidRPr="004C7FED">
        <w:rPr>
          <w:lang w:val="fr-CH" w:eastAsia="ja-JP"/>
        </w:rPr>
        <w:t>examen et établir la structure du rapport</w:t>
      </w:r>
      <w:r w:rsidRPr="004C7FED">
        <w:rPr>
          <w:lang w:val="fr-CH"/>
        </w:rPr>
        <w:t>.</w:t>
      </w:r>
    </w:p>
    <w:p w:rsidR="00801C06" w:rsidRPr="004C7FED" w:rsidRDefault="00801C06" w:rsidP="00801C06">
      <w:pPr>
        <w:rPr>
          <w:lang w:val="fr-CH" w:eastAsia="ja-JP"/>
        </w:rPr>
      </w:pPr>
      <w:r w:rsidRPr="004C7FED">
        <w:rPr>
          <w:lang w:val="fr-CH" w:eastAsia="ja-JP"/>
        </w:rPr>
        <w:t>8</w:t>
      </w:r>
      <w:r w:rsidRPr="004C7FED">
        <w:rPr>
          <w:lang w:val="fr-CH" w:eastAsia="ja-JP"/>
        </w:rPr>
        <w:tab/>
      </w:r>
      <w:r>
        <w:rPr>
          <w:lang w:val="fr-CH" w:eastAsia="ja-JP"/>
        </w:rPr>
        <w:t>Procéder à</w:t>
      </w:r>
      <w:r w:rsidRPr="004C7FED">
        <w:rPr>
          <w:lang w:val="fr-CH" w:eastAsia="ja-JP"/>
        </w:rPr>
        <w:t xml:space="preserve"> l</w:t>
      </w:r>
      <w:r>
        <w:rPr>
          <w:lang w:val="fr-CH" w:eastAsia="ja-JP"/>
        </w:rPr>
        <w:t>'</w:t>
      </w:r>
      <w:r w:rsidRPr="004C7FED">
        <w:rPr>
          <w:lang w:val="fr-CH" w:eastAsia="ja-JP"/>
        </w:rPr>
        <w:t>examen initial dans les meilleurs délais</w:t>
      </w:r>
      <w:r>
        <w:rPr>
          <w:lang w:val="fr-CH" w:eastAsia="ja-JP"/>
        </w:rPr>
        <w:t>,</w:t>
      </w:r>
      <w:r w:rsidRPr="004C7FED">
        <w:rPr>
          <w:lang w:val="fr-CH" w:eastAsia="ja-JP"/>
        </w:rPr>
        <w:t xml:space="preserve"> afin de fournir au GCNT </w:t>
      </w:r>
      <w:r>
        <w:rPr>
          <w:lang w:val="fr-CH" w:eastAsia="ja-JP"/>
        </w:rPr>
        <w:t>une contribution</w:t>
      </w:r>
      <w:r w:rsidRPr="004C7FED">
        <w:rPr>
          <w:lang w:val="fr-CH" w:eastAsia="ja-JP"/>
        </w:rPr>
        <w:t xml:space="preserve"> </w:t>
      </w:r>
      <w:r>
        <w:rPr>
          <w:lang w:val="fr-CH" w:eastAsia="ja-JP"/>
        </w:rPr>
        <w:t xml:space="preserve">pour </w:t>
      </w:r>
      <w:r w:rsidRPr="004C7FED">
        <w:rPr>
          <w:lang w:val="fr-CH" w:eastAsia="ja-JP"/>
        </w:rPr>
        <w:t>l</w:t>
      </w:r>
      <w:r>
        <w:rPr>
          <w:lang w:val="fr-CH" w:eastAsia="ja-JP"/>
        </w:rPr>
        <w:t>'</w:t>
      </w:r>
      <w:r w:rsidRPr="004C7FED">
        <w:rPr>
          <w:lang w:val="fr-CH" w:eastAsia="ja-JP"/>
        </w:rPr>
        <w:t>élaboration du plan stratégique de l</w:t>
      </w:r>
      <w:r>
        <w:rPr>
          <w:lang w:val="fr-CH" w:eastAsia="ja-JP"/>
        </w:rPr>
        <w:t>'</w:t>
      </w:r>
      <w:r w:rsidRPr="004C7FED">
        <w:rPr>
          <w:lang w:val="fr-CH" w:eastAsia="ja-JP"/>
        </w:rPr>
        <w:t>UIT</w:t>
      </w:r>
      <w:r w:rsidRPr="004C7FED">
        <w:rPr>
          <w:lang w:val="fr-CH" w:eastAsia="ja-JP"/>
        </w:rPr>
        <w:noBreakHyphen/>
        <w:t>T, conformément à l</w:t>
      </w:r>
      <w:r>
        <w:rPr>
          <w:lang w:val="fr-CH" w:eastAsia="ja-JP"/>
        </w:rPr>
        <w:t>'</w:t>
      </w:r>
      <w:r w:rsidRPr="004C7FED">
        <w:rPr>
          <w:lang w:val="fr-CH" w:eastAsia="ja-JP"/>
        </w:rPr>
        <w:t>article 14A de la Convention.</w:t>
      </w:r>
    </w:p>
    <w:p w:rsidR="0005693B" w:rsidRDefault="0005693B" w:rsidP="0005693B">
      <w:pPr>
        <w:rPr>
          <w:lang w:val="fr-CH"/>
        </w:rPr>
      </w:pPr>
      <w:r w:rsidRPr="004C7FED">
        <w:rPr>
          <w:lang w:val="fr-CH"/>
        </w:rPr>
        <w:t xml:space="preserve">Le rapport final du Comité </w:t>
      </w:r>
      <w:r>
        <w:rPr>
          <w:lang w:val="fr-CH"/>
        </w:rPr>
        <w:t>d'examen</w:t>
      </w:r>
      <w:r w:rsidRPr="004C7FED">
        <w:rPr>
          <w:lang w:val="fr-CH"/>
        </w:rPr>
        <w:t xml:space="preserve"> </w:t>
      </w:r>
      <w:r>
        <w:rPr>
          <w:lang w:val="fr-CH"/>
        </w:rPr>
        <w:t>sera</w:t>
      </w:r>
      <w:r w:rsidRPr="004C7FED">
        <w:rPr>
          <w:lang w:val="fr-CH"/>
        </w:rPr>
        <w:t xml:space="preserve"> traduit et tr</w:t>
      </w:r>
      <w:r>
        <w:rPr>
          <w:lang w:val="fr-CH"/>
        </w:rPr>
        <w:t>ansmis à la dernière réunion du </w:t>
      </w:r>
      <w:r w:rsidRPr="004C7FED">
        <w:rPr>
          <w:lang w:val="fr-CH"/>
        </w:rPr>
        <w:t>GCNT avant l</w:t>
      </w:r>
      <w:r>
        <w:rPr>
          <w:lang w:val="fr-CH"/>
        </w:rPr>
        <w:t>'</w:t>
      </w:r>
      <w:r w:rsidRPr="004C7FED">
        <w:rPr>
          <w:lang w:val="fr-CH"/>
        </w:rPr>
        <w:t xml:space="preserve">AMNT-16. Les activités du Comité </w:t>
      </w:r>
      <w:r>
        <w:rPr>
          <w:lang w:val="fr-CH"/>
        </w:rPr>
        <w:t>d'examen</w:t>
      </w:r>
      <w:r w:rsidRPr="004C7FED">
        <w:rPr>
          <w:lang w:val="fr-CH"/>
        </w:rPr>
        <w:t xml:space="preserve"> prendront fin en 2016, à moins que l</w:t>
      </w:r>
      <w:r>
        <w:rPr>
          <w:lang w:val="fr-CH"/>
        </w:rPr>
        <w:t>'</w:t>
      </w:r>
      <w:r w:rsidRPr="004C7FED">
        <w:rPr>
          <w:lang w:val="fr-CH"/>
        </w:rPr>
        <w:t>AMNT-16 ne décide de reconduire ce Comité.</w:t>
      </w:r>
    </w:p>
    <w:p w:rsidR="00D604F9" w:rsidRPr="00764314" w:rsidRDefault="00F05424" w:rsidP="00046167">
      <w:pPr>
        <w:rPr>
          <w:lang w:val="fr-CH"/>
        </w:rPr>
      </w:pPr>
      <w:r w:rsidRPr="00764314">
        <w:rPr>
          <w:lang w:val="fr-CH"/>
        </w:rPr>
        <w:t xml:space="preserve">Le Comité d’examen a mené à bien ses travaux conformément à la Résolution 82 et a </w:t>
      </w:r>
      <w:r w:rsidR="00CC3940" w:rsidRPr="00764314">
        <w:rPr>
          <w:lang w:val="fr-CH"/>
        </w:rPr>
        <w:t>élaboré le</w:t>
      </w:r>
      <w:r w:rsidRPr="00764314">
        <w:rPr>
          <w:lang w:val="fr-CH"/>
        </w:rPr>
        <w:t xml:space="preserve"> rapport</w:t>
      </w:r>
      <w:r w:rsidR="00CC3940" w:rsidRPr="00764314">
        <w:rPr>
          <w:lang w:val="fr-CH"/>
        </w:rPr>
        <w:t xml:space="preserve"> correspondant.</w:t>
      </w:r>
    </w:p>
    <w:p w:rsidR="00F776DF" w:rsidRPr="00764314" w:rsidRDefault="00CC3940" w:rsidP="00046167">
      <w:pPr>
        <w:rPr>
          <w:lang w:val="fr-CH"/>
        </w:rPr>
      </w:pPr>
      <w:r w:rsidRPr="00764314">
        <w:rPr>
          <w:lang w:val="fr-CH"/>
        </w:rPr>
        <w:t>L’examen des activités menées à bien par le Comité d’examen pendant la période suivant l’AMNT-12 a confirmé les inquiétudes exprimées lors des débats sur la Résolution 82</w:t>
      </w:r>
      <w:r w:rsidR="00760322" w:rsidRPr="00764314">
        <w:rPr>
          <w:lang w:val="fr-CH"/>
        </w:rPr>
        <w:t xml:space="preserve"> </w:t>
      </w:r>
      <w:r w:rsidR="002E00DE" w:rsidRPr="00764314">
        <w:rPr>
          <w:lang w:val="fr-CH"/>
        </w:rPr>
        <w:t xml:space="preserve">quant au caractère redondant des activités menées par le Comité et par le </w:t>
      </w:r>
      <w:r w:rsidRPr="00764314">
        <w:rPr>
          <w:lang w:val="fr-CH"/>
        </w:rPr>
        <w:t>GCNT, en particulier concernant les questions stratégiques.</w:t>
      </w:r>
    </w:p>
    <w:p w:rsidR="00573F6E" w:rsidRPr="00764314" w:rsidRDefault="00CC3940" w:rsidP="00573F6E">
      <w:pPr>
        <w:pStyle w:val="Headingb"/>
      </w:pPr>
      <w:r w:rsidRPr="00764314">
        <w:t>Propositions</w:t>
      </w:r>
    </w:p>
    <w:p w:rsidR="00981397" w:rsidRPr="00764314" w:rsidRDefault="0091062A">
      <w:pPr>
        <w:pStyle w:val="Proposal"/>
        <w:rPr>
          <w:lang w:val="fr-CH"/>
        </w:rPr>
      </w:pPr>
      <w:r w:rsidRPr="00764314">
        <w:rPr>
          <w:lang w:val="fr-CH"/>
        </w:rPr>
        <w:tab/>
        <w:t>RCC/47A7/1</w:t>
      </w:r>
    </w:p>
    <w:p w:rsidR="00573F6E" w:rsidRPr="00764314" w:rsidRDefault="00CC3940" w:rsidP="00CC3940">
      <w:pPr>
        <w:rPr>
          <w:lang w:val="fr-CH"/>
        </w:rPr>
      </w:pPr>
      <w:r w:rsidRPr="00764314">
        <w:rPr>
          <w:lang w:val="fr-CH"/>
        </w:rPr>
        <w:t>Ne pas poursuivre les activités du Comité d’examen après l’AMNT</w:t>
      </w:r>
      <w:r w:rsidR="00573F6E" w:rsidRPr="00764314">
        <w:rPr>
          <w:lang w:val="fr-CH"/>
        </w:rPr>
        <w:t>-16.</w:t>
      </w:r>
    </w:p>
    <w:p w:rsidR="00981397" w:rsidRPr="00764314" w:rsidRDefault="0091062A">
      <w:pPr>
        <w:pStyle w:val="Proposal"/>
        <w:rPr>
          <w:lang w:val="fr-CH"/>
        </w:rPr>
      </w:pPr>
      <w:r w:rsidRPr="00764314">
        <w:rPr>
          <w:lang w:val="fr-CH"/>
        </w:rPr>
        <w:t>SUP</w:t>
      </w:r>
      <w:r w:rsidRPr="00764314">
        <w:rPr>
          <w:lang w:val="fr-CH"/>
        </w:rPr>
        <w:tab/>
        <w:t>RCC/47A7/2</w:t>
      </w:r>
    </w:p>
    <w:p w:rsidR="000A3C7B" w:rsidRPr="00407B39" w:rsidRDefault="0091062A" w:rsidP="00857251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 xml:space="preserve">82 </w:t>
      </w:r>
      <w:r w:rsidRPr="00407B39">
        <w:rPr>
          <w:lang w:val="fr-CH"/>
        </w:rPr>
        <w:t>(Dubaï, 2012)</w:t>
      </w:r>
    </w:p>
    <w:p w:rsidR="000A3C7B" w:rsidRPr="004C7FED" w:rsidRDefault="0091062A" w:rsidP="000A3C7B">
      <w:pPr>
        <w:pStyle w:val="Restitle"/>
        <w:rPr>
          <w:lang w:val="fr-CH"/>
        </w:rPr>
      </w:pPr>
      <w:r>
        <w:rPr>
          <w:lang w:val="fr-CH" w:eastAsia="ja-JP"/>
        </w:rPr>
        <w:t>E</w:t>
      </w:r>
      <w:r w:rsidRPr="004C7FED">
        <w:rPr>
          <w:lang w:val="fr-CH" w:eastAsia="ja-JP"/>
        </w:rPr>
        <w:t>xamen strat</w:t>
      </w:r>
      <w:r w:rsidRPr="004C7FED">
        <w:rPr>
          <w:lang w:val="fr-CH" w:eastAsia="ja-JP"/>
        </w:rPr>
        <w:t>é</w:t>
      </w:r>
      <w:r w:rsidRPr="004C7FED">
        <w:rPr>
          <w:lang w:val="fr-CH" w:eastAsia="ja-JP"/>
        </w:rPr>
        <w:t>gique et str</w:t>
      </w:r>
      <w:bookmarkStart w:id="0" w:name="_GoBack"/>
      <w:bookmarkEnd w:id="0"/>
      <w:r w:rsidRPr="004C7FED">
        <w:rPr>
          <w:lang w:val="fr-CH" w:eastAsia="ja-JP"/>
        </w:rPr>
        <w:t xml:space="preserve">ucturel </w:t>
      </w:r>
      <w:r>
        <w:rPr>
          <w:lang w:val="fr-CH" w:eastAsia="ja-JP"/>
        </w:rPr>
        <w:t>du Secteur de la normalisation</w:t>
      </w:r>
      <w:r>
        <w:rPr>
          <w:lang w:val="fr-CH" w:eastAsia="ja-JP"/>
        </w:rPr>
        <w:br/>
        <w:t>des t</w:t>
      </w:r>
      <w:r>
        <w:rPr>
          <w:lang w:val="fr-CH" w:eastAsia="ja-JP"/>
        </w:rPr>
        <w:t>é</w:t>
      </w:r>
      <w:r>
        <w:rPr>
          <w:lang w:val="fr-CH" w:eastAsia="ja-JP"/>
        </w:rPr>
        <w:t>l</w:t>
      </w:r>
      <w:r>
        <w:rPr>
          <w:lang w:val="fr-CH" w:eastAsia="ja-JP"/>
        </w:rPr>
        <w:t>é</w:t>
      </w:r>
      <w:r>
        <w:rPr>
          <w:lang w:val="fr-CH" w:eastAsia="ja-JP"/>
        </w:rPr>
        <w:t>communications de l'UIT</w:t>
      </w:r>
      <w:r w:rsidRPr="004C7FED">
        <w:rPr>
          <w:lang w:val="fr-CH" w:eastAsia="ja-JP"/>
        </w:rPr>
        <w:t xml:space="preserve"> </w:t>
      </w:r>
    </w:p>
    <w:p w:rsidR="000A3C7B" w:rsidRDefault="0091062A" w:rsidP="00857251">
      <w:pPr>
        <w:pStyle w:val="Resref"/>
      </w:pPr>
      <w:r w:rsidRPr="00857251">
        <w:t>(Dubaï, 2012)</w:t>
      </w:r>
    </w:p>
    <w:p w:rsidR="00046167" w:rsidRPr="00046167" w:rsidRDefault="00046167" w:rsidP="00046167">
      <w:pPr>
        <w:pStyle w:val="Reasons"/>
        <w:rPr>
          <w:lang w:val="fr-FR"/>
        </w:rPr>
      </w:pPr>
    </w:p>
    <w:p w:rsidR="00981397" w:rsidRPr="00046167" w:rsidRDefault="00CA6025" w:rsidP="00046167">
      <w:pPr>
        <w:jc w:val="center"/>
      </w:pPr>
      <w:r>
        <w:t>______________</w:t>
      </w:r>
    </w:p>
    <w:sectPr w:rsidR="00981397" w:rsidRPr="00046167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2E00DE">
      <w:rPr>
        <w:noProof/>
      </w:rPr>
      <w:t>P:\TRAD\F\LING\Barre\TSB\405604-F.docx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764314">
      <w:rPr>
        <w:noProof/>
      </w:rPr>
      <w:t>05.10.16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2E00DE">
      <w:rPr>
        <w:noProof/>
      </w:rPr>
      <w:t>05.10.16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046167" w:rsidRDefault="0091062A" w:rsidP="00046167">
    <w:pPr>
      <w:pStyle w:val="Footer"/>
      <w:rPr>
        <w:lang w:val="fr-CH"/>
      </w:rPr>
    </w:pPr>
    <w:r>
      <w:fldChar w:fldCharType="begin"/>
    </w:r>
    <w:r w:rsidRPr="00046167">
      <w:rPr>
        <w:lang w:val="fr-CH"/>
      </w:rPr>
      <w:instrText xml:space="preserve"> FILENAME \p  \* MERGEFORMAT </w:instrText>
    </w:r>
    <w:r>
      <w:fldChar w:fldCharType="separate"/>
    </w:r>
    <w:r w:rsidR="00046167" w:rsidRPr="00046167">
      <w:rPr>
        <w:lang w:val="fr-CH"/>
      </w:rPr>
      <w:t>P:\FRA\ITU-T\CONF-T\WTSA16\000\047ADD07F.docx</w:t>
    </w:r>
    <w:r>
      <w:fldChar w:fldCharType="end"/>
    </w:r>
    <w:r w:rsidRPr="00046167">
      <w:rPr>
        <w:lang w:val="fr-CH"/>
      </w:rPr>
      <w:t xml:space="preserve"> (405604)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62A" w:rsidRPr="00046167" w:rsidRDefault="0091062A" w:rsidP="00046167">
    <w:pPr>
      <w:pStyle w:val="Footer"/>
      <w:rPr>
        <w:lang w:val="fr-CH"/>
      </w:rPr>
    </w:pPr>
    <w:r>
      <w:fldChar w:fldCharType="begin"/>
    </w:r>
    <w:r w:rsidRPr="00046167">
      <w:rPr>
        <w:lang w:val="fr-CH"/>
      </w:rPr>
      <w:instrText xml:space="preserve"> FILENAME \p  \* MERGEFORMAT </w:instrText>
    </w:r>
    <w:r>
      <w:fldChar w:fldCharType="separate"/>
    </w:r>
    <w:r w:rsidR="00046167" w:rsidRPr="00046167">
      <w:rPr>
        <w:lang w:val="fr-CH"/>
      </w:rPr>
      <w:t>P:\FRA\ITU-T\CONF-T\WTSA16\000\047ADD07F.docx</w:t>
    </w:r>
    <w:r>
      <w:fldChar w:fldCharType="end"/>
    </w:r>
    <w:r w:rsidRPr="00046167">
      <w:rPr>
        <w:lang w:val="fr-CH"/>
      </w:rPr>
      <w:t xml:space="preserve"> (405604)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655B8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/47(Add.7)-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46167"/>
    <w:rsid w:val="00051E39"/>
    <w:rsid w:val="0005693B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B46EC"/>
    <w:rsid w:val="002D58BE"/>
    <w:rsid w:val="002E00DE"/>
    <w:rsid w:val="002E210D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73F6E"/>
    <w:rsid w:val="00591A2C"/>
    <w:rsid w:val="00595780"/>
    <w:rsid w:val="005964AB"/>
    <w:rsid w:val="005C099A"/>
    <w:rsid w:val="005C31A5"/>
    <w:rsid w:val="005E10C9"/>
    <w:rsid w:val="005E61DD"/>
    <w:rsid w:val="006023DF"/>
    <w:rsid w:val="00657DE0"/>
    <w:rsid w:val="006753C7"/>
    <w:rsid w:val="00677991"/>
    <w:rsid w:val="00685313"/>
    <w:rsid w:val="0069092B"/>
    <w:rsid w:val="00692833"/>
    <w:rsid w:val="006A6E9B"/>
    <w:rsid w:val="006B249F"/>
    <w:rsid w:val="006B7C2A"/>
    <w:rsid w:val="006C23DA"/>
    <w:rsid w:val="006D1718"/>
    <w:rsid w:val="006E013B"/>
    <w:rsid w:val="006E3D45"/>
    <w:rsid w:val="006F580E"/>
    <w:rsid w:val="007149F9"/>
    <w:rsid w:val="00733A30"/>
    <w:rsid w:val="00745AEE"/>
    <w:rsid w:val="00750F10"/>
    <w:rsid w:val="00760322"/>
    <w:rsid w:val="00764314"/>
    <w:rsid w:val="00772F14"/>
    <w:rsid w:val="007742CA"/>
    <w:rsid w:val="00790D70"/>
    <w:rsid w:val="007D5320"/>
    <w:rsid w:val="008006C5"/>
    <w:rsid w:val="00800972"/>
    <w:rsid w:val="00801C06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1062A"/>
    <w:rsid w:val="0092425C"/>
    <w:rsid w:val="009274B4"/>
    <w:rsid w:val="00934EA2"/>
    <w:rsid w:val="00940614"/>
    <w:rsid w:val="00944A5C"/>
    <w:rsid w:val="00952A66"/>
    <w:rsid w:val="00957670"/>
    <w:rsid w:val="00971FB4"/>
    <w:rsid w:val="00981397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37608"/>
    <w:rsid w:val="00A45BFC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655B8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A6025"/>
    <w:rsid w:val="00CC247A"/>
    <w:rsid w:val="00CC3940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04F9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424"/>
    <w:rsid w:val="00F05BD4"/>
    <w:rsid w:val="00F6155B"/>
    <w:rsid w:val="00F65C19"/>
    <w:rsid w:val="00F7356B"/>
    <w:rsid w:val="00F776DF"/>
    <w:rsid w:val="00F840C7"/>
    <w:rsid w:val="00FB3EF1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link w:val="ResNoChar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character" w:customStyle="1" w:styleId="ResNoChar">
    <w:name w:val="Res_No Char"/>
    <w:link w:val="ResNo"/>
    <w:rsid w:val="006753C7"/>
    <w:rPr>
      <w:rFonts w:ascii="Times New Roman" w:hAnsi="Times New Roman"/>
      <w:bCs/>
      <w:caps/>
      <w:sz w:val="28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801C0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5A7C457FDA4D57A4854DE19A4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4BC0-CE41-4C3E-BB26-9290DA70B91B}"/>
      </w:docPartPr>
      <w:docPartBody>
        <w:p w:rsidR="001B4841" w:rsidRDefault="0060477C" w:rsidP="0060477C">
          <w:pPr>
            <w:pStyle w:val="BF5A7C457FDA4D57A4854DE19A4552C1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1B4841"/>
    <w:rsid w:val="003C792E"/>
    <w:rsid w:val="004228CC"/>
    <w:rsid w:val="00430751"/>
    <w:rsid w:val="004852F1"/>
    <w:rsid w:val="0060477C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77C"/>
    <w:rPr>
      <w:color w:val="808080"/>
    </w:rPr>
  </w:style>
  <w:style w:type="paragraph" w:customStyle="1" w:styleId="CEF0515E39224C1BB445B352EB3113A9">
    <w:name w:val="CEF0515E39224C1BB445B352EB3113A9"/>
    <w:rsid w:val="00D83E31"/>
  </w:style>
  <w:style w:type="paragraph" w:customStyle="1" w:styleId="BF5A7C457FDA4D57A4854DE19A4552C1">
    <w:name w:val="BF5A7C457FDA4D57A4854DE19A4552C1"/>
    <w:rsid w:val="00604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68f73e-8e51-4ba9-9da5-2e67b6c16540">Documents Proposals Manager (DPM)</DPM_x0020_Author>
    <DPM_x0020_File_x0020_name xmlns="c568f73e-8e51-4ba9-9da5-2e67b6c16540">T13-WTSA.16-C-0047!A7!MSW-F</DPM_x0020_File_x0020_name>
    <DPM_x0020_Version xmlns="c568f73e-8e51-4ba9-9da5-2e67b6c16540">DPM_v2016.10.3.1_prod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68f73e-8e51-4ba9-9da5-2e67b6c16540" targetNamespace="http://schemas.microsoft.com/office/2006/metadata/properties" ma:root="true" ma:fieldsID="d41af5c836d734370eb92e7ee5f83852" ns2:_="" ns3:_="">
    <xsd:import namespace="996b2e75-67fd-4955-a3b0-5ab9934cb50b"/>
    <xsd:import namespace="c568f73e-8e51-4ba9-9da5-2e67b6c1654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f73e-8e51-4ba9-9da5-2e67b6c1654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c568f73e-8e51-4ba9-9da5-2e67b6c16540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68f73e-8e51-4ba9-9da5-2e67b6c16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DA766-F718-47CF-81CD-9B6E7BC0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T13-WTSA.16-C-0047!A7!MSW-F</vt:lpstr>
    </vt:vector>
  </TitlesOfParts>
  <Manager>General Secretariat - Pool</Manager>
  <Company>International Telecommunication Union (ITU)</Company>
  <LinksUpToDate>false</LinksUpToDate>
  <CharactersWithSpaces>3692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T13-WTSA.16-C-0047!A7!MSW-F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Jones, Jacqueline</cp:lastModifiedBy>
  <cp:revision>3</cp:revision>
  <cp:lastPrinted>2016-10-05T08:15:00Z</cp:lastPrinted>
  <dcterms:created xsi:type="dcterms:W3CDTF">2016-10-10T09:04:00Z</dcterms:created>
  <dcterms:modified xsi:type="dcterms:W3CDTF">2016-10-10T09:13:00Z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