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6 al</w:t>
            </w:r>
            <w:r>
              <w:rPr>
                <w:rFonts w:ascii="Verdana" w:hAnsi="Verdana"/>
                <w:b/>
                <w:sz w:val="20"/>
                <w:lang w:val="en-US"/>
              </w:rPr>
              <w:br/>
              <w:t>Documento 47</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27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ruso</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036D5C">
              <w:t>Estados Miembros de la UIT Miembros de la Comunidad Regional de Comunicaciones (CRC)</w:t>
            </w:r>
          </w:p>
        </w:tc>
      </w:tr>
      <w:tr w:rsidR="00E83D45" w:rsidTr="004B520A">
        <w:trPr>
          <w:cantSplit/>
        </w:trPr>
        <w:tc>
          <w:tcPr>
            <w:tcW w:w="9811" w:type="dxa"/>
            <w:gridSpan w:val="4"/>
          </w:tcPr>
          <w:p w:rsidR="00E83D45" w:rsidRPr="00057296" w:rsidRDefault="00036D5C" w:rsidP="004B520A">
            <w:pPr>
              <w:pStyle w:val="Title1"/>
            </w:pPr>
            <w:r w:rsidRPr="00036D5C">
              <w:t>ESTRUCTURA DE LAS COMISIONES DE ESTUDIO DEL UIT-T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036D5C"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036D5C" w:rsidP="00CA1F40">
                <w:pPr>
                  <w:rPr>
                    <w:color w:val="000000" w:themeColor="text1"/>
                  </w:rPr>
                </w:pPr>
                <w:r w:rsidRPr="00036D5C">
                  <w:rPr>
                    <w:color w:val="000000" w:themeColor="text1"/>
                  </w:rPr>
                  <w:t>En esta contribución se presentan las propuestas de la CRC relativas a la estructura de las Comisiones de Estudio del UIT-T, dándose preferencia a la estructura actual.</w:t>
                </w:r>
              </w:p>
            </w:tc>
          </w:sdtContent>
        </w:sdt>
      </w:tr>
    </w:tbl>
    <w:p w:rsidR="00503547" w:rsidRPr="00013EEC" w:rsidRDefault="00503547" w:rsidP="00054E21">
      <w:pPr>
        <w:pStyle w:val="Headingb"/>
      </w:pPr>
      <w:r w:rsidRPr="00013EEC">
        <w:t>Introducción</w:t>
      </w:r>
    </w:p>
    <w:p w:rsidR="00503547" w:rsidRPr="00013EEC" w:rsidRDefault="00503547" w:rsidP="00503547">
      <w:pPr>
        <w:rPr>
          <w:lang w:val="es-ES"/>
        </w:rPr>
      </w:pPr>
      <w:r w:rsidRPr="00013EEC">
        <w:rPr>
          <w:lang w:val="es-ES"/>
        </w:rPr>
        <w:t xml:space="preserve">En la AMNT-08 se decidió reducir el número de las Comisiones de Estudio de 13 a 10. </w:t>
      </w:r>
      <w:r>
        <w:rPr>
          <w:lang w:val="es-ES"/>
        </w:rPr>
        <w:t xml:space="preserve">En la AMNT-12, el número de Comisiones de Estudio se mantuvo sin cambios. </w:t>
      </w:r>
      <w:r w:rsidRPr="00013EEC">
        <w:rPr>
          <w:lang w:val="es-ES"/>
        </w:rPr>
        <w:t xml:space="preserve">Durante el periodo </w:t>
      </w:r>
      <w:r w:rsidR="005206CB">
        <w:rPr>
          <w:lang w:val="es-ES"/>
        </w:rPr>
        <w:br/>
      </w:r>
      <w:r w:rsidRPr="00013EEC">
        <w:rPr>
          <w:lang w:val="es-ES"/>
        </w:rPr>
        <w:t>20</w:t>
      </w:r>
      <w:r>
        <w:rPr>
          <w:lang w:val="es-ES"/>
        </w:rPr>
        <w:t>12</w:t>
      </w:r>
      <w:r w:rsidRPr="00013EEC">
        <w:rPr>
          <w:lang w:val="es-ES"/>
        </w:rPr>
        <w:t>-201</w:t>
      </w:r>
      <w:r>
        <w:rPr>
          <w:lang w:val="es-ES"/>
        </w:rPr>
        <w:t>5</w:t>
      </w:r>
      <w:r w:rsidRPr="00013EEC">
        <w:rPr>
          <w:lang w:val="es-ES"/>
        </w:rPr>
        <w:t xml:space="preserve"> desarrollaron actividades las siguientes Comisiones de Estudio del UIT-T:</w:t>
      </w:r>
    </w:p>
    <w:p w:rsidR="00503547" w:rsidRPr="00013EEC" w:rsidRDefault="00054E21" w:rsidP="00054E21">
      <w:pPr>
        <w:pStyle w:val="enumlev1"/>
        <w:rPr>
          <w:rFonts w:eastAsia="SimSun"/>
          <w:lang w:val="es-ES" w:eastAsia="zh-CN"/>
        </w:rPr>
      </w:pPr>
      <w:r w:rsidRPr="00054E21">
        <w:rPr>
          <w:lang w:val="es-ES"/>
        </w:rPr>
        <w:t>–</w:t>
      </w:r>
      <w:r>
        <w:rPr>
          <w:lang w:val="es-ES"/>
        </w:rPr>
        <w:tab/>
      </w:r>
      <w:r w:rsidR="00503547" w:rsidRPr="00013EEC">
        <w:rPr>
          <w:lang w:val="es-ES"/>
        </w:rPr>
        <w:t xml:space="preserve">Comisión de Estudio 2 – </w:t>
      </w:r>
      <w:r w:rsidR="00503547" w:rsidRPr="00013EEC">
        <w:rPr>
          <w:rFonts w:eastAsia="SimSun"/>
          <w:lang w:val="es-ES" w:eastAsia="zh-CN"/>
        </w:rPr>
        <w:t>Aspectos operativos de la prestación de servicios y de la gestión de telecomunicaciones.</w:t>
      </w:r>
    </w:p>
    <w:p w:rsidR="00503547" w:rsidRPr="00013EEC" w:rsidRDefault="00054E21" w:rsidP="00054E21">
      <w:pPr>
        <w:pStyle w:val="enumlev1"/>
        <w:rPr>
          <w:rFonts w:eastAsia="SimSun"/>
          <w:lang w:val="es-ES" w:eastAsia="zh-CN"/>
        </w:rPr>
      </w:pPr>
      <w:r w:rsidRPr="00054E21">
        <w:rPr>
          <w:lang w:val="es-ES"/>
        </w:rPr>
        <w:t>–</w:t>
      </w:r>
      <w:r>
        <w:rPr>
          <w:lang w:val="es-ES"/>
        </w:rPr>
        <w:tab/>
      </w:r>
      <w:r w:rsidR="00503547" w:rsidRPr="00013EEC">
        <w:rPr>
          <w:lang w:val="es-ES"/>
        </w:rPr>
        <w:t xml:space="preserve">Comisión de Estudio 3 – </w:t>
      </w:r>
      <w:r w:rsidR="00503547" w:rsidRPr="00013EEC">
        <w:rPr>
          <w:rFonts w:eastAsia="SimSun"/>
          <w:lang w:val="es-ES" w:eastAsia="zh-CN"/>
        </w:rPr>
        <w:t>Principios de tarificación y contabilidad, incluidos los temas relativos a economía y política de las telecomunicaciones.</w:t>
      </w:r>
    </w:p>
    <w:p w:rsidR="00503547" w:rsidRPr="00013EEC" w:rsidRDefault="00054E21" w:rsidP="00054E21">
      <w:pPr>
        <w:pStyle w:val="enumlev1"/>
        <w:rPr>
          <w:lang w:val="es-ES"/>
        </w:rPr>
      </w:pPr>
      <w:r w:rsidRPr="00054E21">
        <w:rPr>
          <w:lang w:val="es-ES"/>
        </w:rPr>
        <w:t>–</w:t>
      </w:r>
      <w:r>
        <w:rPr>
          <w:lang w:val="es-ES"/>
        </w:rPr>
        <w:tab/>
      </w:r>
      <w:r w:rsidR="00503547" w:rsidRPr="00013EEC">
        <w:t xml:space="preserve">Comisión de Estudio </w:t>
      </w:r>
      <w:r w:rsidR="00503547" w:rsidRPr="00013EEC">
        <w:rPr>
          <w:lang w:val="es-ES"/>
        </w:rPr>
        <w:t xml:space="preserve">5 – </w:t>
      </w:r>
      <w:r w:rsidR="00503547">
        <w:rPr>
          <w:rFonts w:eastAsia="SimSun"/>
          <w:lang w:val="es-ES" w:eastAsia="zh-CN"/>
        </w:rPr>
        <w:t>Medio ambiente y cambio climático</w:t>
      </w:r>
      <w:r w:rsidR="00503547" w:rsidRPr="00013EEC">
        <w:rPr>
          <w:rFonts w:eastAsia="SimSun"/>
          <w:lang w:val="es-ES" w:eastAsia="zh-CN"/>
        </w:rPr>
        <w:t>.</w:t>
      </w:r>
    </w:p>
    <w:p w:rsidR="00503547" w:rsidRPr="00013EEC" w:rsidRDefault="00054E21" w:rsidP="00054E21">
      <w:pPr>
        <w:pStyle w:val="enumlev1"/>
        <w:rPr>
          <w:lang w:val="es-ES"/>
        </w:rPr>
      </w:pPr>
      <w:r w:rsidRPr="00054E21">
        <w:rPr>
          <w:lang w:val="es-ES"/>
        </w:rPr>
        <w:t>–</w:t>
      </w:r>
      <w:r>
        <w:rPr>
          <w:lang w:val="es-ES"/>
        </w:rPr>
        <w:tab/>
      </w:r>
      <w:r w:rsidR="00503547" w:rsidRPr="00013EEC">
        <w:t xml:space="preserve">Comisión de Estudio </w:t>
      </w:r>
      <w:r w:rsidR="00503547" w:rsidRPr="00013EEC">
        <w:rPr>
          <w:lang w:val="es-ES"/>
        </w:rPr>
        <w:t xml:space="preserve">9 – </w:t>
      </w:r>
      <w:r w:rsidR="00503547" w:rsidRPr="00013EEC">
        <w:rPr>
          <w:rFonts w:eastAsia="SimSun"/>
          <w:lang w:val="es-ES" w:eastAsia="zh-CN"/>
        </w:rPr>
        <w:t>Transmisión de sonido y televisión y redes de cable de banda ancha integradas.</w:t>
      </w:r>
    </w:p>
    <w:p w:rsidR="00503547" w:rsidRPr="00013EEC" w:rsidRDefault="00054E21" w:rsidP="00054E21">
      <w:pPr>
        <w:pStyle w:val="enumlev1"/>
        <w:rPr>
          <w:lang w:val="es-ES"/>
        </w:rPr>
      </w:pPr>
      <w:r w:rsidRPr="00054E21">
        <w:rPr>
          <w:lang w:val="es-ES"/>
        </w:rPr>
        <w:t>–</w:t>
      </w:r>
      <w:r>
        <w:rPr>
          <w:lang w:val="es-ES"/>
        </w:rPr>
        <w:tab/>
      </w:r>
      <w:r w:rsidR="00503547" w:rsidRPr="00013EEC">
        <w:t xml:space="preserve">Comisión de Estudio </w:t>
      </w:r>
      <w:r w:rsidR="00503547" w:rsidRPr="00013EEC">
        <w:rPr>
          <w:lang w:val="es-ES"/>
        </w:rPr>
        <w:t xml:space="preserve">11 – </w:t>
      </w:r>
      <w:r w:rsidR="00503547" w:rsidRPr="00013EEC">
        <w:rPr>
          <w:rFonts w:eastAsia="SimSun"/>
          <w:lang w:val="es-ES" w:eastAsia="zh-CN"/>
        </w:rPr>
        <w:t>Requisitos de señalización, protocolos y especificaciones de pruebas.</w:t>
      </w:r>
    </w:p>
    <w:p w:rsidR="00503547" w:rsidRPr="00013EEC" w:rsidRDefault="00054E21" w:rsidP="00054E21">
      <w:pPr>
        <w:pStyle w:val="enumlev1"/>
        <w:rPr>
          <w:lang w:val="es-ES"/>
        </w:rPr>
      </w:pPr>
      <w:r w:rsidRPr="00054E21">
        <w:rPr>
          <w:lang w:val="es-ES"/>
        </w:rPr>
        <w:t>–</w:t>
      </w:r>
      <w:r>
        <w:rPr>
          <w:lang w:val="es-ES"/>
        </w:rPr>
        <w:tab/>
      </w:r>
      <w:r w:rsidR="00503547" w:rsidRPr="00013EEC">
        <w:t xml:space="preserve">Comisión de Estudio </w:t>
      </w:r>
      <w:r w:rsidR="00503547" w:rsidRPr="00013EEC">
        <w:rPr>
          <w:lang w:val="es-ES"/>
        </w:rPr>
        <w:t xml:space="preserve">12 – </w:t>
      </w:r>
      <w:r w:rsidR="00503547" w:rsidRPr="00013EEC">
        <w:rPr>
          <w:rFonts w:eastAsia="SimSun"/>
          <w:lang w:val="es-ES" w:eastAsia="zh-CN"/>
        </w:rPr>
        <w:t>Calidad de funcionamiento, calidad de servicio y calidad percibida.</w:t>
      </w:r>
    </w:p>
    <w:p w:rsidR="00503547" w:rsidRPr="00013EEC" w:rsidRDefault="00054E21" w:rsidP="00054E21">
      <w:pPr>
        <w:pStyle w:val="enumlev1"/>
        <w:rPr>
          <w:lang w:val="es-ES"/>
        </w:rPr>
      </w:pPr>
      <w:r w:rsidRPr="00054E21">
        <w:rPr>
          <w:lang w:val="es-ES"/>
        </w:rPr>
        <w:t>–</w:t>
      </w:r>
      <w:r>
        <w:rPr>
          <w:lang w:val="es-ES"/>
        </w:rPr>
        <w:tab/>
      </w:r>
      <w:r w:rsidR="00503547" w:rsidRPr="00013EEC">
        <w:t xml:space="preserve">Comisión de Estudio </w:t>
      </w:r>
      <w:r w:rsidR="00503547" w:rsidRPr="00013EEC">
        <w:rPr>
          <w:lang w:val="es-ES"/>
        </w:rPr>
        <w:t xml:space="preserve">13 – </w:t>
      </w:r>
      <w:r w:rsidR="00503547" w:rsidRPr="00AE5B06">
        <w:rPr>
          <w:rFonts w:eastAsia="SimSun"/>
          <w:lang w:val="es-ES" w:eastAsia="zh-CN"/>
        </w:rPr>
        <w:t>Redes futuras, incluida la computación en la nube, las redes móviles y las de la próxima generación</w:t>
      </w:r>
      <w:r w:rsidR="00503547" w:rsidRPr="00013EEC">
        <w:rPr>
          <w:rFonts w:eastAsia="SimSun"/>
          <w:lang w:val="es-ES" w:eastAsia="zh-CN"/>
        </w:rPr>
        <w:t>.</w:t>
      </w:r>
    </w:p>
    <w:p w:rsidR="00503547" w:rsidRPr="00013EEC" w:rsidRDefault="00054E21" w:rsidP="00054E21">
      <w:pPr>
        <w:pStyle w:val="enumlev1"/>
        <w:rPr>
          <w:lang w:val="es-ES"/>
        </w:rPr>
      </w:pPr>
      <w:r w:rsidRPr="00054E21">
        <w:rPr>
          <w:lang w:val="es-ES"/>
        </w:rPr>
        <w:t>–</w:t>
      </w:r>
      <w:r>
        <w:rPr>
          <w:lang w:val="es-ES"/>
        </w:rPr>
        <w:tab/>
      </w:r>
      <w:r w:rsidR="00503547" w:rsidRPr="00013EEC">
        <w:t xml:space="preserve">Comisión de Estudio </w:t>
      </w:r>
      <w:r w:rsidR="00503547" w:rsidRPr="00013EEC">
        <w:rPr>
          <w:lang w:val="es-ES"/>
        </w:rPr>
        <w:t xml:space="preserve">15 – </w:t>
      </w:r>
      <w:r w:rsidR="00503547" w:rsidRPr="00135C15">
        <w:rPr>
          <w:rFonts w:eastAsia="SimSun"/>
          <w:lang w:val="es-ES" w:eastAsia="zh-CN"/>
        </w:rPr>
        <w:t>Redes, tecnologías e infraestructuras de las redes de transporte, de acceso y domésticas</w:t>
      </w:r>
      <w:r w:rsidR="00503547" w:rsidRPr="00013EEC">
        <w:rPr>
          <w:rFonts w:eastAsia="SimSun"/>
          <w:lang w:val="es-ES" w:eastAsia="zh-CN"/>
        </w:rPr>
        <w:t>.</w:t>
      </w:r>
    </w:p>
    <w:p w:rsidR="00503547" w:rsidRPr="00013EEC" w:rsidRDefault="00054E21" w:rsidP="00054E21">
      <w:pPr>
        <w:pStyle w:val="enumlev1"/>
        <w:rPr>
          <w:rFonts w:eastAsia="SimSun"/>
          <w:lang w:val="es-ES" w:eastAsia="zh-CN"/>
        </w:rPr>
      </w:pPr>
      <w:r w:rsidRPr="00054E21">
        <w:rPr>
          <w:lang w:val="es-ES"/>
        </w:rPr>
        <w:lastRenderedPageBreak/>
        <w:t>–</w:t>
      </w:r>
      <w:r>
        <w:rPr>
          <w:lang w:val="es-ES"/>
        </w:rPr>
        <w:tab/>
      </w:r>
      <w:r w:rsidR="00503547" w:rsidRPr="00013EEC">
        <w:t xml:space="preserve">Comisión de Estudio </w:t>
      </w:r>
      <w:r w:rsidR="00503547" w:rsidRPr="00013EEC">
        <w:rPr>
          <w:lang w:val="es-ES"/>
        </w:rPr>
        <w:t xml:space="preserve">16 – </w:t>
      </w:r>
      <w:r w:rsidR="00503547" w:rsidRPr="00013EEC">
        <w:rPr>
          <w:rFonts w:eastAsia="SimSun"/>
          <w:lang w:val="es-ES" w:eastAsia="zh-CN"/>
        </w:rPr>
        <w:t>Codificación, sistemas y aplicaciones multimedios.</w:t>
      </w:r>
    </w:p>
    <w:p w:rsidR="00503547" w:rsidRPr="00013EEC" w:rsidRDefault="00054E21" w:rsidP="00054E21">
      <w:pPr>
        <w:pStyle w:val="enumlev1"/>
        <w:rPr>
          <w:rFonts w:eastAsia="SimSun"/>
          <w:lang w:val="es-ES" w:eastAsia="zh-CN"/>
        </w:rPr>
      </w:pPr>
      <w:r w:rsidRPr="00054E21">
        <w:rPr>
          <w:lang w:val="es-ES"/>
        </w:rPr>
        <w:t>–</w:t>
      </w:r>
      <w:r>
        <w:rPr>
          <w:lang w:val="es-ES"/>
        </w:rPr>
        <w:tab/>
      </w:r>
      <w:r w:rsidR="00503547" w:rsidRPr="00013EEC">
        <w:t xml:space="preserve">Comisión de Estudio </w:t>
      </w:r>
      <w:r w:rsidR="00503547" w:rsidRPr="00013EEC">
        <w:rPr>
          <w:rFonts w:eastAsia="SimSun"/>
          <w:lang w:val="es-ES" w:eastAsia="zh-CN"/>
        </w:rPr>
        <w:t>17 – Seguridad.</w:t>
      </w:r>
    </w:p>
    <w:p w:rsidR="00503547" w:rsidRDefault="00503547" w:rsidP="00054E21">
      <w:pPr>
        <w:pStyle w:val="enumlev1"/>
        <w:rPr>
          <w:rFonts w:eastAsia="SimSun"/>
          <w:lang w:val="es-ES" w:eastAsia="zh-CN"/>
        </w:rPr>
      </w:pPr>
      <w:r>
        <w:rPr>
          <w:rFonts w:eastAsia="SimSun"/>
          <w:lang w:val="es-ES" w:eastAsia="zh-CN"/>
        </w:rPr>
        <w:t>Además, con arreglo a una decisión del GANT-15, se creó una nueva Comisión de Estudio:</w:t>
      </w:r>
    </w:p>
    <w:p w:rsidR="00503547" w:rsidRDefault="00054E21" w:rsidP="00054E21">
      <w:pPr>
        <w:pStyle w:val="enumlev1"/>
        <w:rPr>
          <w:rFonts w:eastAsia="SimSun"/>
          <w:lang w:val="es-ES" w:eastAsia="zh-CN"/>
        </w:rPr>
      </w:pPr>
      <w:r w:rsidRPr="00054E21">
        <w:rPr>
          <w:lang w:val="es-ES"/>
        </w:rPr>
        <w:t>–</w:t>
      </w:r>
      <w:r>
        <w:rPr>
          <w:lang w:val="es-ES"/>
        </w:rPr>
        <w:tab/>
      </w:r>
      <w:r w:rsidR="00503547">
        <w:rPr>
          <w:rFonts w:eastAsia="SimSun"/>
          <w:lang w:val="es-ES" w:eastAsia="zh-CN"/>
        </w:rPr>
        <w:t>Comisión de Estudio 20 – IoT</w:t>
      </w:r>
      <w:bookmarkStart w:id="0" w:name="_GoBack"/>
      <w:bookmarkEnd w:id="0"/>
      <w:r w:rsidR="00503547">
        <w:rPr>
          <w:rFonts w:eastAsia="SimSun"/>
          <w:lang w:val="es-ES" w:eastAsia="zh-CN"/>
        </w:rPr>
        <w:t xml:space="preserve"> </w:t>
      </w:r>
      <w:r w:rsidR="00503547" w:rsidRPr="00135C15">
        <w:rPr>
          <w:rFonts w:eastAsia="SimSun"/>
          <w:lang w:val="es-ES" w:eastAsia="zh-CN"/>
        </w:rPr>
        <w:t>y sus aplicaciones, incluidas ciudades y comunidades inteligentes</w:t>
      </w:r>
      <w:r w:rsidR="00503547">
        <w:rPr>
          <w:rFonts w:eastAsia="SimSun"/>
          <w:lang w:val="es-ES" w:eastAsia="zh-CN"/>
        </w:rPr>
        <w:t>.</w:t>
      </w:r>
    </w:p>
    <w:p w:rsidR="00503547" w:rsidRPr="00013EEC" w:rsidRDefault="00503547" w:rsidP="00054E21">
      <w:pPr>
        <w:rPr>
          <w:rFonts w:eastAsia="SimSun"/>
          <w:lang w:val="es-ES" w:eastAsia="zh-CN"/>
        </w:rPr>
      </w:pPr>
      <w:r w:rsidRPr="00013EEC">
        <w:rPr>
          <w:rFonts w:eastAsia="SimSun"/>
          <w:lang w:val="es-ES" w:eastAsia="zh-CN"/>
        </w:rPr>
        <w:t xml:space="preserve">El examen preliminar de las actividades de estas Comisiones de Estudio ha demostrado que todas las Comisiones de Estudio del UIT-T están cumpliendo </w:t>
      </w:r>
      <w:r>
        <w:rPr>
          <w:rFonts w:eastAsia="SimSun"/>
          <w:lang w:val="es-ES" w:eastAsia="zh-CN"/>
        </w:rPr>
        <w:t xml:space="preserve">globalmente </w:t>
      </w:r>
      <w:r w:rsidRPr="00013EEC">
        <w:rPr>
          <w:rFonts w:eastAsia="SimSun"/>
          <w:lang w:val="es-ES" w:eastAsia="zh-CN"/>
        </w:rPr>
        <w:t>con sus mandatos. Cada Comisión de Estudio ha preparado asimismo propuestas para el programa de trabajo correspondiente al próximo periodo.</w:t>
      </w:r>
    </w:p>
    <w:p w:rsidR="00503547" w:rsidRDefault="00503547" w:rsidP="00054E21">
      <w:pPr>
        <w:rPr>
          <w:rFonts w:asciiTheme="majorBidi" w:eastAsia="SimSun" w:hAnsiTheme="majorBidi" w:cstheme="majorBidi"/>
          <w:szCs w:val="24"/>
          <w:lang w:val="es-ES" w:eastAsia="zh-CN"/>
        </w:rPr>
      </w:pPr>
      <w:r>
        <w:rPr>
          <w:rFonts w:asciiTheme="majorBidi" w:eastAsia="SimSun" w:hAnsiTheme="majorBidi" w:cstheme="majorBidi"/>
          <w:szCs w:val="24"/>
          <w:lang w:val="es-ES" w:eastAsia="zh-CN"/>
        </w:rPr>
        <w:t>Tras considerar las propuestas de diversos países y los documentos presentados por los presidentes de las Comisiones de Estudio, los países de la CRC proponen que se mantenga la actual estructura de las Comisiones de Estudio. Al mismo tiempo, tomando nota de las preocupaciones manifestadas en relación con el incremento del gasto en términos de recursos financieros y humanos resultante de la creación de una nueva Comisión de Estudio y el bajo volumen de contribuciones y documentos de resultados de la Comisión de Estudio 9 (CE</w:t>
      </w:r>
      <w:r w:rsidR="005206CB">
        <w:rPr>
          <w:rFonts w:asciiTheme="majorBidi" w:eastAsia="SimSun" w:hAnsiTheme="majorBidi" w:cstheme="majorBidi"/>
          <w:szCs w:val="24"/>
          <w:lang w:val="es-ES" w:eastAsia="zh-CN"/>
        </w:rPr>
        <w:t> </w:t>
      </w:r>
      <w:r>
        <w:rPr>
          <w:rFonts w:asciiTheme="majorBidi" w:eastAsia="SimSun" w:hAnsiTheme="majorBidi" w:cstheme="majorBidi"/>
          <w:szCs w:val="24"/>
          <w:lang w:val="es-ES" w:eastAsia="zh-CN"/>
        </w:rPr>
        <w:t>9), es posible considerar propuestas para convertir dicha CE en un Grupo de Trabajo y transferirlo a otra CE, en particular la CE</w:t>
      </w:r>
      <w:r w:rsidR="005206CB">
        <w:rPr>
          <w:rFonts w:asciiTheme="majorBidi" w:eastAsia="SimSun" w:hAnsiTheme="majorBidi" w:cstheme="majorBidi"/>
          <w:szCs w:val="24"/>
          <w:lang w:val="es-ES" w:eastAsia="zh-CN"/>
        </w:rPr>
        <w:t> </w:t>
      </w:r>
      <w:r>
        <w:rPr>
          <w:rFonts w:asciiTheme="majorBidi" w:eastAsia="SimSun" w:hAnsiTheme="majorBidi" w:cstheme="majorBidi"/>
          <w:szCs w:val="24"/>
          <w:lang w:val="es-ES" w:eastAsia="zh-CN"/>
        </w:rPr>
        <w:t>15 o la CE</w:t>
      </w:r>
      <w:r w:rsidR="005206CB">
        <w:rPr>
          <w:rFonts w:asciiTheme="majorBidi" w:eastAsia="SimSun" w:hAnsiTheme="majorBidi" w:cstheme="majorBidi"/>
          <w:szCs w:val="24"/>
          <w:lang w:val="es-ES" w:eastAsia="zh-CN"/>
        </w:rPr>
        <w:t> </w:t>
      </w:r>
      <w:r>
        <w:rPr>
          <w:rFonts w:asciiTheme="majorBidi" w:eastAsia="SimSun" w:hAnsiTheme="majorBidi" w:cstheme="majorBidi"/>
          <w:szCs w:val="24"/>
          <w:lang w:val="es-ES" w:eastAsia="zh-CN"/>
        </w:rPr>
        <w:t>16.</w:t>
      </w:r>
    </w:p>
    <w:p w:rsidR="00B07178" w:rsidRDefault="00503547" w:rsidP="005F0788">
      <w:pPr>
        <w:pStyle w:val="Headingb"/>
      </w:pPr>
      <w:r w:rsidRPr="00013EEC">
        <w:rPr>
          <w:rFonts w:eastAsia="SimSun"/>
          <w:lang w:val="es-ES" w:eastAsia="zh-CN"/>
        </w:rPr>
        <w:t>Propuesta</w:t>
      </w:r>
    </w:p>
    <w:p w:rsidR="000E757F" w:rsidRDefault="00C84648">
      <w:pPr>
        <w:pStyle w:val="Proposal"/>
      </w:pPr>
      <w:r>
        <w:tab/>
        <w:t>RCC/47A6/1</w:t>
      </w:r>
    </w:p>
    <w:p w:rsidR="000E757F" w:rsidRDefault="00D4213B" w:rsidP="005F0788">
      <w:r w:rsidRPr="00013EEC">
        <w:rPr>
          <w:rFonts w:eastAsia="SimSun"/>
          <w:lang w:val="es-ES" w:eastAsia="zh-CN"/>
        </w:rPr>
        <w:t xml:space="preserve">Mantener la estructura de las Comisiones de Estudio del UIT-T </w:t>
      </w:r>
      <w:r>
        <w:rPr>
          <w:rFonts w:eastAsia="SimSun"/>
          <w:lang w:val="es-ES" w:eastAsia="zh-CN"/>
        </w:rPr>
        <w:t>aprobada</w:t>
      </w:r>
      <w:r w:rsidRPr="00013EEC">
        <w:rPr>
          <w:rFonts w:eastAsia="SimSun"/>
          <w:lang w:val="es-ES" w:eastAsia="zh-CN"/>
        </w:rPr>
        <w:t xml:space="preserve"> en la AMNT-</w:t>
      </w:r>
      <w:r>
        <w:rPr>
          <w:rFonts w:eastAsia="SimSun"/>
          <w:lang w:val="es-ES" w:eastAsia="zh-CN"/>
        </w:rPr>
        <w:t>12</w:t>
      </w:r>
      <w:r w:rsidRPr="00013EEC">
        <w:rPr>
          <w:rFonts w:eastAsia="SimSun"/>
          <w:lang w:val="es-ES" w:eastAsia="zh-CN"/>
        </w:rPr>
        <w:t xml:space="preserve">, </w:t>
      </w:r>
      <w:r>
        <w:rPr>
          <w:rFonts w:eastAsia="SimSun"/>
          <w:lang w:val="es-ES" w:eastAsia="zh-CN"/>
        </w:rPr>
        <w:t>salvo en lo que atañe a la creación de la CE</w:t>
      </w:r>
      <w:r w:rsidR="005206CB">
        <w:rPr>
          <w:rFonts w:eastAsia="SimSun"/>
          <w:lang w:val="es-ES" w:eastAsia="zh-CN"/>
        </w:rPr>
        <w:t> </w:t>
      </w:r>
      <w:r>
        <w:rPr>
          <w:rFonts w:eastAsia="SimSun"/>
          <w:lang w:val="es-ES" w:eastAsia="zh-CN"/>
        </w:rPr>
        <w:t>20.</w:t>
      </w:r>
    </w:p>
    <w:p w:rsidR="000E757F" w:rsidRDefault="000E757F">
      <w:pPr>
        <w:pStyle w:val="Reasons"/>
      </w:pPr>
    </w:p>
    <w:p w:rsidR="000E757F" w:rsidRDefault="00C84648">
      <w:pPr>
        <w:pStyle w:val="Proposal"/>
      </w:pPr>
      <w:r>
        <w:tab/>
        <w:t>RCC/47A6/2</w:t>
      </w:r>
    </w:p>
    <w:p w:rsidR="000E757F" w:rsidRDefault="00D4213B" w:rsidP="005F0788">
      <w:pPr>
        <w:rPr>
          <w:rFonts w:eastAsia="SimSun"/>
          <w:lang w:val="es-ES" w:eastAsia="zh-CN"/>
        </w:rPr>
      </w:pPr>
      <w:r>
        <w:rPr>
          <w:rFonts w:eastAsia="SimSun"/>
          <w:lang w:val="es-ES" w:eastAsia="zh-CN"/>
        </w:rPr>
        <w:t>Estudiar la posibilidad de convertir la CE</w:t>
      </w:r>
      <w:r w:rsidR="005206CB">
        <w:rPr>
          <w:rFonts w:eastAsia="SimSun"/>
          <w:lang w:val="es-ES" w:eastAsia="zh-CN"/>
        </w:rPr>
        <w:t> </w:t>
      </w:r>
      <w:r>
        <w:rPr>
          <w:rFonts w:eastAsia="SimSun"/>
          <w:lang w:val="es-ES" w:eastAsia="zh-CN"/>
        </w:rPr>
        <w:t>9 en un Grupo de Trabajo de la CE</w:t>
      </w:r>
      <w:r w:rsidR="005206CB">
        <w:rPr>
          <w:rFonts w:eastAsia="SimSun"/>
          <w:lang w:val="es-ES" w:eastAsia="zh-CN"/>
        </w:rPr>
        <w:t> </w:t>
      </w:r>
      <w:r>
        <w:rPr>
          <w:rFonts w:eastAsia="SimSun"/>
          <w:lang w:val="es-ES" w:eastAsia="zh-CN"/>
        </w:rPr>
        <w:t>15 o la CE</w:t>
      </w:r>
      <w:r w:rsidR="005206CB">
        <w:rPr>
          <w:rFonts w:eastAsia="SimSun"/>
          <w:lang w:val="es-ES" w:eastAsia="zh-CN"/>
        </w:rPr>
        <w:t> </w:t>
      </w:r>
      <w:r>
        <w:rPr>
          <w:rFonts w:eastAsia="SimSun"/>
          <w:lang w:val="es-ES" w:eastAsia="zh-CN"/>
        </w:rPr>
        <w:t>16, teniendo en cuenta las propuestas de m</w:t>
      </w:r>
      <w:r w:rsidRPr="00013EEC">
        <w:rPr>
          <w:rFonts w:eastAsia="SimSun"/>
          <w:lang w:val="es-ES" w:eastAsia="zh-CN"/>
        </w:rPr>
        <w:t xml:space="preserve">antener la estructura de las Comisiones de Estudio del UIT-T </w:t>
      </w:r>
      <w:r>
        <w:rPr>
          <w:rFonts w:eastAsia="SimSun"/>
          <w:lang w:val="es-ES" w:eastAsia="zh-CN"/>
        </w:rPr>
        <w:t>aprobada</w:t>
      </w:r>
      <w:r w:rsidRPr="00013EEC">
        <w:rPr>
          <w:rFonts w:eastAsia="SimSun"/>
          <w:lang w:val="es-ES" w:eastAsia="zh-CN"/>
        </w:rPr>
        <w:t xml:space="preserve"> en la AMNT-</w:t>
      </w:r>
      <w:r>
        <w:rPr>
          <w:rFonts w:eastAsia="SimSun"/>
          <w:lang w:val="es-ES" w:eastAsia="zh-CN"/>
        </w:rPr>
        <w:t>08</w:t>
      </w:r>
      <w:r w:rsidRPr="00013EEC">
        <w:rPr>
          <w:rFonts w:eastAsia="SimSun"/>
          <w:lang w:val="es-ES" w:eastAsia="zh-CN"/>
        </w:rPr>
        <w:t xml:space="preserve">, </w:t>
      </w:r>
      <w:r>
        <w:rPr>
          <w:rFonts w:eastAsia="SimSun"/>
          <w:lang w:val="es-ES" w:eastAsia="zh-CN"/>
        </w:rPr>
        <w:t xml:space="preserve">y </w:t>
      </w:r>
      <w:r w:rsidRPr="00015D5D">
        <w:rPr>
          <w:rFonts w:eastAsia="SimSun"/>
          <w:lang w:val="es-ES" w:eastAsia="zh-CN"/>
        </w:rPr>
        <w:t>teniendo en cuenta los proyectos de revisión de las Cuestiones presentados por las Comisiones de Estudio</w:t>
      </w:r>
      <w:r>
        <w:rPr>
          <w:rFonts w:eastAsia="SimSun"/>
          <w:lang w:val="es-ES" w:eastAsia="zh-CN"/>
        </w:rPr>
        <w:t>.</w:t>
      </w:r>
    </w:p>
    <w:p w:rsidR="00D4213B" w:rsidRDefault="00D4213B" w:rsidP="0032202E">
      <w:pPr>
        <w:pStyle w:val="Reasons"/>
      </w:pPr>
    </w:p>
    <w:p w:rsidR="00D4213B" w:rsidRDefault="00D4213B">
      <w:pPr>
        <w:jc w:val="center"/>
      </w:pPr>
      <w:r>
        <w:t>______________</w:t>
      </w:r>
    </w:p>
    <w:p w:rsidR="00D4213B" w:rsidRDefault="00D4213B"/>
    <w:p w:rsidR="000E757F" w:rsidRDefault="000E757F">
      <w:pPr>
        <w:pStyle w:val="Reasons"/>
      </w:pPr>
    </w:p>
    <w:sectPr w:rsidR="000E757F">
      <w:headerReference w:type="default" r:id="rId12"/>
      <w:footerReference w:type="even" r:id="rId13"/>
      <w:footerReference w:type="defaul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10FB6">
      <w:rPr>
        <w:noProof/>
        <w:lang w:val="fr-CH"/>
      </w:rPr>
      <w:t>P:\ESP\ITU-T\CONF-T\WTSA16\000\047ADD06S.docx</w:t>
    </w:r>
    <w:r>
      <w:fldChar w:fldCharType="end"/>
    </w:r>
    <w:r w:rsidRPr="006E0078">
      <w:rPr>
        <w:lang w:val="fr-CH"/>
      </w:rPr>
      <w:tab/>
    </w:r>
    <w:r>
      <w:fldChar w:fldCharType="begin"/>
    </w:r>
    <w:r>
      <w:instrText xml:space="preserve"> SAVEDATE \@ DD.MM.YY </w:instrText>
    </w:r>
    <w:r>
      <w:fldChar w:fldCharType="separate"/>
    </w:r>
    <w:r w:rsidR="00910FB6">
      <w:rPr>
        <w:noProof/>
      </w:rPr>
      <w:t>30.09.16</w:t>
    </w:r>
    <w:r>
      <w:fldChar w:fldCharType="end"/>
    </w:r>
    <w:r w:rsidRPr="006E0078">
      <w:rPr>
        <w:lang w:val="fr-CH"/>
      </w:rPr>
      <w:tab/>
    </w:r>
    <w:r>
      <w:fldChar w:fldCharType="begin"/>
    </w:r>
    <w:r>
      <w:instrText xml:space="preserve"> PRINTDATE \@ DD.MM.YY </w:instrText>
    </w:r>
    <w:r>
      <w:fldChar w:fldCharType="separate"/>
    </w:r>
    <w:r w:rsidR="00910FB6">
      <w:rPr>
        <w:noProof/>
      </w:rPr>
      <w:t>30.09.16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5C" w:rsidRPr="00036D5C" w:rsidRDefault="00036D5C" w:rsidP="00036D5C">
    <w:pPr>
      <w:pStyle w:val="Footer"/>
      <w:rPr>
        <w:lang w:val="fr-CH"/>
      </w:rPr>
    </w:pPr>
    <w:r>
      <w:rPr>
        <w:noProof w:val="0"/>
        <w:sz w:val="24"/>
      </w:rPr>
      <w:fldChar w:fldCharType="begin"/>
    </w:r>
    <w:r w:rsidRPr="00036D5C">
      <w:rPr>
        <w:lang w:val="fr-CH"/>
      </w:rPr>
      <w:instrText xml:space="preserve"> FILENAME \p  \* MERGEFORMAT </w:instrText>
    </w:r>
    <w:r>
      <w:rPr>
        <w:noProof w:val="0"/>
        <w:sz w:val="24"/>
      </w:rPr>
      <w:fldChar w:fldCharType="separate"/>
    </w:r>
    <w:r w:rsidR="00910FB6">
      <w:rPr>
        <w:lang w:val="fr-CH"/>
      </w:rPr>
      <w:t>P:\ESP\ITU-T\CONF-T\WTSA16\000\047ADD06S.docx</w:t>
    </w:r>
    <w:r>
      <w:fldChar w:fldCharType="end"/>
    </w:r>
    <w:r w:rsidRPr="00036D5C">
      <w:rPr>
        <w:lang w:val="fr-CH"/>
      </w:rPr>
      <w:t xml:space="preserve"> (405603)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910FB6">
      <w:rPr>
        <w:noProof/>
      </w:rPr>
      <w:t>2</w:t>
    </w:r>
    <w:r>
      <w:fldChar w:fldCharType="end"/>
    </w:r>
  </w:p>
  <w:p w:rsidR="00E83D45" w:rsidRPr="00C72D5C" w:rsidRDefault="00566BEE" w:rsidP="00E83D45">
    <w:pPr>
      <w:pStyle w:val="Header"/>
    </w:pPr>
    <w:r>
      <w:t>AMNT</w:t>
    </w:r>
    <w:r w:rsidR="00E83D45">
      <w:t>16/47(Add.6)-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6D5C"/>
    <w:rsid w:val="00054E21"/>
    <w:rsid w:val="00057296"/>
    <w:rsid w:val="00087AE8"/>
    <w:rsid w:val="000A5B9A"/>
    <w:rsid w:val="000C7758"/>
    <w:rsid w:val="000E5BF9"/>
    <w:rsid w:val="000E5EE9"/>
    <w:rsid w:val="000E757F"/>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03547"/>
    <w:rsid w:val="005206CB"/>
    <w:rsid w:val="00523269"/>
    <w:rsid w:val="00532097"/>
    <w:rsid w:val="00566BEE"/>
    <w:rsid w:val="0058350F"/>
    <w:rsid w:val="005A374D"/>
    <w:rsid w:val="005E782D"/>
    <w:rsid w:val="005F0788"/>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0FB6"/>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4648"/>
    <w:rsid w:val="00C858D0"/>
    <w:rsid w:val="00CA1F40"/>
    <w:rsid w:val="00CB35C9"/>
    <w:rsid w:val="00CC01E0"/>
    <w:rsid w:val="00CD5FEE"/>
    <w:rsid w:val="00CD663E"/>
    <w:rsid w:val="00CE60D2"/>
    <w:rsid w:val="00D0288A"/>
    <w:rsid w:val="00D4213B"/>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31B14"/>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b67b874-cfcb-451a-a0c2-07aaab1184ec">Documents Proposals Manager (DPM)</DPM_x0020_Author>
    <DPM_x0020_File_x0020_name xmlns="cb67b874-cfcb-451a-a0c2-07aaab1184ec">T13-WTSA.16-C-0047!A6!MSW-S</DPM_x0020_File_x0020_name>
    <DPM_x0020_Version xmlns="cb67b874-cfcb-451a-a0c2-07aaab1184ec">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67b874-cfcb-451a-a0c2-07aaab1184ec" targetNamespace="http://schemas.microsoft.com/office/2006/metadata/properties" ma:root="true" ma:fieldsID="d41af5c836d734370eb92e7ee5f83852" ns2:_="" ns3:_="">
    <xsd:import namespace="996b2e75-67fd-4955-a3b0-5ab9934cb50b"/>
    <xsd:import namespace="cb67b874-cfcb-451a-a0c2-07aaab1184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67b874-cfcb-451a-a0c2-07aaab1184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cb67b874-cfcb-451a-a0c2-07aaab1184ec"/>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67b874-cfcb-451a-a0c2-07aaab118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552D4-67B4-4391-9A49-A6EA10A7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T13-WTSA.16-C-0047!A6!MSW-S</vt:lpstr>
    </vt:vector>
  </TitlesOfParts>
  <Manager>Secretaría General - Pool</Manager>
  <Company>International Telecommunication Union (ITU)</Company>
  <LinksUpToDate>false</LinksUpToDate>
  <CharactersWithSpaces>3468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T13-WTSA.16-C-0047!A6!MSW-S</dc:title>
  <dc:subject>World Telecommunication Standardization Assembly</dc:subject>
  <dc:creator>Documents Proposals Manager (DPM)</dc:creator>
  <cp:keywords>DPM_v2016.9.29.1_prod</cp:keywords>
  <dc:description>Template used by DPM and CPI for the WTSA-16</dc:description>
  <cp:lastModifiedBy>Spanish</cp:lastModifiedBy>
  <cp:revision>9</cp:revision>
  <cp:lastPrinted>2016-09-30T09:38:00Z</cp:lastPrinted>
  <dcterms:created xsi:type="dcterms:W3CDTF">2016-09-30T09:33:00Z</dcterms:created>
  <dcterms:modified xsi:type="dcterms:W3CDTF">2016-09-30T09:55:00Z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