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242550" w:rsidTr="00530525">
        <w:trPr>
          <w:cantSplit/>
        </w:trPr>
        <w:tc>
          <w:tcPr>
            <w:tcW w:w="1382" w:type="dxa"/>
            <w:vAlign w:val="center"/>
          </w:tcPr>
          <w:p w:rsidR="00CF1E9D" w:rsidRPr="00BC2411" w:rsidRDefault="00CF1E9D" w:rsidP="00530525">
            <w:pPr>
              <w:rPr>
                <w:rFonts w:ascii="Verdana" w:hAnsi="Verdana" w:cs="Times New Roman Bold"/>
                <w:b/>
                <w:bCs/>
                <w:sz w:val="22"/>
                <w:szCs w:val="22"/>
              </w:rPr>
            </w:pPr>
            <w:r w:rsidRPr="00BC2411">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BC2411" w:rsidRDefault="001D581B" w:rsidP="00526703">
            <w:pPr>
              <w:rPr>
                <w:rFonts w:ascii="Verdana" w:hAnsi="Verdana" w:cs="Times New Roman Bold"/>
                <w:b/>
                <w:bCs/>
                <w:sz w:val="22"/>
                <w:szCs w:val="22"/>
                <w:lang w:val="fr-CH"/>
              </w:rPr>
            </w:pPr>
            <w:r w:rsidRPr="00BC2411">
              <w:rPr>
                <w:rFonts w:ascii="Verdana" w:hAnsi="Verdana" w:cs="Times New Roman Bold"/>
                <w:b/>
                <w:bCs/>
                <w:szCs w:val="24"/>
                <w:lang w:val="fr-CH"/>
              </w:rPr>
              <w:t>Assemblée mondiale de</w:t>
            </w:r>
            <w:bookmarkStart w:id="0" w:name="_GoBack"/>
            <w:bookmarkEnd w:id="0"/>
            <w:r w:rsidRPr="00BC2411">
              <w:rPr>
                <w:rFonts w:ascii="Verdana" w:hAnsi="Verdana" w:cs="Times New Roman Bold"/>
                <w:b/>
                <w:bCs/>
                <w:szCs w:val="24"/>
                <w:lang w:val="fr-CH"/>
              </w:rPr>
              <w:t xml:space="preserve"> normalisation </w:t>
            </w:r>
            <w:r w:rsidR="00C26BA2" w:rsidRPr="00BC2411">
              <w:rPr>
                <w:rFonts w:ascii="Verdana" w:hAnsi="Verdana" w:cs="Times New Roman Bold"/>
                <w:b/>
                <w:bCs/>
                <w:szCs w:val="24"/>
                <w:lang w:val="fr-CH"/>
              </w:rPr>
              <w:br/>
            </w:r>
            <w:r w:rsidRPr="00BC2411">
              <w:rPr>
                <w:rFonts w:ascii="Verdana" w:hAnsi="Verdana" w:cs="Times New Roman Bold"/>
                <w:b/>
                <w:bCs/>
                <w:szCs w:val="24"/>
                <w:lang w:val="fr-CH"/>
              </w:rPr>
              <w:t xml:space="preserve">des télécommunications </w:t>
            </w:r>
            <w:r w:rsidR="00CF1E9D" w:rsidRPr="00BC2411">
              <w:rPr>
                <w:rFonts w:ascii="Verdana" w:hAnsi="Verdana" w:cs="Times New Roman Bold"/>
                <w:b/>
                <w:bCs/>
                <w:szCs w:val="24"/>
                <w:lang w:val="fr-CH"/>
              </w:rPr>
              <w:t>(</w:t>
            </w:r>
            <w:r w:rsidRPr="00BC2411">
              <w:rPr>
                <w:rFonts w:ascii="Verdana" w:hAnsi="Verdana" w:cs="Times New Roman Bold"/>
                <w:b/>
                <w:bCs/>
                <w:szCs w:val="24"/>
                <w:lang w:val="fr-CH"/>
              </w:rPr>
              <w:t>AMNT</w:t>
            </w:r>
            <w:r w:rsidR="00CF1E9D" w:rsidRPr="00BC2411">
              <w:rPr>
                <w:rFonts w:ascii="Verdana" w:hAnsi="Verdana" w:cs="Times New Roman Bold"/>
                <w:b/>
                <w:bCs/>
                <w:szCs w:val="24"/>
                <w:lang w:val="fr-CH"/>
              </w:rPr>
              <w:t>-16)</w:t>
            </w:r>
            <w:r w:rsidR="00CF1E9D" w:rsidRPr="00BC2411">
              <w:rPr>
                <w:rFonts w:ascii="Verdana" w:hAnsi="Verdana" w:cs="Times New Roman Bold"/>
                <w:b/>
                <w:bCs/>
                <w:sz w:val="22"/>
                <w:szCs w:val="22"/>
                <w:lang w:val="fr-CH"/>
              </w:rPr>
              <w:br/>
            </w:r>
            <w:r w:rsidR="00CF1E9D" w:rsidRPr="00BC2411">
              <w:rPr>
                <w:rFonts w:ascii="Verdana" w:hAnsi="Verdana" w:cs="Times New Roman Bold"/>
                <w:b/>
                <w:bCs/>
                <w:sz w:val="18"/>
                <w:szCs w:val="18"/>
                <w:lang w:val="fr-CH"/>
              </w:rPr>
              <w:t xml:space="preserve">Hammamet, 25 </w:t>
            </w:r>
            <w:r w:rsidRPr="00BC2411">
              <w:rPr>
                <w:rFonts w:ascii="Verdana" w:hAnsi="Verdana" w:cs="Times New Roman Bold"/>
                <w:b/>
                <w:bCs/>
                <w:sz w:val="18"/>
                <w:szCs w:val="18"/>
                <w:lang w:val="fr-CH"/>
              </w:rPr>
              <w:t>o</w:t>
            </w:r>
            <w:r w:rsidR="00CF1E9D" w:rsidRPr="00BC2411">
              <w:rPr>
                <w:rFonts w:ascii="Verdana" w:hAnsi="Verdana" w:cs="Times New Roman Bold"/>
                <w:b/>
                <w:bCs/>
                <w:sz w:val="18"/>
                <w:szCs w:val="18"/>
                <w:lang w:val="fr-CH"/>
              </w:rPr>
              <w:t>ct</w:t>
            </w:r>
            <w:r w:rsidR="00C26BA2" w:rsidRPr="00BC2411">
              <w:rPr>
                <w:rFonts w:ascii="Verdana" w:hAnsi="Verdana" w:cs="Times New Roman Bold"/>
                <w:b/>
                <w:bCs/>
                <w:sz w:val="18"/>
                <w:szCs w:val="18"/>
                <w:lang w:val="fr-CH"/>
              </w:rPr>
              <w:t xml:space="preserve">obre </w:t>
            </w:r>
            <w:r w:rsidR="00CF1E9D" w:rsidRPr="00BC2411">
              <w:rPr>
                <w:rFonts w:ascii="Verdana" w:hAnsi="Verdana" w:cs="Times New Roman Bold"/>
                <w:b/>
                <w:bCs/>
                <w:sz w:val="18"/>
                <w:szCs w:val="18"/>
                <w:lang w:val="fr-CH"/>
              </w:rPr>
              <w:t>-</w:t>
            </w:r>
            <w:r w:rsidR="00C26BA2" w:rsidRPr="00BC2411">
              <w:rPr>
                <w:rFonts w:ascii="Verdana" w:hAnsi="Verdana" w:cs="Times New Roman Bold"/>
                <w:b/>
                <w:bCs/>
                <w:sz w:val="18"/>
                <w:szCs w:val="18"/>
                <w:lang w:val="fr-CH"/>
              </w:rPr>
              <w:t xml:space="preserve"> </w:t>
            </w:r>
            <w:r w:rsidR="00CF1E9D" w:rsidRPr="00BC2411">
              <w:rPr>
                <w:rFonts w:ascii="Verdana" w:hAnsi="Verdana" w:cs="Times New Roman Bold"/>
                <w:b/>
                <w:bCs/>
                <w:sz w:val="18"/>
                <w:szCs w:val="18"/>
                <w:lang w:val="fr-CH"/>
              </w:rPr>
              <w:t xml:space="preserve">3 </w:t>
            </w:r>
            <w:r w:rsidRPr="00BC2411">
              <w:rPr>
                <w:rFonts w:ascii="Verdana" w:hAnsi="Verdana" w:cs="Times New Roman Bold"/>
                <w:b/>
                <w:bCs/>
                <w:sz w:val="18"/>
                <w:szCs w:val="18"/>
                <w:lang w:val="fr-CH"/>
              </w:rPr>
              <w:t>n</w:t>
            </w:r>
            <w:r w:rsidR="00CF1E9D" w:rsidRPr="00BC2411">
              <w:rPr>
                <w:rFonts w:ascii="Verdana" w:hAnsi="Verdana" w:cs="Times New Roman Bold"/>
                <w:b/>
                <w:bCs/>
                <w:sz w:val="18"/>
                <w:szCs w:val="18"/>
                <w:lang w:val="fr-CH"/>
              </w:rPr>
              <w:t>ov</w:t>
            </w:r>
            <w:r w:rsidR="00C26BA2" w:rsidRPr="00BC2411">
              <w:rPr>
                <w:rFonts w:ascii="Verdana" w:hAnsi="Verdana" w:cs="Times New Roman Bold"/>
                <w:b/>
                <w:bCs/>
                <w:sz w:val="18"/>
                <w:szCs w:val="18"/>
                <w:lang w:val="fr-CH"/>
              </w:rPr>
              <w:t>embre</w:t>
            </w:r>
            <w:r w:rsidR="00CF1E9D" w:rsidRPr="00BC2411">
              <w:rPr>
                <w:rFonts w:ascii="Verdana" w:hAnsi="Verdana" w:cs="Times New Roman Bold"/>
                <w:b/>
                <w:bCs/>
                <w:sz w:val="18"/>
                <w:szCs w:val="18"/>
                <w:lang w:val="fr-CH"/>
              </w:rPr>
              <w:t xml:space="preserve"> 2016</w:t>
            </w:r>
          </w:p>
        </w:tc>
        <w:tc>
          <w:tcPr>
            <w:tcW w:w="2440" w:type="dxa"/>
            <w:vAlign w:val="center"/>
          </w:tcPr>
          <w:p w:rsidR="00CF1E9D" w:rsidRPr="00242550" w:rsidRDefault="00CF1E9D" w:rsidP="00530525">
            <w:pPr>
              <w:spacing w:before="0"/>
              <w:jc w:val="right"/>
              <w:rPr>
                <w:u w:val="single"/>
              </w:rPr>
            </w:pPr>
            <w:r w:rsidRPr="00242550">
              <w:rPr>
                <w:noProof/>
                <w:u w:val="single"/>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242550" w:rsidTr="00530525">
        <w:trPr>
          <w:cantSplit/>
        </w:trPr>
        <w:tc>
          <w:tcPr>
            <w:tcW w:w="6804" w:type="dxa"/>
            <w:gridSpan w:val="2"/>
            <w:tcBorders>
              <w:bottom w:val="single" w:sz="12" w:space="0" w:color="auto"/>
            </w:tcBorders>
          </w:tcPr>
          <w:p w:rsidR="00595780" w:rsidRPr="00BC2411" w:rsidRDefault="00595780" w:rsidP="00530525">
            <w:pPr>
              <w:spacing w:before="0"/>
            </w:pPr>
          </w:p>
        </w:tc>
        <w:tc>
          <w:tcPr>
            <w:tcW w:w="3007" w:type="dxa"/>
            <w:gridSpan w:val="2"/>
            <w:tcBorders>
              <w:bottom w:val="single" w:sz="12" w:space="0" w:color="auto"/>
            </w:tcBorders>
          </w:tcPr>
          <w:p w:rsidR="00595780" w:rsidRPr="00BC2411" w:rsidRDefault="00595780" w:rsidP="00530525">
            <w:pPr>
              <w:spacing w:before="0"/>
            </w:pPr>
          </w:p>
        </w:tc>
      </w:tr>
      <w:tr w:rsidR="001D581B" w:rsidRPr="00242550" w:rsidTr="00530525">
        <w:trPr>
          <w:cantSplit/>
        </w:trPr>
        <w:tc>
          <w:tcPr>
            <w:tcW w:w="6804" w:type="dxa"/>
            <w:gridSpan w:val="2"/>
            <w:tcBorders>
              <w:top w:val="single" w:sz="12" w:space="0" w:color="auto"/>
            </w:tcBorders>
          </w:tcPr>
          <w:p w:rsidR="00595780" w:rsidRPr="00BC2411" w:rsidRDefault="00595780" w:rsidP="00530525">
            <w:pPr>
              <w:spacing w:before="0"/>
            </w:pPr>
          </w:p>
        </w:tc>
        <w:tc>
          <w:tcPr>
            <w:tcW w:w="3007" w:type="dxa"/>
            <w:gridSpan w:val="2"/>
          </w:tcPr>
          <w:p w:rsidR="00595780" w:rsidRPr="00BC2411" w:rsidRDefault="00595780" w:rsidP="00530525">
            <w:pPr>
              <w:spacing w:before="0"/>
              <w:rPr>
                <w:rFonts w:ascii="Verdana" w:hAnsi="Verdana"/>
                <w:b/>
                <w:bCs/>
                <w:sz w:val="20"/>
              </w:rPr>
            </w:pPr>
          </w:p>
        </w:tc>
      </w:tr>
      <w:tr w:rsidR="00C26BA2" w:rsidRPr="00242550" w:rsidTr="00530525">
        <w:trPr>
          <w:cantSplit/>
        </w:trPr>
        <w:tc>
          <w:tcPr>
            <w:tcW w:w="6804" w:type="dxa"/>
            <w:gridSpan w:val="2"/>
          </w:tcPr>
          <w:p w:rsidR="00C26BA2" w:rsidRPr="00BC2411" w:rsidRDefault="00C26BA2" w:rsidP="00530525">
            <w:pPr>
              <w:spacing w:before="0"/>
            </w:pPr>
            <w:r w:rsidRPr="00BC2411">
              <w:rPr>
                <w:rFonts w:ascii="Verdana" w:hAnsi="Verdana"/>
                <w:b/>
                <w:sz w:val="20"/>
                <w:lang w:val="en-US"/>
              </w:rPr>
              <w:t>SÉANCE PLÉNIÈRE</w:t>
            </w:r>
          </w:p>
        </w:tc>
        <w:tc>
          <w:tcPr>
            <w:tcW w:w="3007" w:type="dxa"/>
            <w:gridSpan w:val="2"/>
          </w:tcPr>
          <w:p w:rsidR="00C26BA2" w:rsidRPr="00BC2411" w:rsidRDefault="00C26BA2" w:rsidP="00530525">
            <w:pPr>
              <w:spacing w:before="0"/>
              <w:rPr>
                <w:rFonts w:ascii="Verdana" w:hAnsi="Verdana"/>
                <w:sz w:val="20"/>
                <w:lang w:val="en-US"/>
              </w:rPr>
            </w:pPr>
            <w:r w:rsidRPr="00BC2411">
              <w:rPr>
                <w:rFonts w:ascii="Verdana" w:hAnsi="Verdana"/>
                <w:b/>
                <w:sz w:val="20"/>
                <w:lang w:val="en-US"/>
              </w:rPr>
              <w:t>Addendum 6 au</w:t>
            </w:r>
            <w:r w:rsidRPr="00BC2411">
              <w:rPr>
                <w:rFonts w:ascii="Verdana" w:hAnsi="Verdana"/>
                <w:b/>
                <w:sz w:val="20"/>
                <w:lang w:val="en-US"/>
              </w:rPr>
              <w:br/>
              <w:t>Document 47-F</w:t>
            </w:r>
          </w:p>
        </w:tc>
      </w:tr>
      <w:tr w:rsidR="001D581B" w:rsidRPr="00242550" w:rsidTr="00530525">
        <w:trPr>
          <w:cantSplit/>
        </w:trPr>
        <w:tc>
          <w:tcPr>
            <w:tcW w:w="6804" w:type="dxa"/>
            <w:gridSpan w:val="2"/>
          </w:tcPr>
          <w:p w:rsidR="00595780" w:rsidRPr="00BC2411" w:rsidRDefault="00595780" w:rsidP="00530525">
            <w:pPr>
              <w:spacing w:before="0"/>
            </w:pPr>
          </w:p>
        </w:tc>
        <w:tc>
          <w:tcPr>
            <w:tcW w:w="3007" w:type="dxa"/>
            <w:gridSpan w:val="2"/>
          </w:tcPr>
          <w:p w:rsidR="00595780" w:rsidRPr="00BC2411" w:rsidRDefault="00C26BA2" w:rsidP="00530525">
            <w:pPr>
              <w:spacing w:before="0"/>
            </w:pPr>
            <w:r w:rsidRPr="00BC2411">
              <w:rPr>
                <w:rFonts w:ascii="Verdana" w:hAnsi="Verdana"/>
                <w:b/>
                <w:sz w:val="20"/>
                <w:lang w:val="en-US"/>
              </w:rPr>
              <w:t>27 septembre 2016</w:t>
            </w:r>
          </w:p>
        </w:tc>
      </w:tr>
      <w:tr w:rsidR="001D581B" w:rsidRPr="00242550" w:rsidTr="00530525">
        <w:trPr>
          <w:cantSplit/>
        </w:trPr>
        <w:tc>
          <w:tcPr>
            <w:tcW w:w="6804" w:type="dxa"/>
            <w:gridSpan w:val="2"/>
          </w:tcPr>
          <w:p w:rsidR="00595780" w:rsidRPr="00BC2411" w:rsidRDefault="00595780" w:rsidP="00530525">
            <w:pPr>
              <w:spacing w:before="0"/>
            </w:pPr>
          </w:p>
        </w:tc>
        <w:tc>
          <w:tcPr>
            <w:tcW w:w="3007" w:type="dxa"/>
            <w:gridSpan w:val="2"/>
          </w:tcPr>
          <w:p w:rsidR="00595780" w:rsidRPr="00BC2411" w:rsidRDefault="00C26BA2" w:rsidP="00530525">
            <w:pPr>
              <w:spacing w:before="0"/>
            </w:pPr>
            <w:r w:rsidRPr="00BC2411">
              <w:rPr>
                <w:rFonts w:ascii="Verdana" w:hAnsi="Verdana"/>
                <w:b/>
                <w:sz w:val="20"/>
                <w:lang w:val="en-US"/>
              </w:rPr>
              <w:t>Original: russe</w:t>
            </w:r>
          </w:p>
        </w:tc>
      </w:tr>
      <w:tr w:rsidR="000032AD" w:rsidRPr="00242550" w:rsidTr="00530525">
        <w:trPr>
          <w:cantSplit/>
        </w:trPr>
        <w:tc>
          <w:tcPr>
            <w:tcW w:w="9811" w:type="dxa"/>
            <w:gridSpan w:val="4"/>
          </w:tcPr>
          <w:p w:rsidR="000032AD" w:rsidRPr="00BC2411" w:rsidRDefault="000032AD" w:rsidP="00530525">
            <w:pPr>
              <w:spacing w:before="0"/>
              <w:rPr>
                <w:rFonts w:ascii="Verdana" w:hAnsi="Verdana"/>
                <w:b/>
                <w:bCs/>
                <w:sz w:val="20"/>
              </w:rPr>
            </w:pPr>
          </w:p>
        </w:tc>
      </w:tr>
      <w:tr w:rsidR="00595780" w:rsidRPr="00BC2411" w:rsidTr="00530525">
        <w:trPr>
          <w:cantSplit/>
        </w:trPr>
        <w:tc>
          <w:tcPr>
            <w:tcW w:w="9811" w:type="dxa"/>
            <w:gridSpan w:val="4"/>
          </w:tcPr>
          <w:p w:rsidR="00595780" w:rsidRPr="00BC2411" w:rsidRDefault="00C26BA2" w:rsidP="00FA1802">
            <w:pPr>
              <w:pStyle w:val="Source"/>
              <w:rPr>
                <w:lang w:val="fr-CH"/>
              </w:rPr>
            </w:pPr>
            <w:r w:rsidRPr="00BC2411">
              <w:rPr>
                <w:lang w:val="fr-CH"/>
              </w:rPr>
              <w:t>Etats Membres de l'UIT, membres de la Communauté régionale</w:t>
            </w:r>
            <w:r w:rsidR="00FA1802">
              <w:rPr>
                <w:lang w:val="fr-CH"/>
              </w:rPr>
              <w:br/>
            </w:r>
            <w:r w:rsidRPr="00BC2411">
              <w:rPr>
                <w:lang w:val="fr-CH"/>
              </w:rPr>
              <w:t>des communications (RCC)</w:t>
            </w:r>
          </w:p>
        </w:tc>
      </w:tr>
      <w:tr w:rsidR="00595780" w:rsidRPr="00BC2411" w:rsidTr="00530525">
        <w:trPr>
          <w:cantSplit/>
        </w:trPr>
        <w:tc>
          <w:tcPr>
            <w:tcW w:w="9811" w:type="dxa"/>
            <w:gridSpan w:val="4"/>
          </w:tcPr>
          <w:p w:rsidR="00595780" w:rsidRPr="00BC2411" w:rsidRDefault="00FA1802" w:rsidP="00530525">
            <w:pPr>
              <w:pStyle w:val="Title1"/>
              <w:rPr>
                <w:lang w:val="fr-CH"/>
              </w:rPr>
            </w:pPr>
            <w:r>
              <w:rPr>
                <w:lang w:val="fr-CH"/>
              </w:rPr>
              <w:t>STRUCTURE DES COMMISSIONS D'éTUDES DE L'UIT-T</w:t>
            </w:r>
          </w:p>
        </w:tc>
      </w:tr>
      <w:tr w:rsidR="00595780" w:rsidRPr="00BC2411" w:rsidTr="00530525">
        <w:trPr>
          <w:cantSplit/>
        </w:trPr>
        <w:tc>
          <w:tcPr>
            <w:tcW w:w="9811" w:type="dxa"/>
            <w:gridSpan w:val="4"/>
          </w:tcPr>
          <w:p w:rsidR="00595780" w:rsidRPr="00242550" w:rsidRDefault="00595780" w:rsidP="00530525">
            <w:pPr>
              <w:pStyle w:val="Title2"/>
              <w:rPr>
                <w:u w:val="single"/>
                <w:lang w:val="fr-CH"/>
              </w:rPr>
            </w:pPr>
          </w:p>
        </w:tc>
      </w:tr>
      <w:tr w:rsidR="00C26BA2" w:rsidRPr="00BC2411" w:rsidTr="00530525">
        <w:trPr>
          <w:cantSplit/>
        </w:trPr>
        <w:tc>
          <w:tcPr>
            <w:tcW w:w="9811" w:type="dxa"/>
            <w:gridSpan w:val="4"/>
          </w:tcPr>
          <w:p w:rsidR="00C26BA2" w:rsidRPr="00242550" w:rsidRDefault="00C26BA2" w:rsidP="00530525">
            <w:pPr>
              <w:pStyle w:val="Agendaitem"/>
              <w:rPr>
                <w:u w:val="single"/>
                <w:lang w:val="fr-CH"/>
              </w:rPr>
            </w:pPr>
          </w:p>
        </w:tc>
      </w:tr>
    </w:tbl>
    <w:p w:rsidR="00E11197" w:rsidRPr="00242550" w:rsidRDefault="00E11197" w:rsidP="00E11197">
      <w:pPr>
        <w:rPr>
          <w:u w:val="single"/>
          <w:lang w:val="fr-CH"/>
        </w:rPr>
      </w:pPr>
    </w:p>
    <w:tbl>
      <w:tblPr>
        <w:tblW w:w="5089" w:type="pct"/>
        <w:tblLayout w:type="fixed"/>
        <w:tblLook w:val="0000" w:firstRow="0" w:lastRow="0" w:firstColumn="0" w:lastColumn="0" w:noHBand="0" w:noVBand="0"/>
      </w:tblPr>
      <w:tblGrid>
        <w:gridCol w:w="1912"/>
        <w:gridCol w:w="7899"/>
      </w:tblGrid>
      <w:tr w:rsidR="00E11197" w:rsidRPr="00BC2411" w:rsidTr="00193AD1">
        <w:trPr>
          <w:cantSplit/>
        </w:trPr>
        <w:tc>
          <w:tcPr>
            <w:tcW w:w="1951" w:type="dxa"/>
          </w:tcPr>
          <w:p w:rsidR="00E11197" w:rsidRPr="00FA1802" w:rsidRDefault="00E11197" w:rsidP="00193AD1">
            <w:pPr>
              <w:rPr>
                <w:lang w:val="fr-CH"/>
              </w:rPr>
            </w:pPr>
            <w:r w:rsidRPr="00FA1802">
              <w:rPr>
                <w:b/>
                <w:bCs/>
                <w:lang w:val="fr-CH"/>
              </w:rPr>
              <w:t>Résumé:</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42550" w:rsidRDefault="00242550" w:rsidP="00BC2411">
                <w:pPr>
                  <w:rPr>
                    <w:color w:val="000000" w:themeColor="text1"/>
                    <w:lang w:val="fr-CH"/>
                  </w:rPr>
                </w:pPr>
                <w:r w:rsidRPr="00242550">
                  <w:rPr>
                    <w:color w:val="000000" w:themeColor="text1"/>
                    <w:lang w:val="fr-CH"/>
                  </w:rPr>
                  <w:t>La présente contribution contient les propositions de la RCC concernant la structure des commissions d'études de l'UIT–T,</w:t>
                </w:r>
                <w:r w:rsidR="00BC2411">
                  <w:rPr>
                    <w:color w:val="000000" w:themeColor="text1"/>
                    <w:lang w:val="fr-CH"/>
                  </w:rPr>
                  <w:t xml:space="preserve"> étant entendu que</w:t>
                </w:r>
                <w:r w:rsidRPr="00242550">
                  <w:rPr>
                    <w:color w:val="000000" w:themeColor="text1"/>
                    <w:lang w:val="fr-CH"/>
                  </w:rPr>
                  <w:t xml:space="preserve"> la préférence </w:t>
                </w:r>
                <w:r w:rsidR="00BC2411">
                  <w:rPr>
                    <w:color w:val="000000" w:themeColor="text1"/>
                    <w:lang w:val="fr-CH"/>
                  </w:rPr>
                  <w:t>est</w:t>
                </w:r>
                <w:r w:rsidRPr="00242550">
                  <w:rPr>
                    <w:color w:val="000000" w:themeColor="text1"/>
                    <w:lang w:val="fr-CH"/>
                  </w:rPr>
                  <w:t xml:space="preserve"> donnée</w:t>
                </w:r>
                <w:r w:rsidR="00BC2411">
                  <w:rPr>
                    <w:color w:val="000000" w:themeColor="text1"/>
                    <w:lang w:val="fr-CH"/>
                  </w:rPr>
                  <w:t xml:space="preserve"> à</w:t>
                </w:r>
                <w:r w:rsidRPr="00242550">
                  <w:rPr>
                    <w:color w:val="000000" w:themeColor="text1"/>
                    <w:lang w:val="fr-CH"/>
                  </w:rPr>
                  <w:t xml:space="preserve"> la structure existante.</w:t>
                </w:r>
              </w:p>
            </w:tc>
          </w:sdtContent>
        </w:sdt>
      </w:tr>
    </w:tbl>
    <w:p w:rsidR="00F776DF" w:rsidRPr="00242550" w:rsidRDefault="00F776DF">
      <w:pPr>
        <w:tabs>
          <w:tab w:val="clear" w:pos="1134"/>
          <w:tab w:val="clear" w:pos="1871"/>
          <w:tab w:val="clear" w:pos="2268"/>
        </w:tabs>
        <w:overflowPunct/>
        <w:autoSpaceDE/>
        <w:autoSpaceDN/>
        <w:adjustRightInd/>
        <w:spacing w:before="0"/>
        <w:textAlignment w:val="auto"/>
        <w:rPr>
          <w:lang w:val="fr-CH"/>
        </w:rPr>
      </w:pPr>
    </w:p>
    <w:p w:rsidR="000F3F17" w:rsidRPr="00BC2411" w:rsidRDefault="000F3F17" w:rsidP="00BC2411">
      <w:pPr>
        <w:pStyle w:val="Headingb"/>
      </w:pPr>
      <w:r w:rsidRPr="00242550">
        <w:t>Introduction</w:t>
      </w:r>
    </w:p>
    <w:p w:rsidR="00C437FF" w:rsidRPr="00242550" w:rsidRDefault="00C437FF" w:rsidP="00BC2411">
      <w:pPr>
        <w:rPr>
          <w:lang w:val="fr-CH"/>
        </w:rPr>
      </w:pPr>
      <w:r w:rsidRPr="00242550">
        <w:rPr>
          <w:lang w:val="fr-CH"/>
        </w:rPr>
        <w:t>Il a été décidé à l'AMNT</w:t>
      </w:r>
      <w:r w:rsidRPr="00242550">
        <w:rPr>
          <w:lang w:val="fr-CH"/>
        </w:rPr>
        <w:noBreakHyphen/>
        <w:t xml:space="preserve">08 de ramener le nombre de commissions d'études de 13 à 10. </w:t>
      </w:r>
      <w:r w:rsidR="00242550" w:rsidRPr="00242550">
        <w:rPr>
          <w:lang w:val="fr-CH"/>
        </w:rPr>
        <w:t>A l'AMNT</w:t>
      </w:r>
      <w:r w:rsidR="00BC2411">
        <w:rPr>
          <w:lang w:val="fr-CH"/>
        </w:rPr>
        <w:noBreakHyphen/>
      </w:r>
      <w:r w:rsidR="00242550" w:rsidRPr="00242550">
        <w:rPr>
          <w:lang w:val="fr-CH"/>
        </w:rPr>
        <w:t xml:space="preserve">12, le nombre de commissions d'études est resté inchangé. </w:t>
      </w:r>
      <w:r w:rsidRPr="00242550">
        <w:rPr>
          <w:lang w:val="fr-CH"/>
        </w:rPr>
        <w:t xml:space="preserve">Au cours de la période </w:t>
      </w:r>
      <w:r w:rsidR="00242550" w:rsidRPr="00242550">
        <w:rPr>
          <w:lang w:val="fr-CH"/>
        </w:rPr>
        <w:t>2012</w:t>
      </w:r>
      <w:r w:rsidR="00BC2411">
        <w:rPr>
          <w:lang w:val="fr-CH"/>
        </w:rPr>
        <w:noBreakHyphen/>
      </w:r>
      <w:r w:rsidR="00242550" w:rsidRPr="00242550">
        <w:rPr>
          <w:lang w:val="fr-CH"/>
        </w:rPr>
        <w:t>2015</w:t>
      </w:r>
      <w:r w:rsidRPr="00242550">
        <w:rPr>
          <w:lang w:val="fr-CH"/>
        </w:rPr>
        <w:t>, les commissions d'études suivantes ont été actives dans le Secteur de l'UIT</w:t>
      </w:r>
      <w:r w:rsidRPr="00242550">
        <w:rPr>
          <w:lang w:val="fr-CH"/>
        </w:rPr>
        <w:noBreakHyphen/>
        <w:t>T:</w:t>
      </w:r>
    </w:p>
    <w:p w:rsidR="00C437FF" w:rsidRPr="00242550" w:rsidRDefault="00FA1802" w:rsidP="00FA1802">
      <w:pPr>
        <w:pStyle w:val="enumlev1"/>
        <w:rPr>
          <w:lang w:val="fr-CH"/>
        </w:rPr>
      </w:pPr>
      <w:r w:rsidRPr="00FA1802">
        <w:rPr>
          <w:lang w:val="fr-CH"/>
        </w:rPr>
        <w:t>–</w:t>
      </w:r>
      <w:r>
        <w:rPr>
          <w:lang w:val="fr-CH"/>
        </w:rPr>
        <w:tab/>
      </w:r>
      <w:r w:rsidR="00C437FF" w:rsidRPr="00242550">
        <w:rPr>
          <w:lang w:val="fr-CH"/>
        </w:rPr>
        <w:t>Commission d'études 2 – Aspects opérationnels de la fourniture de services et de la gestion des télécommunications</w:t>
      </w:r>
    </w:p>
    <w:p w:rsidR="00C437FF" w:rsidRPr="00242550" w:rsidRDefault="00FA1802" w:rsidP="00FA1802">
      <w:pPr>
        <w:pStyle w:val="enumlev1"/>
        <w:rPr>
          <w:lang w:val="fr-CH"/>
        </w:rPr>
      </w:pPr>
      <w:r w:rsidRPr="00FA1802">
        <w:rPr>
          <w:lang w:val="fr-CH"/>
        </w:rPr>
        <w:t>–</w:t>
      </w:r>
      <w:r>
        <w:rPr>
          <w:lang w:val="fr-CH"/>
        </w:rPr>
        <w:tab/>
      </w:r>
      <w:r w:rsidR="00C437FF" w:rsidRPr="00242550">
        <w:rPr>
          <w:lang w:val="fr-CH"/>
        </w:rPr>
        <w:t>Commission d'études 3 – Principes de tarification et de comptabilité et questions connexes de politique générale et d'économie des télécommunications</w:t>
      </w:r>
    </w:p>
    <w:p w:rsidR="00C437FF" w:rsidRPr="00242550" w:rsidRDefault="00FA1802" w:rsidP="00FA1802">
      <w:pPr>
        <w:pStyle w:val="enumlev1"/>
        <w:rPr>
          <w:lang w:val="fr-CH"/>
        </w:rPr>
      </w:pPr>
      <w:r w:rsidRPr="00FA1802">
        <w:rPr>
          <w:lang w:val="fr-CH"/>
        </w:rPr>
        <w:t>–</w:t>
      </w:r>
      <w:r>
        <w:rPr>
          <w:lang w:val="fr-CH"/>
        </w:rPr>
        <w:tab/>
      </w:r>
      <w:r w:rsidR="00C437FF" w:rsidRPr="00242550">
        <w:rPr>
          <w:lang w:val="fr-CH"/>
        </w:rPr>
        <w:t xml:space="preserve">Commission d'études 5 – </w:t>
      </w:r>
      <w:r w:rsidR="00242550" w:rsidRPr="00242550">
        <w:rPr>
          <w:lang w:val="fr-CH"/>
        </w:rPr>
        <w:t>Environnement et changements climatiques</w:t>
      </w:r>
    </w:p>
    <w:p w:rsidR="00C437FF" w:rsidRPr="00242550" w:rsidRDefault="00FA1802" w:rsidP="00FA1802">
      <w:pPr>
        <w:pStyle w:val="enumlev1"/>
        <w:rPr>
          <w:lang w:val="fr-CH"/>
        </w:rPr>
      </w:pPr>
      <w:r w:rsidRPr="00FA1802">
        <w:rPr>
          <w:lang w:val="fr-CH"/>
        </w:rPr>
        <w:t>–</w:t>
      </w:r>
      <w:r>
        <w:rPr>
          <w:lang w:val="fr-CH"/>
        </w:rPr>
        <w:tab/>
      </w:r>
      <w:r w:rsidR="00C437FF" w:rsidRPr="00242550">
        <w:rPr>
          <w:lang w:val="fr-CH"/>
        </w:rPr>
        <w:t>Commission d'études 9 – Transmission télévisuelle et sonore et réseaux câblés intégrés à large bande</w:t>
      </w:r>
    </w:p>
    <w:p w:rsidR="00C437FF" w:rsidRPr="00242550" w:rsidRDefault="00FA1802" w:rsidP="00FA1802">
      <w:pPr>
        <w:pStyle w:val="enumlev1"/>
        <w:rPr>
          <w:lang w:val="fr-CH"/>
        </w:rPr>
      </w:pPr>
      <w:r w:rsidRPr="00FA1802">
        <w:rPr>
          <w:lang w:val="fr-CH"/>
        </w:rPr>
        <w:t>–</w:t>
      </w:r>
      <w:r>
        <w:rPr>
          <w:lang w:val="fr-CH"/>
        </w:rPr>
        <w:tab/>
      </w:r>
      <w:r w:rsidR="00C437FF" w:rsidRPr="00242550">
        <w:rPr>
          <w:lang w:val="fr-CH"/>
        </w:rPr>
        <w:t>Commission d'études 11 – Spécifications de signalisation, protocoles et spécifications de test</w:t>
      </w:r>
    </w:p>
    <w:p w:rsidR="00C437FF" w:rsidRPr="00242550" w:rsidRDefault="00FA1802" w:rsidP="00FA1802">
      <w:pPr>
        <w:pStyle w:val="enumlev1"/>
        <w:rPr>
          <w:lang w:val="fr-CH"/>
        </w:rPr>
      </w:pPr>
      <w:r w:rsidRPr="00FA1802">
        <w:rPr>
          <w:lang w:val="fr-CH"/>
        </w:rPr>
        <w:t>–</w:t>
      </w:r>
      <w:r>
        <w:rPr>
          <w:lang w:val="fr-CH"/>
        </w:rPr>
        <w:tab/>
      </w:r>
      <w:r w:rsidR="00C437FF" w:rsidRPr="00242550">
        <w:rPr>
          <w:lang w:val="fr-CH"/>
        </w:rPr>
        <w:t>Commission d'études 12 – Qualité de fonctionnement, qualité de service et qualité d'expérience</w:t>
      </w:r>
    </w:p>
    <w:p w:rsidR="00C437FF" w:rsidRPr="00242550" w:rsidRDefault="00FA1802" w:rsidP="00FA1802">
      <w:pPr>
        <w:pStyle w:val="enumlev1"/>
        <w:rPr>
          <w:lang w:val="fr-CH"/>
        </w:rPr>
      </w:pPr>
      <w:r w:rsidRPr="00FA1802">
        <w:rPr>
          <w:lang w:val="fr-CH"/>
        </w:rPr>
        <w:t>–</w:t>
      </w:r>
      <w:r>
        <w:rPr>
          <w:lang w:val="fr-CH"/>
        </w:rPr>
        <w:tab/>
      </w:r>
      <w:r w:rsidR="00C437FF" w:rsidRPr="00242550">
        <w:rPr>
          <w:lang w:val="fr-CH"/>
        </w:rPr>
        <w:t xml:space="preserve">Commission d'études 13 – Réseaux futurs, y compris </w:t>
      </w:r>
      <w:r w:rsidR="00242550" w:rsidRPr="00242550">
        <w:rPr>
          <w:lang w:val="fr-CH"/>
        </w:rPr>
        <w:t xml:space="preserve">l'informatique en nuage, les réseaux mobiles et des réseaux de prochaine génération </w:t>
      </w:r>
    </w:p>
    <w:p w:rsidR="00C437FF" w:rsidRPr="00242550" w:rsidRDefault="00FA1802" w:rsidP="00FA1802">
      <w:pPr>
        <w:pStyle w:val="enumlev1"/>
        <w:rPr>
          <w:lang w:val="fr-CH"/>
        </w:rPr>
      </w:pPr>
      <w:r w:rsidRPr="00FA1802">
        <w:rPr>
          <w:lang w:val="fr-CH"/>
        </w:rPr>
        <w:lastRenderedPageBreak/>
        <w:t>–</w:t>
      </w:r>
      <w:r>
        <w:rPr>
          <w:lang w:val="fr-CH"/>
        </w:rPr>
        <w:tab/>
      </w:r>
      <w:r w:rsidR="00C437FF" w:rsidRPr="00242550">
        <w:rPr>
          <w:lang w:val="fr-CH"/>
        </w:rPr>
        <w:t>Commission d'études 15 –</w:t>
      </w:r>
      <w:r w:rsidR="00242550" w:rsidRPr="00242550">
        <w:rPr>
          <w:lang w:val="fr-CH"/>
        </w:rPr>
        <w:t>Réseaux, technologies et infrastructures destinées au transport, à l' accès et aux installations domestiques</w:t>
      </w:r>
      <w:r w:rsidR="00C437FF" w:rsidRPr="00242550">
        <w:rPr>
          <w:lang w:val="fr-CH"/>
        </w:rPr>
        <w:t xml:space="preserve"> </w:t>
      </w:r>
    </w:p>
    <w:p w:rsidR="00C437FF" w:rsidRPr="00242550" w:rsidRDefault="00FA1802" w:rsidP="00FA1802">
      <w:pPr>
        <w:pStyle w:val="enumlev1"/>
        <w:rPr>
          <w:lang w:val="fr-CH"/>
        </w:rPr>
      </w:pPr>
      <w:r w:rsidRPr="00FA1802">
        <w:rPr>
          <w:lang w:val="fr-CH"/>
        </w:rPr>
        <w:t>–</w:t>
      </w:r>
      <w:r>
        <w:rPr>
          <w:lang w:val="fr-CH"/>
        </w:rPr>
        <w:tab/>
      </w:r>
      <w:r w:rsidR="00C437FF" w:rsidRPr="00242550">
        <w:rPr>
          <w:lang w:val="fr-CH"/>
        </w:rPr>
        <w:t>Commission d'études 16 – Codage, systèmes et applications multimédias</w:t>
      </w:r>
    </w:p>
    <w:p w:rsidR="00C437FF" w:rsidRPr="00242550" w:rsidRDefault="00FA1802" w:rsidP="00FA1802">
      <w:pPr>
        <w:pStyle w:val="enumlev1"/>
        <w:rPr>
          <w:lang w:val="fr-CH"/>
        </w:rPr>
      </w:pPr>
      <w:r w:rsidRPr="00FA1802">
        <w:rPr>
          <w:lang w:val="fr-CH"/>
        </w:rPr>
        <w:t>–</w:t>
      </w:r>
      <w:r>
        <w:rPr>
          <w:lang w:val="fr-CH"/>
        </w:rPr>
        <w:tab/>
      </w:r>
      <w:r w:rsidR="00C437FF" w:rsidRPr="00242550">
        <w:rPr>
          <w:lang w:val="fr-CH"/>
        </w:rPr>
        <w:t>Commission d'études 17 – Sécurité</w:t>
      </w:r>
    </w:p>
    <w:p w:rsidR="00242550" w:rsidRPr="00242550" w:rsidRDefault="00242550" w:rsidP="00BC2411">
      <w:pPr>
        <w:rPr>
          <w:lang w:val="fr-CH"/>
        </w:rPr>
      </w:pPr>
      <w:r w:rsidRPr="00242550">
        <w:rPr>
          <w:lang w:val="fr-CH"/>
        </w:rPr>
        <w:t xml:space="preserve">En outre, conformément à </w:t>
      </w:r>
      <w:r w:rsidR="00BC2411">
        <w:rPr>
          <w:lang w:val="fr-CH"/>
        </w:rPr>
        <w:t>la</w:t>
      </w:r>
      <w:r w:rsidRPr="00242550">
        <w:rPr>
          <w:lang w:val="fr-CH"/>
        </w:rPr>
        <w:t xml:space="preserve"> décision prise par le GCNT à sa 15</w:t>
      </w:r>
      <w:r w:rsidRPr="00242550">
        <w:rPr>
          <w:vertAlign w:val="superscript"/>
          <w:lang w:val="fr-CH"/>
        </w:rPr>
        <w:t>e</w:t>
      </w:r>
      <w:r w:rsidRPr="00242550">
        <w:rPr>
          <w:lang w:val="fr-CH"/>
        </w:rPr>
        <w:t xml:space="preserve"> réunion, une nouvelle </w:t>
      </w:r>
      <w:r w:rsidR="00FA1802">
        <w:rPr>
          <w:lang w:val="fr-CH"/>
        </w:rPr>
        <w:t>commission d'études a été créée</w:t>
      </w:r>
      <w:r w:rsidRPr="00242550">
        <w:rPr>
          <w:lang w:val="fr-CH"/>
        </w:rPr>
        <w:t>:</w:t>
      </w:r>
    </w:p>
    <w:p w:rsidR="00242550" w:rsidRPr="00242550" w:rsidRDefault="00FA1802" w:rsidP="00FA1802">
      <w:pPr>
        <w:pStyle w:val="enumlev1"/>
        <w:rPr>
          <w:lang w:val="fr-CH"/>
        </w:rPr>
      </w:pPr>
      <w:r w:rsidRPr="00FA1802">
        <w:rPr>
          <w:lang w:val="fr-CH"/>
        </w:rPr>
        <w:t>–</w:t>
      </w:r>
      <w:r>
        <w:rPr>
          <w:lang w:val="fr-CH"/>
        </w:rPr>
        <w:tab/>
      </w:r>
      <w:r w:rsidR="00242550" w:rsidRPr="00242550">
        <w:rPr>
          <w:lang w:val="fr-CH"/>
        </w:rPr>
        <w:t>Commission d'études 20</w:t>
      </w:r>
      <w:r w:rsidR="00BC2411">
        <w:rPr>
          <w:lang w:val="fr-CH"/>
        </w:rPr>
        <w:t xml:space="preserve"> </w:t>
      </w:r>
      <w:r w:rsidR="00242550" w:rsidRPr="00242550">
        <w:rPr>
          <w:lang w:val="fr-CH"/>
        </w:rPr>
        <w:t>–</w:t>
      </w:r>
      <w:r w:rsidR="00BC2411">
        <w:rPr>
          <w:lang w:val="fr-CH"/>
        </w:rPr>
        <w:t xml:space="preserve"> </w:t>
      </w:r>
      <w:r w:rsidR="00242550" w:rsidRPr="00242550">
        <w:rPr>
          <w:lang w:val="fr-CH"/>
        </w:rPr>
        <w:t>L'Internet des objets et ses applications</w:t>
      </w:r>
      <w:r w:rsidR="00BC2411">
        <w:rPr>
          <w:lang w:val="fr-CH"/>
        </w:rPr>
        <w:t>,</w:t>
      </w:r>
      <w:r w:rsidR="00242550" w:rsidRPr="00242550">
        <w:rPr>
          <w:lang w:val="fr-CH"/>
        </w:rPr>
        <w:t xml:space="preserve"> y compris les villes et les communautés intelligentes.</w:t>
      </w:r>
    </w:p>
    <w:p w:rsidR="00242550" w:rsidRPr="00242550" w:rsidRDefault="00242550" w:rsidP="00BC2411">
      <w:pPr>
        <w:rPr>
          <w:lang w:val="fr-CH"/>
        </w:rPr>
      </w:pPr>
      <w:r w:rsidRPr="00242550">
        <w:rPr>
          <w:lang w:val="fr-CH"/>
        </w:rPr>
        <w:t xml:space="preserve">Il ressort </w:t>
      </w:r>
      <w:r w:rsidR="00BC2411">
        <w:rPr>
          <w:lang w:val="fr-CH"/>
        </w:rPr>
        <w:t>d'un</w:t>
      </w:r>
      <w:r w:rsidRPr="00242550">
        <w:rPr>
          <w:lang w:val="fr-CH"/>
        </w:rPr>
        <w:t xml:space="preserve"> premier examen des activités de ces commissions d'études que toutes les commissions d'études de l'UIT–T se sont</w:t>
      </w:r>
      <w:r w:rsidR="00BC2411">
        <w:rPr>
          <w:lang w:val="fr-CH"/>
        </w:rPr>
        <w:t>,</w:t>
      </w:r>
      <w:r w:rsidRPr="00242550">
        <w:rPr>
          <w:lang w:val="fr-CH"/>
        </w:rPr>
        <w:t xml:space="preserve"> dans l'ensemble</w:t>
      </w:r>
      <w:r w:rsidR="00BC2411">
        <w:rPr>
          <w:lang w:val="fr-CH"/>
        </w:rPr>
        <w:t>,</w:t>
      </w:r>
      <w:r w:rsidRPr="00242550">
        <w:rPr>
          <w:lang w:val="fr-CH"/>
        </w:rPr>
        <w:t xml:space="preserve"> acquittées de leur mandat. </w:t>
      </w:r>
      <w:r w:rsidR="00BC2411">
        <w:rPr>
          <w:lang w:val="fr-CH"/>
        </w:rPr>
        <w:t>Chaque</w:t>
      </w:r>
      <w:r w:rsidRPr="00242550">
        <w:rPr>
          <w:lang w:val="fr-CH"/>
        </w:rPr>
        <w:t xml:space="preserve"> commission d'études a également élaboré des propositions concernant le programme de travail pour la période d'études à venir.</w:t>
      </w:r>
    </w:p>
    <w:p w:rsidR="000F3F17" w:rsidRPr="00242550" w:rsidRDefault="00242550" w:rsidP="00BC2411">
      <w:pPr>
        <w:rPr>
          <w:lang w:val="fr-CH"/>
        </w:rPr>
      </w:pPr>
      <w:r w:rsidRPr="00242550">
        <w:rPr>
          <w:lang w:val="fr-CH"/>
        </w:rPr>
        <w:t xml:space="preserve">Après avoir examiné les propositions </w:t>
      </w:r>
      <w:r w:rsidR="00BC2411">
        <w:rPr>
          <w:lang w:val="fr-CH"/>
        </w:rPr>
        <w:t>d'un certain</w:t>
      </w:r>
      <w:r w:rsidRPr="00242550">
        <w:rPr>
          <w:lang w:val="fr-CH"/>
        </w:rPr>
        <w:t xml:space="preserve"> nombre de pays et</w:t>
      </w:r>
      <w:r w:rsidR="00BC2411">
        <w:rPr>
          <w:lang w:val="fr-CH"/>
        </w:rPr>
        <w:t xml:space="preserve"> les documents soumis</w:t>
      </w:r>
      <w:r w:rsidRPr="00242550">
        <w:rPr>
          <w:lang w:val="fr-CH"/>
        </w:rPr>
        <w:t xml:space="preserve"> par les présidents des commissions d'études, </w:t>
      </w:r>
      <w:r w:rsidR="00007653">
        <w:rPr>
          <w:lang w:val="fr-CH"/>
        </w:rPr>
        <w:t>les administrations des pays membres de la RCC proposent de conserver la structure générale actuelle des commissions d'études. Dans le même temps, compte tenu des préoccupations que suscite l'augmentation des dépenses</w:t>
      </w:r>
      <w:r w:rsidR="00BC2411">
        <w:rPr>
          <w:lang w:val="fr-CH"/>
        </w:rPr>
        <w:t>,</w:t>
      </w:r>
      <w:r w:rsidR="00007653">
        <w:rPr>
          <w:lang w:val="fr-CH"/>
        </w:rPr>
        <w:t xml:space="preserve"> en termes de ressources financières et de ressources humaines</w:t>
      </w:r>
      <w:r w:rsidR="00BC2411">
        <w:rPr>
          <w:lang w:val="fr-CH"/>
        </w:rPr>
        <w:t>,</w:t>
      </w:r>
      <w:r w:rsidR="00007653">
        <w:rPr>
          <w:lang w:val="fr-CH"/>
        </w:rPr>
        <w:t xml:space="preserve"> découl</w:t>
      </w:r>
      <w:r w:rsidR="00BC2411">
        <w:rPr>
          <w:lang w:val="fr-CH"/>
        </w:rPr>
        <w:t>ant</w:t>
      </w:r>
      <w:r w:rsidR="00007653">
        <w:rPr>
          <w:lang w:val="fr-CH"/>
        </w:rPr>
        <w:t xml:space="preserve"> de la création d'une nouvelle commission d'études et au vu du petit nombre de contributions et de documents émanant de la </w:t>
      </w:r>
      <w:r w:rsidR="00BC2411">
        <w:rPr>
          <w:lang w:val="fr-CH"/>
        </w:rPr>
        <w:t>C</w:t>
      </w:r>
      <w:r w:rsidR="00007653">
        <w:rPr>
          <w:lang w:val="fr-CH"/>
        </w:rPr>
        <w:t>ommission d'études 9 (CE9), il est possible</w:t>
      </w:r>
      <w:r w:rsidR="00BC2411">
        <w:rPr>
          <w:lang w:val="fr-CH"/>
        </w:rPr>
        <w:t>, à notre avis,</w:t>
      </w:r>
      <w:r w:rsidR="00007653">
        <w:rPr>
          <w:lang w:val="fr-CH"/>
        </w:rPr>
        <w:t xml:space="preserve"> de prendre en considération les propositions visant à transformer cette commission d'études en un groupe de travail qui relèverait d'autres commissions d'études, </w:t>
      </w:r>
      <w:r w:rsidR="00BC2411">
        <w:rPr>
          <w:lang w:val="fr-CH"/>
        </w:rPr>
        <w:t>avant tout de</w:t>
      </w:r>
      <w:r w:rsidR="00007653">
        <w:rPr>
          <w:lang w:val="fr-CH"/>
        </w:rPr>
        <w:t xml:space="preserve"> la CE</w:t>
      </w:r>
      <w:r w:rsidR="00BC2411">
        <w:rPr>
          <w:lang w:val="fr-CH"/>
        </w:rPr>
        <w:t xml:space="preserve"> </w:t>
      </w:r>
      <w:r w:rsidR="00007653">
        <w:rPr>
          <w:lang w:val="fr-CH"/>
        </w:rPr>
        <w:t xml:space="preserve">15 ou </w:t>
      </w:r>
      <w:r w:rsidR="00BC2411">
        <w:rPr>
          <w:lang w:val="fr-CH"/>
        </w:rPr>
        <w:t xml:space="preserve">de </w:t>
      </w:r>
      <w:r w:rsidR="00007653">
        <w:rPr>
          <w:lang w:val="fr-CH"/>
        </w:rPr>
        <w:t>la CE</w:t>
      </w:r>
      <w:r w:rsidR="00BC2411">
        <w:rPr>
          <w:lang w:val="fr-CH"/>
        </w:rPr>
        <w:t xml:space="preserve"> </w:t>
      </w:r>
      <w:r w:rsidR="00007653">
        <w:rPr>
          <w:lang w:val="fr-CH"/>
        </w:rPr>
        <w:t>16.</w:t>
      </w:r>
    </w:p>
    <w:p w:rsidR="00987C1F" w:rsidRPr="00007653" w:rsidRDefault="000F3F17" w:rsidP="00BC2411">
      <w:pPr>
        <w:pStyle w:val="Headingb"/>
      </w:pPr>
      <w:r w:rsidRPr="00BC2411">
        <w:t>Proposition</w:t>
      </w:r>
    </w:p>
    <w:p w:rsidR="007A66CF" w:rsidRPr="00007653" w:rsidRDefault="00C437FF" w:rsidP="00BC2411">
      <w:pPr>
        <w:pStyle w:val="Proposal"/>
        <w:rPr>
          <w:lang w:val="fr-CH"/>
        </w:rPr>
      </w:pPr>
      <w:r w:rsidRPr="00007653">
        <w:rPr>
          <w:lang w:val="fr-CH"/>
        </w:rPr>
        <w:tab/>
      </w:r>
      <w:r w:rsidRPr="00BC2411">
        <w:t>RCC</w:t>
      </w:r>
      <w:r w:rsidRPr="00007653">
        <w:rPr>
          <w:lang w:val="fr-CH"/>
        </w:rPr>
        <w:t>/47A6/1</w:t>
      </w:r>
    </w:p>
    <w:p w:rsidR="007A66CF" w:rsidRPr="00007653" w:rsidRDefault="00007653" w:rsidP="00BC2411">
      <w:pPr>
        <w:rPr>
          <w:lang w:val="fr-CH"/>
        </w:rPr>
      </w:pPr>
      <w:r w:rsidRPr="00007653">
        <w:rPr>
          <w:lang w:val="fr-CH"/>
        </w:rPr>
        <w:t>Conserver la structure générale des commissions d'études de l'UIT–T, telle qu'elle a été approuvée à l'AMNT-12, exception</w:t>
      </w:r>
      <w:r w:rsidR="00BC2411">
        <w:rPr>
          <w:lang w:val="fr-CH"/>
        </w:rPr>
        <w:t xml:space="preserve"> faite</w:t>
      </w:r>
      <w:r w:rsidRPr="00007653">
        <w:rPr>
          <w:lang w:val="fr-CH"/>
        </w:rPr>
        <w:t xml:space="preserve"> de la création de la Commission d'études</w:t>
      </w:r>
      <w:r w:rsidR="00BC2411">
        <w:rPr>
          <w:lang w:val="fr-CH"/>
        </w:rPr>
        <w:t xml:space="preserve"> 20.</w:t>
      </w:r>
    </w:p>
    <w:p w:rsidR="007A66CF" w:rsidRPr="00BC2411" w:rsidRDefault="00C437FF" w:rsidP="00BC2411">
      <w:pPr>
        <w:pStyle w:val="Proposal"/>
        <w:rPr>
          <w:lang w:val="fr-CH"/>
        </w:rPr>
      </w:pPr>
      <w:r w:rsidRPr="00007653">
        <w:rPr>
          <w:lang w:val="fr-CH"/>
        </w:rPr>
        <w:tab/>
      </w:r>
      <w:r w:rsidRPr="00BC2411">
        <w:rPr>
          <w:lang w:val="fr-CH"/>
        </w:rPr>
        <w:t>RCC/47A6/2</w:t>
      </w:r>
    </w:p>
    <w:p w:rsidR="007A66CF" w:rsidRPr="00007653" w:rsidRDefault="00007653" w:rsidP="00BC2411">
      <w:pPr>
        <w:rPr>
          <w:lang w:val="fr-CH"/>
        </w:rPr>
      </w:pPr>
      <w:r w:rsidRPr="00007653">
        <w:rPr>
          <w:lang w:val="fr-CH"/>
        </w:rPr>
        <w:t xml:space="preserve">Réfléchir à l'opportunité de transformer la CE9 en un groupe de travail qui relèverait de la CE15 ou de la CE16, compte tenu des propositions de révision des Questions telles qu'elles ont été soumises par les commissions d'études. </w:t>
      </w:r>
    </w:p>
    <w:p w:rsidR="00BC2411" w:rsidRDefault="00BC2411" w:rsidP="0032202E">
      <w:pPr>
        <w:pStyle w:val="Reasons"/>
      </w:pPr>
    </w:p>
    <w:p w:rsidR="00BC2411" w:rsidRDefault="00BC2411">
      <w:pPr>
        <w:jc w:val="center"/>
      </w:pPr>
      <w:r>
        <w:t>______________</w:t>
      </w:r>
    </w:p>
    <w:p w:rsidR="007A66CF" w:rsidRPr="00BC2411" w:rsidRDefault="007A66CF" w:rsidP="00BC2411">
      <w:pPr>
        <w:pStyle w:val="Reasons"/>
      </w:pPr>
    </w:p>
    <w:sectPr w:rsidR="007A66CF" w:rsidRPr="00BC2411"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BC4553">
      <w:rPr>
        <w:noProof/>
      </w:rPr>
      <w:t>P:\TRAD\F\LING\touraud\405603f.docx</w:t>
    </w:r>
    <w:r>
      <w:fldChar w:fldCharType="end"/>
    </w:r>
    <w:r w:rsidRPr="00526703">
      <w:tab/>
    </w:r>
    <w:r>
      <w:fldChar w:fldCharType="begin"/>
    </w:r>
    <w:r>
      <w:instrText xml:space="preserve"> SAVEDATE \@ DD.MM.YY </w:instrText>
    </w:r>
    <w:r>
      <w:fldChar w:fldCharType="separate"/>
    </w:r>
    <w:r w:rsidR="00BC2411">
      <w:rPr>
        <w:noProof/>
      </w:rPr>
      <w:t>11.10.16</w:t>
    </w:r>
    <w:r>
      <w:fldChar w:fldCharType="end"/>
    </w:r>
    <w:r w:rsidRPr="00526703">
      <w:tab/>
    </w:r>
    <w:r>
      <w:fldChar w:fldCharType="begin"/>
    </w:r>
    <w:r>
      <w:instrText xml:space="preserve"> PRINTDATE \@ DD.MM.YY </w:instrText>
    </w:r>
    <w:r>
      <w:fldChar w:fldCharType="separate"/>
    </w:r>
    <w:r w:rsidR="00BC4553">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D3CBB" w:rsidRDefault="00E45D05" w:rsidP="00526703">
    <w:pPr>
      <w:pStyle w:val="Footer"/>
      <w:rPr>
        <w:lang w:val="fr-CH"/>
      </w:rPr>
    </w:pPr>
    <w:r>
      <w:fldChar w:fldCharType="begin"/>
    </w:r>
    <w:r w:rsidRPr="000D3CBB">
      <w:rPr>
        <w:lang w:val="fr-CH"/>
      </w:rPr>
      <w:instrText xml:space="preserve"> FILENAME \p  \* MERGEFORMAT </w:instrText>
    </w:r>
    <w:r>
      <w:fldChar w:fldCharType="separate"/>
    </w:r>
    <w:r w:rsidR="000D3CBB" w:rsidRPr="000D3CBB">
      <w:rPr>
        <w:lang w:val="fr-CH"/>
      </w:rPr>
      <w:t>P:\FRA\ITU-T\CONF-T\WTSA16\000\047ADD06F.docx</w:t>
    </w:r>
    <w:r>
      <w:fldChar w:fldCharType="end"/>
    </w:r>
    <w:r w:rsidR="000D3CBB" w:rsidRPr="000D3CBB">
      <w:rPr>
        <w:lang w:val="fr-CH"/>
      </w:rPr>
      <w:t xml:space="preserve"> (405603)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0D3CBB" w:rsidRDefault="00987C1F" w:rsidP="00526703">
    <w:pPr>
      <w:pStyle w:val="Footer"/>
      <w:rPr>
        <w:lang w:val="fr-CH"/>
      </w:rPr>
    </w:pPr>
    <w:r>
      <w:fldChar w:fldCharType="begin"/>
    </w:r>
    <w:r w:rsidRPr="000D3CBB">
      <w:rPr>
        <w:lang w:val="fr-CH"/>
      </w:rPr>
      <w:instrText xml:space="preserve"> FILENAME \p  \* MERGEFORMAT </w:instrText>
    </w:r>
    <w:r>
      <w:fldChar w:fldCharType="separate"/>
    </w:r>
    <w:r w:rsidR="000D3CBB" w:rsidRPr="000D3CBB">
      <w:rPr>
        <w:lang w:val="fr-CH"/>
      </w:rPr>
      <w:t>P:\FRA\ITU-T\CONF-T\WTSA16\000\047ADD06F.docx</w:t>
    </w:r>
    <w:r>
      <w:fldChar w:fldCharType="end"/>
    </w:r>
    <w:r w:rsidR="000D3CBB" w:rsidRPr="000D3CBB">
      <w:rPr>
        <w:lang w:val="fr-CH"/>
      </w:rPr>
      <w:t xml:space="preserve"> (405603)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FA1802">
      <w:rPr>
        <w:noProof/>
      </w:rPr>
      <w:t>2</w:t>
    </w:r>
    <w:r>
      <w:fldChar w:fldCharType="end"/>
    </w:r>
  </w:p>
  <w:p w:rsidR="00987C1F" w:rsidRDefault="00E07AF5" w:rsidP="00987C1F">
    <w:pPr>
      <w:pStyle w:val="Header"/>
    </w:pPr>
    <w:r>
      <w:t>AMNT16</w:t>
    </w:r>
    <w:r w:rsidR="00987C1F">
      <w:t>/47(Add.6)-</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0A12D01-DA1F-4386-9F7C-F27D19D6B952}"/>
    <w:docVar w:name="dgnword-eventsink" w:val="297371184"/>
  </w:docVars>
  <w:rsids>
    <w:rsidRoot w:val="00B31EF6"/>
    <w:rsid w:val="000032AD"/>
    <w:rsid w:val="000041EA"/>
    <w:rsid w:val="00007653"/>
    <w:rsid w:val="00022A29"/>
    <w:rsid w:val="000355FD"/>
    <w:rsid w:val="00051E39"/>
    <w:rsid w:val="00077239"/>
    <w:rsid w:val="00086491"/>
    <w:rsid w:val="00091346"/>
    <w:rsid w:val="0009706C"/>
    <w:rsid w:val="000A14AF"/>
    <w:rsid w:val="000D3CBB"/>
    <w:rsid w:val="000F3F17"/>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42550"/>
    <w:rsid w:val="00250AF4"/>
    <w:rsid w:val="00271316"/>
    <w:rsid w:val="002B2A75"/>
    <w:rsid w:val="002D58BE"/>
    <w:rsid w:val="002E210D"/>
    <w:rsid w:val="003236A6"/>
    <w:rsid w:val="00332C56"/>
    <w:rsid w:val="00345A52"/>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4372F"/>
    <w:rsid w:val="00745AEE"/>
    <w:rsid w:val="00750F10"/>
    <w:rsid w:val="007742CA"/>
    <w:rsid w:val="00790D70"/>
    <w:rsid w:val="007A66CF"/>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C2411"/>
    <w:rsid w:val="00BC4553"/>
    <w:rsid w:val="00C0018F"/>
    <w:rsid w:val="00C16A5A"/>
    <w:rsid w:val="00C20466"/>
    <w:rsid w:val="00C214ED"/>
    <w:rsid w:val="00C234E6"/>
    <w:rsid w:val="00C26BA2"/>
    <w:rsid w:val="00C324A8"/>
    <w:rsid w:val="00C437FF"/>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180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85c16c-4fdf-44ab-908e-aae5768318cb" targetNamespace="http://schemas.microsoft.com/office/2006/metadata/properties" ma:root="true" ma:fieldsID="d41af5c836d734370eb92e7ee5f83852" ns2:_="" ns3:_="">
    <xsd:import namespace="996b2e75-67fd-4955-a3b0-5ab9934cb50b"/>
    <xsd:import namespace="2d85c16c-4fdf-44ab-908e-aae5768318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85c16c-4fdf-44ab-908e-aae5768318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d85c16c-4fdf-44ab-908e-aae5768318cb">Documents Proposals Manager (DPM)</DPM_x0020_Author>
    <DPM_x0020_File_x0020_name xmlns="2d85c16c-4fdf-44ab-908e-aae5768318cb">T13-WTSA.16-C-0047!A6!MSW-F</DPM_x0020_File_x0020_name>
    <DPM_x0020_Version xmlns="2d85c16c-4fdf-44ab-908e-aae5768318cb">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85c16c-4fdf-44ab-908e-aae576831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www.w3.org/XML/1998/namespace"/>
    <ds:schemaRef ds:uri="http://purl.org/dc/terms/"/>
    <ds:schemaRef ds:uri="2d85c16c-4fdf-44ab-908e-aae5768318c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56082423-57F3-4C24-94AC-110C6BA3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T13-WTSA.16-C-0047!A6!MSW-F</vt:lpstr>
    </vt:vector>
  </TitlesOfParts>
  <Manager>General Secretariat - Pool</Manager>
  <Company>International Telecommunication Union (ITU)</Company>
  <LinksUpToDate>false</LinksUpToDate>
  <CharactersWithSpaces>3648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T13-WTSA.16-C-0047!A6!MSW-F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3</cp:revision>
  <cp:lastPrinted>2016-10-11T13:31:00Z</cp:lastPrinted>
  <dcterms:created xsi:type="dcterms:W3CDTF">2016-10-11T17:25:00Z</dcterms:created>
  <dcterms:modified xsi:type="dcterms:W3CDTF">2016-10-11T17:29:00Z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