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032E2C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032E2C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032E2C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032E2C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032E2C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032E2C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032E2C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197BA2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97BA2" w:rsidRDefault="0022345D" w:rsidP="00197BA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4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197BA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197BA2" w:rsidRDefault="0022345D" w:rsidP="00197BA2">
            <w:pPr>
              <w:pStyle w:val="Adress"/>
              <w:framePr w:hSpace="0" w:wrap="auto" w:xAlign="left" w:yAlign="inline"/>
              <w:spacing w:before="0" w:line="340" w:lineRule="exact"/>
              <w:rPr>
                <w:rFonts w:ascii="Verdana" w:hAnsi="Verdana"/>
                <w:rtl/>
              </w:rPr>
            </w:pPr>
            <w:r w:rsidRPr="00197BA2">
              <w:rPr>
                <w:rFonts w:ascii="Verdana" w:hAnsi="Verdana"/>
                <w:rtl/>
              </w:rPr>
              <w:t xml:space="preserve">الإضافة </w:t>
            </w:r>
            <w:r w:rsidRPr="00197BA2">
              <w:rPr>
                <w:rFonts w:ascii="Verdana" w:hAnsi="Verdana"/>
              </w:rPr>
              <w:t>6</w:t>
            </w:r>
            <w:r w:rsidRPr="00197BA2">
              <w:rPr>
                <w:rFonts w:ascii="Verdana" w:hAnsi="Verdana"/>
              </w:rPr>
              <w:br/>
            </w:r>
            <w:r w:rsidRPr="00197BA2">
              <w:rPr>
                <w:rFonts w:ascii="Verdana" w:hAnsi="Verdana"/>
                <w:rtl/>
              </w:rPr>
              <w:t xml:space="preserve">للوثيقة </w:t>
            </w:r>
            <w:r w:rsidR="00197BA2">
              <w:rPr>
                <w:rFonts w:ascii="Verdana" w:hAnsi="Verdana"/>
              </w:rPr>
              <w:t>47-A</w:t>
            </w:r>
          </w:p>
        </w:tc>
      </w:tr>
      <w:tr w:rsidR="0022345D" w:rsidRPr="00197BA2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97BA2" w:rsidRDefault="0022345D" w:rsidP="00197BA2">
            <w:pPr>
              <w:pStyle w:val="Adress"/>
              <w:framePr w:hSpace="0" w:wrap="auto" w:xAlign="left" w:yAlign="inline"/>
              <w:spacing w:before="0" w:line="340" w:lineRule="exact"/>
              <w:rPr>
                <w:rFonts w:ascii="Verdana" w:hAnsi="Verdana"/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197BA2" w:rsidRDefault="0022345D" w:rsidP="00197BA2">
            <w:pPr>
              <w:pStyle w:val="Adress"/>
              <w:framePr w:hSpace="0" w:wrap="auto" w:xAlign="left" w:yAlign="inline"/>
              <w:spacing w:before="0" w:line="340" w:lineRule="exact"/>
              <w:rPr>
                <w:rFonts w:ascii="Verdana" w:hAnsi="Verdana"/>
                <w:rtl/>
              </w:rPr>
            </w:pPr>
            <w:r w:rsidRPr="00197BA2">
              <w:rPr>
                <w:rFonts w:ascii="Verdana" w:eastAsia="SimSun" w:hAnsi="Verdana"/>
              </w:rPr>
              <w:t>27</w:t>
            </w:r>
            <w:r w:rsidRPr="00197BA2">
              <w:rPr>
                <w:rFonts w:ascii="Verdana" w:eastAsia="SimSun" w:hAnsi="Verdana"/>
                <w:rtl/>
              </w:rPr>
              <w:t xml:space="preserve"> سبتمبر </w:t>
            </w:r>
            <w:r w:rsidRPr="00197BA2">
              <w:rPr>
                <w:rFonts w:ascii="Verdana" w:eastAsia="SimSun" w:hAnsi="Verdana"/>
              </w:rPr>
              <w:t>2016</w:t>
            </w:r>
          </w:p>
        </w:tc>
      </w:tr>
      <w:tr w:rsidR="0022345D" w:rsidRPr="00197BA2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97BA2" w:rsidRDefault="0022345D" w:rsidP="00197BA2">
            <w:pPr>
              <w:pStyle w:val="Adress"/>
              <w:framePr w:hSpace="0" w:wrap="auto" w:xAlign="left" w:yAlign="inline"/>
              <w:spacing w:before="0" w:line="340" w:lineRule="exact"/>
              <w:rPr>
                <w:rFonts w:ascii="Verdana" w:hAnsi="Verdana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197BA2" w:rsidRDefault="0022345D" w:rsidP="00197BA2">
            <w:pPr>
              <w:pStyle w:val="Adress"/>
              <w:framePr w:hSpace="0" w:wrap="auto" w:xAlign="left" w:yAlign="inline"/>
              <w:spacing w:before="0" w:line="340" w:lineRule="exact"/>
              <w:rPr>
                <w:rFonts w:ascii="Verdana" w:eastAsia="SimSun" w:hAnsi="Verdana"/>
              </w:rPr>
            </w:pPr>
            <w:r w:rsidRPr="00197BA2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197BA2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الدول الأعضاء في الات‍حاد الدولي للاتصالات، الأعضاء في الكومنولث الإقليمي في</w:t>
            </w:r>
            <w:r w:rsidR="00197BA2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م‍جال الاتصالات </w:t>
            </w:r>
            <w:r w:rsidR="00197BA2">
              <w:t>(RCC)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197BA2" w:rsidRDefault="00197BA2" w:rsidP="00A25A4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هيكل ل</w:t>
            </w:r>
            <w:r w:rsidR="0060275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جان دراسات قطاع تقييس الاتصالات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tc>
          <w:tcPr>
            <w:tcW w:w="8505" w:type="dxa"/>
          </w:tcPr>
          <w:p w:rsidR="006157A3" w:rsidRPr="00984EA5" w:rsidRDefault="009355CF" w:rsidP="00984EA5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تقدم هذه المساهمة مقترحات </w:t>
            </w:r>
            <w:r w:rsidR="004F7F60">
              <w:rPr>
                <w:rFonts w:hint="cs"/>
                <w:rtl/>
              </w:rPr>
              <w:t xml:space="preserve">الكومنولث الإقليمي في مجال الاتصالات فيما يتعلق بهيكل لجان دراسات قطاع تقييس الاتصالات </w:t>
            </w:r>
            <w:r w:rsidR="004F7F60">
              <w:rPr>
                <w:rFonts w:hint="cs"/>
                <w:rtl/>
                <w:lang w:bidi="ar-EG"/>
              </w:rPr>
              <w:t>مع إعطاء الأفضلية لهيكلها الحالي.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197BA2" w:rsidRDefault="00197BA2" w:rsidP="00CB36F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97BA2" w:rsidRPr="00ED208C" w:rsidRDefault="00197BA2" w:rsidP="00ED208C">
      <w:pPr>
        <w:spacing w:before="60"/>
        <w:rPr>
          <w:noProof/>
          <w:rtl/>
          <w:lang w:bidi="ar-EG"/>
        </w:rPr>
      </w:pPr>
      <w:r w:rsidRPr="00ED208C">
        <w:rPr>
          <w:rFonts w:hint="cs"/>
          <w:noProof/>
          <w:rtl/>
          <w:lang w:bidi="ar-SY"/>
        </w:rPr>
        <w:t xml:space="preserve">تقرر في الجمعية العالمية لتقييس الاتصالات لعام </w:t>
      </w:r>
      <w:r w:rsidRPr="00ED208C">
        <w:rPr>
          <w:noProof/>
          <w:lang w:bidi="ar-SY"/>
        </w:rPr>
        <w:t>2008</w:t>
      </w:r>
      <w:r w:rsidRPr="00ED208C">
        <w:rPr>
          <w:rFonts w:hint="cs"/>
          <w:noProof/>
          <w:rtl/>
          <w:lang w:bidi="ar-EG"/>
        </w:rPr>
        <w:t xml:space="preserve"> تخفيض عدد لجان الدراسات من </w:t>
      </w:r>
      <w:r w:rsidRPr="00ED208C">
        <w:rPr>
          <w:noProof/>
          <w:lang w:bidi="ar-EG"/>
        </w:rPr>
        <w:t>13</w:t>
      </w:r>
      <w:r w:rsidRPr="00ED208C">
        <w:rPr>
          <w:rFonts w:hint="cs"/>
          <w:noProof/>
          <w:rtl/>
          <w:lang w:bidi="ar-EG"/>
        </w:rPr>
        <w:t xml:space="preserve"> إلى </w:t>
      </w:r>
      <w:r w:rsidRPr="00ED208C">
        <w:rPr>
          <w:noProof/>
          <w:lang w:bidi="ar-EG"/>
        </w:rPr>
        <w:t>10</w:t>
      </w:r>
      <w:r w:rsidRPr="00ED208C">
        <w:rPr>
          <w:rFonts w:hint="cs"/>
          <w:noProof/>
          <w:rtl/>
          <w:lang w:bidi="ar-EG"/>
        </w:rPr>
        <w:t>. و</w:t>
      </w:r>
      <w:r w:rsidR="002F2C27" w:rsidRPr="00ED208C">
        <w:rPr>
          <w:rFonts w:hint="cs"/>
          <w:noProof/>
          <w:rtl/>
          <w:lang w:bidi="ar-EG"/>
        </w:rPr>
        <w:t xml:space="preserve">في الجمعية العالمية لتقييس الاتصالات لعام </w:t>
      </w:r>
      <w:r w:rsidR="002F2C27" w:rsidRPr="00ED208C">
        <w:rPr>
          <w:noProof/>
          <w:lang w:bidi="ar-EG"/>
        </w:rPr>
        <w:t>2012</w:t>
      </w:r>
      <w:r w:rsidR="000D436E" w:rsidRPr="00ED208C">
        <w:rPr>
          <w:rFonts w:hint="cs"/>
          <w:noProof/>
          <w:rtl/>
          <w:lang w:bidi="ar-EG"/>
        </w:rPr>
        <w:t>، ظل عدد لجان الدراسات بدون تغيير. وفي</w:t>
      </w:r>
      <w:r w:rsidRPr="00ED208C">
        <w:rPr>
          <w:rFonts w:hint="cs"/>
          <w:noProof/>
          <w:rtl/>
          <w:lang w:bidi="ar-EG"/>
        </w:rPr>
        <w:t xml:space="preserve"> الفترة</w:t>
      </w:r>
      <w:r w:rsidRPr="00ED208C">
        <w:rPr>
          <w:rFonts w:hint="eastAsia"/>
          <w:noProof/>
          <w:rtl/>
          <w:lang w:bidi="ar-EG"/>
        </w:rPr>
        <w:t> </w:t>
      </w:r>
      <w:r w:rsidR="000D436E" w:rsidRPr="00ED208C">
        <w:rPr>
          <w:noProof/>
          <w:lang w:bidi="ar-EG"/>
        </w:rPr>
        <w:t>2015-2012</w:t>
      </w:r>
      <w:r w:rsidRPr="00ED208C">
        <w:rPr>
          <w:rFonts w:hint="cs"/>
          <w:noProof/>
          <w:rtl/>
          <w:lang w:bidi="ar-EG"/>
        </w:rPr>
        <w:t xml:space="preserve">، عملت لجان </w:t>
      </w:r>
      <w:r w:rsidR="00232F2D" w:rsidRPr="00ED208C">
        <w:rPr>
          <w:rFonts w:hint="cs"/>
          <w:noProof/>
          <w:rtl/>
          <w:lang w:bidi="ar-EG"/>
        </w:rPr>
        <w:t>ال</w:t>
      </w:r>
      <w:r w:rsidRPr="00ED208C">
        <w:rPr>
          <w:rFonts w:hint="cs"/>
          <w:noProof/>
          <w:rtl/>
          <w:lang w:bidi="ar-EG"/>
        </w:rPr>
        <w:t>دراسات</w:t>
      </w:r>
      <w:r w:rsidR="00232F2D" w:rsidRPr="00ED208C">
        <w:rPr>
          <w:rFonts w:hint="cs"/>
          <w:noProof/>
          <w:rtl/>
          <w:lang w:bidi="ar-EG"/>
        </w:rPr>
        <w:t xml:space="preserve"> التالية بنشاط في</w:t>
      </w:r>
      <w:r w:rsidR="00281DB1" w:rsidRPr="00ED208C">
        <w:rPr>
          <w:rFonts w:hint="eastAsia"/>
          <w:noProof/>
          <w:rtl/>
          <w:lang w:bidi="ar-EG"/>
        </w:rPr>
        <w:t> </w:t>
      </w:r>
      <w:r w:rsidRPr="00ED208C">
        <w:rPr>
          <w:rFonts w:hint="cs"/>
          <w:noProof/>
          <w:rtl/>
          <w:lang w:bidi="ar-EG"/>
        </w:rPr>
        <w:t>قطاع تقييس الاتصالات: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  <w:lang w:bidi="ar-SY"/>
        </w:rPr>
        <w:t>-</w:t>
      </w:r>
      <w:r>
        <w:rPr>
          <w:rFonts w:hint="cs"/>
          <w:noProof/>
          <w:rtl/>
          <w:lang w:bidi="ar-SY"/>
        </w:rPr>
        <w:tab/>
      </w:r>
      <w:r w:rsidR="00197BA2" w:rsidRPr="006B6657">
        <w:rPr>
          <w:rFonts w:hint="cs"/>
          <w:noProof/>
          <w:rtl/>
          <w:lang w:bidi="ar-SY"/>
        </w:rPr>
        <w:t xml:space="preserve">لجنة الدراسات </w:t>
      </w:r>
      <w:r w:rsidR="00197BA2" w:rsidRPr="006B6657">
        <w:rPr>
          <w:noProof/>
          <w:lang w:bidi="ar-SY"/>
        </w:rPr>
        <w:t>2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>الجوانب التشغيلية لتوفير الخدمات وإدارة الاتصالات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3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>مبادئ التعريفة والمحاسبة بما في ذلك القضايا الاقتصادية وقضايا السياسات المتصلة بالاتصالات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5</w:t>
      </w:r>
      <w:r w:rsidR="00197BA2" w:rsidRPr="006B6657">
        <w:rPr>
          <w:rFonts w:hint="cs"/>
          <w:noProof/>
          <w:rtl/>
          <w:lang w:bidi="ar-SY"/>
        </w:rPr>
        <w:t xml:space="preserve"> </w:t>
      </w:r>
      <w:r w:rsidR="002B0A38">
        <w:rPr>
          <w:noProof/>
          <w:rtl/>
          <w:lang w:bidi="ar-SY"/>
        </w:rPr>
        <w:t>–</w:t>
      </w:r>
      <w:r w:rsidR="00197BA2" w:rsidRPr="006B6657">
        <w:rPr>
          <w:rFonts w:hint="cs"/>
          <w:noProof/>
          <w:rtl/>
          <w:lang w:bidi="ar-SY"/>
        </w:rPr>
        <w:t xml:space="preserve"> </w:t>
      </w:r>
      <w:r w:rsidR="002B0A38">
        <w:rPr>
          <w:rFonts w:hint="cs"/>
          <w:noProof/>
          <w:rtl/>
        </w:rPr>
        <w:t>البيئة وتغير المناخ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9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>الإرسال التلفزيوني والصوتي والشبكات الكبلية المتكاملة عريضة النطاق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11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>متطلبات وبروتوكولات التشوير ومواصفات الاختبار</w:t>
      </w:r>
    </w:p>
    <w:p w:rsidR="00197BA2" w:rsidRPr="006B6657" w:rsidRDefault="00EC3E36" w:rsidP="00EC3E36">
      <w:pPr>
        <w:pStyle w:val="enumlev1"/>
        <w:rPr>
          <w:noProof/>
          <w:rtl/>
          <w:lang w:bidi="ar-SY"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12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 xml:space="preserve">الأداء وجودة الخدمة </w:t>
      </w:r>
      <w:r w:rsidR="00197BA2" w:rsidRPr="006B6657">
        <w:rPr>
          <w:noProof/>
          <w:lang w:bidi="ar-SY"/>
        </w:rPr>
        <w:t>(QoS)</w:t>
      </w:r>
      <w:r w:rsidR="00197BA2" w:rsidRPr="006B6657">
        <w:rPr>
          <w:noProof/>
          <w:rtl/>
        </w:rPr>
        <w:t xml:space="preserve"> وجودة </w:t>
      </w:r>
      <w:r w:rsidR="006D2F95">
        <w:rPr>
          <w:rFonts w:hint="cs"/>
          <w:noProof/>
          <w:rtl/>
        </w:rPr>
        <w:t>التجربة</w:t>
      </w:r>
      <w:r w:rsidR="00197BA2" w:rsidRPr="006B6657">
        <w:rPr>
          <w:noProof/>
          <w:rtl/>
        </w:rPr>
        <w:t xml:space="preserve"> </w:t>
      </w:r>
      <w:r w:rsidR="00197BA2" w:rsidRPr="006B6657">
        <w:rPr>
          <w:noProof/>
          <w:lang w:bidi="ar-SY"/>
        </w:rPr>
        <w:t>(QoE</w:t>
      </w:r>
      <w:r w:rsidR="00197BA2">
        <w:rPr>
          <w:noProof/>
          <w:lang w:bidi="ar-SY"/>
        </w:rPr>
        <w:t>)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  <w:lang w:bidi="ar-SY"/>
        </w:rPr>
        <w:t>-</w:t>
      </w:r>
      <w:r>
        <w:rPr>
          <w:rFonts w:hint="cs"/>
          <w:noProof/>
          <w:rtl/>
          <w:lang w:bidi="ar-SY"/>
        </w:rPr>
        <w:tab/>
      </w:r>
      <w:r w:rsidR="00197BA2" w:rsidRPr="006B6657">
        <w:rPr>
          <w:rFonts w:hint="cs"/>
          <w:noProof/>
          <w:rtl/>
          <w:lang w:bidi="ar-SY"/>
        </w:rPr>
        <w:t xml:space="preserve">لجنة الدراسات </w:t>
      </w:r>
      <w:r w:rsidR="00197BA2" w:rsidRPr="006B6657">
        <w:rPr>
          <w:noProof/>
          <w:lang w:bidi="ar-SY"/>
        </w:rPr>
        <w:t>13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 xml:space="preserve">شبكات المستقبل بما فيها </w:t>
      </w:r>
      <w:r w:rsidR="00EF2A81">
        <w:rPr>
          <w:rFonts w:hint="cs"/>
          <w:noProof/>
          <w:rtl/>
        </w:rPr>
        <w:t>الحوسبة السحابية والشبكات المتنقلة</w:t>
      </w:r>
      <w:r w:rsidR="00197BA2" w:rsidRPr="006B6657">
        <w:rPr>
          <w:noProof/>
          <w:rtl/>
        </w:rPr>
        <w:t xml:space="preserve"> وشبكات الجيل التالي</w:t>
      </w:r>
    </w:p>
    <w:p w:rsidR="00197BA2" w:rsidRPr="006B6657" w:rsidRDefault="00EC3E36" w:rsidP="00EC3E36">
      <w:pPr>
        <w:pStyle w:val="enumlev1"/>
        <w:rPr>
          <w:noProof/>
          <w:rtl/>
          <w:lang w:bidi="ar-EG"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15</w:t>
      </w:r>
      <w:r w:rsidR="00197BA2" w:rsidRPr="006B6657">
        <w:rPr>
          <w:rFonts w:hint="cs"/>
          <w:noProof/>
          <w:rtl/>
          <w:lang w:bidi="ar-SY"/>
        </w:rPr>
        <w:t xml:space="preserve"> </w:t>
      </w:r>
      <w:r w:rsidR="00772EBB">
        <w:rPr>
          <w:noProof/>
          <w:rtl/>
          <w:lang w:bidi="ar-SY"/>
        </w:rPr>
        <w:t>–</w:t>
      </w:r>
      <w:r w:rsidR="00197BA2" w:rsidRPr="006B6657">
        <w:rPr>
          <w:rFonts w:hint="cs"/>
          <w:noProof/>
          <w:rtl/>
          <w:lang w:bidi="ar-SY"/>
        </w:rPr>
        <w:t xml:space="preserve"> </w:t>
      </w:r>
      <w:r w:rsidR="00772EBB">
        <w:rPr>
          <w:rFonts w:hint="cs"/>
          <w:noProof/>
          <w:rtl/>
        </w:rPr>
        <w:t xml:space="preserve">الشبكات والتكنولوجيات والبنى التحتية لشبكات النقل والنفاذ </w:t>
      </w:r>
      <w:r w:rsidR="0003692D">
        <w:rPr>
          <w:rFonts w:hint="cs"/>
          <w:noProof/>
          <w:rtl/>
        </w:rPr>
        <w:t>والمنزل</w:t>
      </w:r>
    </w:p>
    <w:p w:rsidR="00197BA2" w:rsidRPr="006B6657" w:rsidRDefault="00EC3E36" w:rsidP="00EC3E36">
      <w:pPr>
        <w:pStyle w:val="enumlev1"/>
        <w:rPr>
          <w:noProof/>
          <w:rtl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16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>تشفير الوسائط المتعددة وأنظمتها وتطبيقاتها</w:t>
      </w:r>
    </w:p>
    <w:p w:rsidR="00197BA2" w:rsidRDefault="00EC3E36" w:rsidP="00EC3E36">
      <w:pPr>
        <w:pStyle w:val="enumlev1"/>
        <w:rPr>
          <w:noProof/>
          <w:rtl/>
          <w:lang w:bidi="ar-EG"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 w:rsidR="00197BA2" w:rsidRPr="006B6657">
        <w:rPr>
          <w:rFonts w:hint="cs"/>
          <w:noProof/>
          <w:rtl/>
        </w:rPr>
        <w:t xml:space="preserve">لجنة الدراسات </w:t>
      </w:r>
      <w:r w:rsidR="00197BA2" w:rsidRPr="006B6657">
        <w:rPr>
          <w:noProof/>
        </w:rPr>
        <w:t>17</w:t>
      </w:r>
      <w:r w:rsidR="00197BA2" w:rsidRPr="006B6657">
        <w:rPr>
          <w:rFonts w:hint="cs"/>
          <w:noProof/>
          <w:rtl/>
          <w:lang w:bidi="ar-SY"/>
        </w:rPr>
        <w:t xml:space="preserve"> - </w:t>
      </w:r>
      <w:r w:rsidR="00197BA2" w:rsidRPr="006B6657">
        <w:rPr>
          <w:noProof/>
          <w:rtl/>
        </w:rPr>
        <w:t>الأمن</w:t>
      </w:r>
    </w:p>
    <w:p w:rsidR="00D71278" w:rsidRDefault="00D71278" w:rsidP="00197BA2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lastRenderedPageBreak/>
        <w:t xml:space="preserve">وإضافةً إلى ذلك، </w:t>
      </w:r>
      <w:r w:rsidR="0055011D">
        <w:rPr>
          <w:rFonts w:hint="cs"/>
          <w:noProof/>
          <w:rtl/>
          <w:lang w:bidi="ar-EG"/>
        </w:rPr>
        <w:t>و</w:t>
      </w:r>
      <w:r w:rsidR="00FF1667">
        <w:rPr>
          <w:rFonts w:hint="cs"/>
          <w:noProof/>
          <w:rtl/>
          <w:lang w:bidi="ar-EG"/>
        </w:rPr>
        <w:t xml:space="preserve">وفقاً لقرار الفريق الاستشاري لتقييس الاتصالات لعام </w:t>
      </w:r>
      <w:r w:rsidR="00FF1667">
        <w:rPr>
          <w:noProof/>
          <w:lang w:bidi="ar-EG"/>
        </w:rPr>
        <w:t>2015</w:t>
      </w:r>
      <w:r w:rsidR="00FF1667">
        <w:rPr>
          <w:rFonts w:hint="cs"/>
          <w:noProof/>
          <w:rtl/>
          <w:lang w:bidi="ar-EG"/>
        </w:rPr>
        <w:t>، تم تشكيل لجنة دراسات جديدة:</w:t>
      </w:r>
    </w:p>
    <w:p w:rsidR="00FF1667" w:rsidRPr="00FF1667" w:rsidRDefault="00FF1667" w:rsidP="00EC6FEC">
      <w:pPr>
        <w:pStyle w:val="enumlev1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-</w:t>
      </w:r>
      <w:r>
        <w:rPr>
          <w:rFonts w:hint="cs"/>
          <w:noProof/>
          <w:rtl/>
          <w:lang w:bidi="ar-EG"/>
        </w:rPr>
        <w:tab/>
        <w:t xml:space="preserve">لجنة الدراسات </w:t>
      </w:r>
      <w:r>
        <w:rPr>
          <w:noProof/>
          <w:lang w:bidi="ar-EG"/>
        </w:rPr>
        <w:t>20</w:t>
      </w:r>
      <w:r>
        <w:rPr>
          <w:rFonts w:hint="cs"/>
          <w:noProof/>
          <w:rtl/>
          <w:lang w:bidi="ar-EG"/>
        </w:rPr>
        <w:t>: إنترنت الأشياء وتطبيقاتها بما في ذلك المدن والمجتمعات الذكية.</w:t>
      </w:r>
    </w:p>
    <w:p w:rsidR="00197BA2" w:rsidRDefault="00197BA2" w:rsidP="00197BA2">
      <w:pPr>
        <w:rPr>
          <w:noProof/>
          <w:rtl/>
          <w:lang w:bidi="ar-EG"/>
        </w:rPr>
      </w:pPr>
      <w:r>
        <w:rPr>
          <w:rFonts w:hint="cs"/>
          <w:noProof/>
          <w:rtl/>
        </w:rPr>
        <w:t xml:space="preserve">وأظهر استعراض تمهيدي لأنشطة </w:t>
      </w:r>
      <w:r>
        <w:rPr>
          <w:rFonts w:hint="cs"/>
          <w:noProof/>
          <w:rtl/>
          <w:lang w:bidi="ar-EG"/>
        </w:rPr>
        <w:t>لجان الدراسات هذه إلى أن لجان دراسات قطاع تقييس الاتصالات تحقق ولاياتها</w:t>
      </w:r>
      <w:r w:rsidR="007E1069">
        <w:rPr>
          <w:rFonts w:hint="cs"/>
          <w:noProof/>
          <w:rtl/>
          <w:lang w:bidi="ar-EG"/>
        </w:rPr>
        <w:t xml:space="preserve"> إجمالاً</w:t>
      </w:r>
      <w:r w:rsidR="00747643">
        <w:rPr>
          <w:rFonts w:hint="cs"/>
          <w:noProof/>
          <w:rtl/>
          <w:lang w:bidi="ar-EG"/>
        </w:rPr>
        <w:t xml:space="preserve">. </w:t>
      </w:r>
      <w:r>
        <w:rPr>
          <w:rFonts w:hint="cs"/>
          <w:noProof/>
          <w:rtl/>
          <w:lang w:bidi="ar-EG"/>
        </w:rPr>
        <w:t>كما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أعدت كل لجنة من لجان الدراسات مقترحات بشأن برنامج العمل خلال الفترة المقبلة.</w:t>
      </w:r>
    </w:p>
    <w:p w:rsidR="007E1069" w:rsidRPr="00D76212" w:rsidRDefault="00197BA2" w:rsidP="002E2446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ومع الإحاطة بالمقترحات المقدمة من عدد من البلدان والوثائق المقدمة من رؤساء لجان الدراسات، </w:t>
      </w:r>
      <w:r w:rsidR="007E1069">
        <w:rPr>
          <w:rFonts w:hint="cs"/>
          <w:noProof/>
          <w:rtl/>
          <w:lang w:bidi="ar-EG"/>
        </w:rPr>
        <w:t>تق</w:t>
      </w:r>
      <w:r w:rsidR="00706E01">
        <w:rPr>
          <w:rFonts w:hint="cs"/>
          <w:noProof/>
          <w:rtl/>
          <w:lang w:bidi="ar-EG"/>
        </w:rPr>
        <w:t>ترح بلدان الكومنولث الإقليمي في</w:t>
      </w:r>
      <w:r w:rsidR="00706E01">
        <w:rPr>
          <w:rFonts w:hint="eastAsia"/>
          <w:noProof/>
          <w:rtl/>
          <w:lang w:bidi="ar-EG"/>
        </w:rPr>
        <w:t> </w:t>
      </w:r>
      <w:r w:rsidR="007E1069">
        <w:rPr>
          <w:rFonts w:hint="cs"/>
          <w:noProof/>
          <w:rtl/>
          <w:lang w:bidi="ar-EG"/>
        </w:rPr>
        <w:t xml:space="preserve">مجال الاتصالات </w:t>
      </w:r>
      <w:r w:rsidR="00593DDC">
        <w:rPr>
          <w:rFonts w:hint="cs"/>
          <w:noProof/>
          <w:rtl/>
          <w:lang w:bidi="ar-EG"/>
        </w:rPr>
        <w:t>الإبقاء</w:t>
      </w:r>
      <w:r w:rsidR="007E1069">
        <w:rPr>
          <w:rFonts w:hint="cs"/>
          <w:noProof/>
          <w:rtl/>
          <w:lang w:bidi="ar-EG"/>
        </w:rPr>
        <w:t xml:space="preserve"> على الهيكل الحالي للجان الدراسات. وفي الوقت ذاته، </w:t>
      </w:r>
      <w:r w:rsidR="00D76212">
        <w:rPr>
          <w:rFonts w:hint="cs"/>
          <w:noProof/>
          <w:rtl/>
          <w:lang w:bidi="ar-EG"/>
        </w:rPr>
        <w:t>أخذاً بعين الاعتبار الشواغل المتعلقة بزيادة النفقات من حيث الموارد المالية والبشرية الناجمة عن إنشاء لجنة دراسات جديدة والحجم المنخفض للمساهمات والوث</w:t>
      </w:r>
      <w:r w:rsidR="0055011D">
        <w:rPr>
          <w:rFonts w:hint="cs"/>
          <w:noProof/>
          <w:rtl/>
          <w:lang w:bidi="ar-EG"/>
        </w:rPr>
        <w:t>ائق الصادرة من لجنة الدراسات</w:t>
      </w:r>
      <w:r w:rsidR="0055011D">
        <w:rPr>
          <w:rFonts w:hint="eastAsia"/>
          <w:noProof/>
          <w:rtl/>
          <w:lang w:bidi="ar-EG"/>
        </w:rPr>
        <w:t> </w:t>
      </w:r>
      <w:r w:rsidR="0055011D">
        <w:rPr>
          <w:noProof/>
          <w:lang w:bidi="ar-EG"/>
        </w:rPr>
        <w:t>9</w:t>
      </w:r>
      <w:r w:rsidR="0055011D">
        <w:rPr>
          <w:rFonts w:hint="cs"/>
          <w:noProof/>
          <w:rtl/>
          <w:lang w:bidi="ar-EG"/>
        </w:rPr>
        <w:t xml:space="preserve"> </w:t>
      </w:r>
      <w:r w:rsidR="0055011D">
        <w:rPr>
          <w:noProof/>
          <w:lang w:bidi="ar-EG"/>
        </w:rPr>
        <w:t>(SG9)</w:t>
      </w:r>
      <w:r w:rsidR="00D76212">
        <w:rPr>
          <w:rFonts w:hint="cs"/>
          <w:noProof/>
          <w:rtl/>
          <w:lang w:bidi="ar-EG"/>
        </w:rPr>
        <w:t xml:space="preserve">، يمكن النظر في </w:t>
      </w:r>
      <w:r w:rsidR="00E40069">
        <w:rPr>
          <w:rFonts w:hint="cs"/>
          <w:noProof/>
          <w:rtl/>
          <w:lang w:bidi="ar-EG"/>
        </w:rPr>
        <w:t>ال</w:t>
      </w:r>
      <w:r w:rsidR="00D76212">
        <w:rPr>
          <w:rFonts w:hint="cs"/>
          <w:noProof/>
          <w:rtl/>
          <w:lang w:bidi="ar-EG"/>
        </w:rPr>
        <w:t xml:space="preserve">مقترحات </w:t>
      </w:r>
      <w:r w:rsidR="00E40069">
        <w:rPr>
          <w:rFonts w:hint="cs"/>
          <w:noProof/>
          <w:rtl/>
          <w:lang w:bidi="ar-EG"/>
        </w:rPr>
        <w:t>المتعلقة ب</w:t>
      </w:r>
      <w:r w:rsidR="00D76212">
        <w:rPr>
          <w:rFonts w:hint="cs"/>
          <w:noProof/>
          <w:rtl/>
          <w:lang w:bidi="ar-EG"/>
        </w:rPr>
        <w:t xml:space="preserve">تحويل لجنة الدراسات </w:t>
      </w:r>
      <w:r w:rsidR="00E40069">
        <w:rPr>
          <w:rFonts w:hint="cs"/>
          <w:noProof/>
          <w:rtl/>
          <w:lang w:bidi="ar-EG"/>
        </w:rPr>
        <w:t>المذكورة</w:t>
      </w:r>
      <w:r w:rsidR="00D76212">
        <w:rPr>
          <w:rFonts w:hint="cs"/>
          <w:noProof/>
          <w:rtl/>
          <w:lang w:bidi="ar-EG"/>
        </w:rPr>
        <w:t xml:space="preserve"> إلى فريق عم</w:t>
      </w:r>
      <w:r w:rsidR="0060275A">
        <w:rPr>
          <w:rFonts w:hint="cs"/>
          <w:noProof/>
          <w:rtl/>
          <w:lang w:bidi="ar-EG"/>
        </w:rPr>
        <w:t>ل ونقله إلى لجان دراسات أخرى لا</w:t>
      </w:r>
      <w:r w:rsidR="0060275A">
        <w:rPr>
          <w:rFonts w:hint="eastAsia"/>
          <w:noProof/>
          <w:rtl/>
          <w:lang w:bidi="ar-EG"/>
        </w:rPr>
        <w:t> </w:t>
      </w:r>
      <w:r w:rsidR="00D76212">
        <w:rPr>
          <w:rFonts w:hint="cs"/>
          <w:noProof/>
          <w:rtl/>
          <w:lang w:bidi="ar-EG"/>
        </w:rPr>
        <w:t xml:space="preserve">سيما لجنة الدراسات </w:t>
      </w:r>
      <w:r w:rsidR="00D76212">
        <w:rPr>
          <w:noProof/>
          <w:lang w:bidi="ar-EG"/>
        </w:rPr>
        <w:t>15</w:t>
      </w:r>
      <w:r w:rsidR="00D76212">
        <w:rPr>
          <w:rFonts w:hint="cs"/>
          <w:noProof/>
          <w:rtl/>
          <w:lang w:bidi="ar-EG"/>
        </w:rPr>
        <w:t xml:space="preserve"> أو</w:t>
      </w:r>
      <w:r w:rsidR="00E40069">
        <w:rPr>
          <w:rFonts w:hint="cs"/>
          <w:noProof/>
          <w:rtl/>
          <w:lang w:bidi="ar-EG"/>
        </w:rPr>
        <w:t xml:space="preserve"> لجنة الدراسات</w:t>
      </w:r>
      <w:r w:rsidR="00D76212">
        <w:rPr>
          <w:rFonts w:hint="cs"/>
          <w:noProof/>
          <w:rtl/>
          <w:lang w:bidi="ar-EG"/>
        </w:rPr>
        <w:t xml:space="preserve"> </w:t>
      </w:r>
      <w:r w:rsidR="00D76212">
        <w:rPr>
          <w:noProof/>
          <w:lang w:bidi="ar-EG"/>
        </w:rPr>
        <w:t>16</w:t>
      </w:r>
      <w:r w:rsidR="00DC52C5">
        <w:rPr>
          <w:rFonts w:hint="cs"/>
          <w:noProof/>
          <w:rtl/>
          <w:lang w:bidi="ar-EG"/>
        </w:rPr>
        <w:t>.</w:t>
      </w:r>
    </w:p>
    <w:p w:rsidR="00197BA2" w:rsidRDefault="00197BA2" w:rsidP="00DC52C5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4F2DCE" w:rsidRDefault="009355CF">
      <w:pPr>
        <w:pStyle w:val="Proposal"/>
      </w:pPr>
      <w:r>
        <w:tab/>
        <w:t>RCC/47A6/1</w:t>
      </w:r>
    </w:p>
    <w:p w:rsidR="004F2DCE" w:rsidRPr="002634C9" w:rsidRDefault="00197BA2" w:rsidP="0009660E">
      <w:pPr>
        <w:rPr>
          <w:rtl/>
          <w:lang w:bidi="ar-EG"/>
        </w:rPr>
      </w:pPr>
      <w:r w:rsidRPr="002634C9">
        <w:rPr>
          <w:rFonts w:hint="cs"/>
          <w:rtl/>
          <w:lang w:bidi="ar-EG"/>
        </w:rPr>
        <w:t xml:space="preserve">الإبقاء على </w:t>
      </w:r>
      <w:r w:rsidR="00540985" w:rsidRPr="002634C9">
        <w:rPr>
          <w:rFonts w:hint="cs"/>
          <w:rtl/>
          <w:lang w:bidi="ar-EG"/>
        </w:rPr>
        <w:t>الهيكل العام</w:t>
      </w:r>
      <w:r w:rsidRPr="002634C9">
        <w:rPr>
          <w:rFonts w:hint="cs"/>
          <w:rtl/>
          <w:lang w:bidi="ar-EG"/>
        </w:rPr>
        <w:t xml:space="preserve"> </w:t>
      </w:r>
      <w:r w:rsidR="0009660E" w:rsidRPr="002634C9">
        <w:rPr>
          <w:rFonts w:hint="cs"/>
          <w:rtl/>
          <w:lang w:bidi="ar-EG"/>
        </w:rPr>
        <w:t>ل</w:t>
      </w:r>
      <w:r w:rsidRPr="002634C9">
        <w:rPr>
          <w:rFonts w:hint="cs"/>
          <w:rtl/>
          <w:lang w:bidi="ar-EG"/>
        </w:rPr>
        <w:t xml:space="preserve">لجان دراسات قطاع تقييس الاتصالات </w:t>
      </w:r>
      <w:r w:rsidR="0009660E" w:rsidRPr="002634C9">
        <w:rPr>
          <w:rFonts w:hint="cs"/>
          <w:rtl/>
          <w:lang w:bidi="ar-EG"/>
        </w:rPr>
        <w:t>الذي تمت الموافقة عليه</w:t>
      </w:r>
      <w:r w:rsidRPr="002634C9">
        <w:rPr>
          <w:rFonts w:hint="cs"/>
          <w:rtl/>
          <w:lang w:bidi="ar-EG"/>
        </w:rPr>
        <w:t xml:space="preserve"> في الجمعية العالمية لتقييس الاتصالات لعام</w:t>
      </w:r>
      <w:r w:rsidRPr="002634C9">
        <w:rPr>
          <w:rFonts w:hint="eastAsia"/>
          <w:rtl/>
          <w:lang w:bidi="ar-EG"/>
        </w:rPr>
        <w:t> </w:t>
      </w:r>
      <w:r w:rsidRPr="002634C9">
        <w:rPr>
          <w:lang w:bidi="ar-EG"/>
        </w:rPr>
        <w:t>2012</w:t>
      </w:r>
      <w:r w:rsidRPr="002634C9">
        <w:rPr>
          <w:rFonts w:hint="cs"/>
          <w:rtl/>
          <w:lang w:bidi="ar-EG"/>
        </w:rPr>
        <w:t xml:space="preserve">، </w:t>
      </w:r>
      <w:r w:rsidR="0009660E" w:rsidRPr="002634C9">
        <w:rPr>
          <w:rFonts w:hint="cs"/>
          <w:rtl/>
          <w:lang w:bidi="ar-EG"/>
        </w:rPr>
        <w:t xml:space="preserve">باستثناء إنشاء لجنة الدراسات </w:t>
      </w:r>
      <w:r w:rsidR="0009660E" w:rsidRPr="002634C9">
        <w:rPr>
          <w:lang w:bidi="ar-EG"/>
        </w:rPr>
        <w:t>20</w:t>
      </w:r>
      <w:r w:rsidRPr="002634C9">
        <w:rPr>
          <w:rFonts w:hint="cs"/>
          <w:rtl/>
          <w:lang w:bidi="ar-EG"/>
        </w:rPr>
        <w:t>.</w:t>
      </w:r>
    </w:p>
    <w:p w:rsidR="005137F8" w:rsidRDefault="005137F8" w:rsidP="002E2446">
      <w:pPr>
        <w:pStyle w:val="Reasons"/>
        <w:rPr>
          <w:lang w:bidi="ar-EG"/>
        </w:rPr>
      </w:pPr>
    </w:p>
    <w:p w:rsidR="004F2DCE" w:rsidRDefault="009355CF" w:rsidP="005137F8">
      <w:pPr>
        <w:pStyle w:val="Proposal"/>
        <w:rPr>
          <w:rtl/>
        </w:rPr>
      </w:pPr>
      <w:r>
        <w:tab/>
        <w:t>RCC/47A6/2</w:t>
      </w:r>
    </w:p>
    <w:p w:rsidR="00197BA2" w:rsidRDefault="004A7157" w:rsidP="00250C7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النظر في إمكانية تحويل لجنة الدراسات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إلى فريق عمل تحت مسؤولية لجنة الدراسات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 xml:space="preserve"> أو</w:t>
      </w:r>
      <w:r w:rsidR="000002D0">
        <w:rPr>
          <w:rFonts w:hint="cs"/>
          <w:rtl/>
          <w:lang w:bidi="ar-EG"/>
        </w:rPr>
        <w:t xml:space="preserve"> لجنة الدراسات</w:t>
      </w:r>
      <w:r w:rsidR="00744B63">
        <w:rPr>
          <w:rFonts w:hint="eastAsia"/>
          <w:rtl/>
          <w:lang w:bidi="ar-EG"/>
        </w:rPr>
        <w:t> 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، </w:t>
      </w:r>
      <w:r w:rsidR="000E1C8E">
        <w:rPr>
          <w:rFonts w:hint="cs"/>
          <w:rtl/>
          <w:lang w:bidi="ar-EG"/>
        </w:rPr>
        <w:t xml:space="preserve">مع </w:t>
      </w:r>
      <w:bookmarkStart w:id="0" w:name="_GoBack"/>
      <w:bookmarkEnd w:id="0"/>
      <w:r w:rsidR="00E36ADF" w:rsidRPr="00492891">
        <w:rPr>
          <w:rFonts w:hint="cs"/>
          <w:rtl/>
          <w:lang w:bidi="ar-EG"/>
        </w:rPr>
        <w:t xml:space="preserve">مراعاة </w:t>
      </w:r>
      <w:r w:rsidR="00402A45" w:rsidRPr="00492891">
        <w:rPr>
          <w:rFonts w:hint="cs"/>
          <w:rtl/>
          <w:lang w:bidi="ar-EG"/>
        </w:rPr>
        <w:t>ال</w:t>
      </w:r>
      <w:r w:rsidRPr="00492891">
        <w:rPr>
          <w:rFonts w:hint="cs"/>
          <w:rtl/>
          <w:lang w:bidi="ar-EG"/>
        </w:rPr>
        <w:t xml:space="preserve">مقترحات </w:t>
      </w:r>
      <w:r w:rsidR="00402A45" w:rsidRPr="00492891">
        <w:rPr>
          <w:rFonts w:hint="cs"/>
          <w:rtl/>
          <w:lang w:bidi="ar-EG"/>
        </w:rPr>
        <w:t>المتعلقة ب</w:t>
      </w:r>
      <w:r w:rsidR="00660A3F" w:rsidRPr="00492891">
        <w:rPr>
          <w:rFonts w:hint="cs"/>
          <w:rtl/>
          <w:lang w:bidi="ar-EG"/>
        </w:rPr>
        <w:t>مراجعة المسائل التي تقدمها لجان الدراسات</w:t>
      </w:r>
      <w:r w:rsidR="00F904E6" w:rsidRPr="00492891">
        <w:rPr>
          <w:rFonts w:hint="cs"/>
          <w:rtl/>
          <w:lang w:bidi="ar-EG"/>
        </w:rPr>
        <w:t>.</w:t>
      </w:r>
    </w:p>
    <w:p w:rsidR="002E2446" w:rsidRDefault="002E2446" w:rsidP="002E2446">
      <w:pPr>
        <w:pStyle w:val="Reasons"/>
        <w:rPr>
          <w:rFonts w:hint="cs"/>
          <w:lang w:bidi="ar-EG"/>
        </w:rPr>
      </w:pPr>
    </w:p>
    <w:p w:rsidR="00492891" w:rsidRPr="00197BA2" w:rsidRDefault="00492891" w:rsidP="00EE37FF">
      <w:pPr>
        <w:spacing w:before="600"/>
        <w:jc w:val="center"/>
      </w:pPr>
      <w:r>
        <w:rPr>
          <w:rFonts w:hint="cs"/>
          <w:rtl/>
          <w:lang w:bidi="ar-EG"/>
        </w:rPr>
        <w:t>___________</w:t>
      </w:r>
    </w:p>
    <w:sectPr w:rsidR="00492891" w:rsidRPr="00197BA2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32F2D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232F2D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032E2C">
      <w:rPr>
        <w:rFonts w:cs="Times New Roman"/>
        <w:noProof/>
        <w:sz w:val="16"/>
        <w:szCs w:val="16"/>
        <w:lang w:val="fr-CH"/>
      </w:rPr>
      <w:t>P:\ARA\ITU-T\CONF-T\WTSA16\000\047ADD06A.docx</w:t>
    </w:r>
    <w:r w:rsidRPr="00E07379">
      <w:rPr>
        <w:rFonts w:cs="Times New Roman"/>
        <w:sz w:val="16"/>
        <w:szCs w:val="16"/>
      </w:rPr>
      <w:fldChar w:fldCharType="end"/>
    </w:r>
    <w:r w:rsidR="00032E2C" w:rsidRPr="00032E2C">
      <w:rPr>
        <w:rFonts w:cs="Times New Roman"/>
        <w:sz w:val="16"/>
        <w:szCs w:val="16"/>
        <w:lang w:val="fr-CH"/>
      </w:rPr>
      <w:t xml:space="preserve">   (405603)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232F2D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232F2D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032E2C">
      <w:rPr>
        <w:noProof/>
        <w:szCs w:val="12"/>
        <w:lang w:val="fr-CH"/>
      </w:rPr>
      <w:t>P:\ARA\ITU-T\CONF-T\WTSA16\000\047ADD06A.docx</w:t>
    </w:r>
    <w:r w:rsidRPr="0022345D">
      <w:rPr>
        <w:szCs w:val="12"/>
      </w:rPr>
      <w:fldChar w:fldCharType="end"/>
    </w:r>
    <w:r w:rsidR="00032E2C" w:rsidRPr="00032E2C">
      <w:rPr>
        <w:szCs w:val="12"/>
        <w:lang w:val="fr-CH"/>
      </w:rPr>
      <w:t xml:space="preserve">   (405603)</w:t>
    </w:r>
  </w:p>
  <w:p w:rsidR="00E07379" w:rsidRPr="00232F2D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E1C8E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WTSA16/47(Add.6)-A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02D0"/>
    <w:rsid w:val="000124CC"/>
    <w:rsid w:val="00032E2C"/>
    <w:rsid w:val="0003692D"/>
    <w:rsid w:val="00046444"/>
    <w:rsid w:val="0006023B"/>
    <w:rsid w:val="0008638B"/>
    <w:rsid w:val="00090574"/>
    <w:rsid w:val="00092FC2"/>
    <w:rsid w:val="0009660E"/>
    <w:rsid w:val="000A1677"/>
    <w:rsid w:val="000B407F"/>
    <w:rsid w:val="000D436E"/>
    <w:rsid w:val="000E1C8E"/>
    <w:rsid w:val="000F0B1C"/>
    <w:rsid w:val="000F1D42"/>
    <w:rsid w:val="000F4D07"/>
    <w:rsid w:val="00102A03"/>
    <w:rsid w:val="001040A3"/>
    <w:rsid w:val="00137449"/>
    <w:rsid w:val="00173915"/>
    <w:rsid w:val="00197BA2"/>
    <w:rsid w:val="0022345D"/>
    <w:rsid w:val="00225854"/>
    <w:rsid w:val="0023283D"/>
    <w:rsid w:val="00232F2D"/>
    <w:rsid w:val="00250C72"/>
    <w:rsid w:val="00252E0C"/>
    <w:rsid w:val="002634C9"/>
    <w:rsid w:val="00276881"/>
    <w:rsid w:val="00281DB1"/>
    <w:rsid w:val="002978F4"/>
    <w:rsid w:val="002B028D"/>
    <w:rsid w:val="002B0A38"/>
    <w:rsid w:val="002B435E"/>
    <w:rsid w:val="002C4DAE"/>
    <w:rsid w:val="002E2446"/>
    <w:rsid w:val="002E6541"/>
    <w:rsid w:val="002E7A8C"/>
    <w:rsid w:val="002F2C27"/>
    <w:rsid w:val="002F5560"/>
    <w:rsid w:val="002F7856"/>
    <w:rsid w:val="0030486B"/>
    <w:rsid w:val="003231B9"/>
    <w:rsid w:val="003275AC"/>
    <w:rsid w:val="00333D29"/>
    <w:rsid w:val="003409F4"/>
    <w:rsid w:val="00357185"/>
    <w:rsid w:val="003B3535"/>
    <w:rsid w:val="003C475F"/>
    <w:rsid w:val="003E4132"/>
    <w:rsid w:val="003F678F"/>
    <w:rsid w:val="00402A45"/>
    <w:rsid w:val="0042686F"/>
    <w:rsid w:val="004367CE"/>
    <w:rsid w:val="004374AD"/>
    <w:rsid w:val="00442287"/>
    <w:rsid w:val="00443869"/>
    <w:rsid w:val="004712C6"/>
    <w:rsid w:val="00492891"/>
    <w:rsid w:val="00497703"/>
    <w:rsid w:val="004A7157"/>
    <w:rsid w:val="004F0F06"/>
    <w:rsid w:val="004F2DCE"/>
    <w:rsid w:val="004F7F60"/>
    <w:rsid w:val="00501E0E"/>
    <w:rsid w:val="005137F8"/>
    <w:rsid w:val="005204D7"/>
    <w:rsid w:val="00540985"/>
    <w:rsid w:val="0055011D"/>
    <w:rsid w:val="00552BC5"/>
    <w:rsid w:val="0055516A"/>
    <w:rsid w:val="0056374C"/>
    <w:rsid w:val="0056614F"/>
    <w:rsid w:val="0057656F"/>
    <w:rsid w:val="00576731"/>
    <w:rsid w:val="0059285F"/>
    <w:rsid w:val="00593DDC"/>
    <w:rsid w:val="005A24B1"/>
    <w:rsid w:val="005B7B8A"/>
    <w:rsid w:val="005D6476"/>
    <w:rsid w:val="005D6C0D"/>
    <w:rsid w:val="005E5283"/>
    <w:rsid w:val="005E58F5"/>
    <w:rsid w:val="0060275A"/>
    <w:rsid w:val="00606660"/>
    <w:rsid w:val="006157A3"/>
    <w:rsid w:val="00620E60"/>
    <w:rsid w:val="0063315A"/>
    <w:rsid w:val="0065591D"/>
    <w:rsid w:val="00660A3F"/>
    <w:rsid w:val="00660EFF"/>
    <w:rsid w:val="00662C5A"/>
    <w:rsid w:val="00670AF5"/>
    <w:rsid w:val="006C1556"/>
    <w:rsid w:val="006D1455"/>
    <w:rsid w:val="006D2F95"/>
    <w:rsid w:val="006F267F"/>
    <w:rsid w:val="006F63F7"/>
    <w:rsid w:val="006F6F03"/>
    <w:rsid w:val="00706D7A"/>
    <w:rsid w:val="00706E01"/>
    <w:rsid w:val="00722E75"/>
    <w:rsid w:val="00726AEC"/>
    <w:rsid w:val="00744B63"/>
    <w:rsid w:val="00747643"/>
    <w:rsid w:val="007530CA"/>
    <w:rsid w:val="00772EBB"/>
    <w:rsid w:val="0079553D"/>
    <w:rsid w:val="007B01CC"/>
    <w:rsid w:val="007E1069"/>
    <w:rsid w:val="007F646C"/>
    <w:rsid w:val="00801FCD"/>
    <w:rsid w:val="00803D7E"/>
    <w:rsid w:val="00803F08"/>
    <w:rsid w:val="008235CD"/>
    <w:rsid w:val="00823A07"/>
    <w:rsid w:val="00835FEC"/>
    <w:rsid w:val="008513CB"/>
    <w:rsid w:val="008554CE"/>
    <w:rsid w:val="00874D9C"/>
    <w:rsid w:val="008A1810"/>
    <w:rsid w:val="00917694"/>
    <w:rsid w:val="009263CD"/>
    <w:rsid w:val="00930E6D"/>
    <w:rsid w:val="009355CF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1B4B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36F0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1278"/>
    <w:rsid w:val="00D76212"/>
    <w:rsid w:val="00D77D0F"/>
    <w:rsid w:val="00DA1CF0"/>
    <w:rsid w:val="00DB2271"/>
    <w:rsid w:val="00DB5659"/>
    <w:rsid w:val="00DC24B4"/>
    <w:rsid w:val="00DC52C5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36ADF"/>
    <w:rsid w:val="00E40069"/>
    <w:rsid w:val="00E45211"/>
    <w:rsid w:val="00E7380C"/>
    <w:rsid w:val="00E74BE7"/>
    <w:rsid w:val="00E86CC9"/>
    <w:rsid w:val="00E96624"/>
    <w:rsid w:val="00EC3E36"/>
    <w:rsid w:val="00EC6FEC"/>
    <w:rsid w:val="00ED208C"/>
    <w:rsid w:val="00EE37FF"/>
    <w:rsid w:val="00EF2A81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04E6"/>
    <w:rsid w:val="00FD58BD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F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77fc75-fe59-40a6-acb5-dd37d65c33fd">Documents Proposals Manager (DPM)</DPM_x0020_Author>
    <DPM_x0020_File_x0020_name xmlns="b677fc75-fe59-40a6-acb5-dd37d65c33fd">T13-WTSA.16-C-0047!A6!MSW-A</DPM_x0020_File_x0020_name>
    <DPM_x0020_Version xmlns="b677fc75-fe59-40a6-acb5-dd37d65c33fd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77fc75-fe59-40a6-acb5-dd37d65c33fd" targetNamespace="http://schemas.microsoft.com/office/2006/metadata/properties" ma:root="true" ma:fieldsID="d41af5c836d734370eb92e7ee5f83852" ns2:_="" ns3:_="">
    <xsd:import namespace="996b2e75-67fd-4955-a3b0-5ab9934cb50b"/>
    <xsd:import namespace="b677fc75-fe59-40a6-acb5-dd37d65c33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7fc75-fe59-40a6-acb5-dd37d65c33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b677fc75-fe59-40a6-acb5-dd37d65c33f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77fc75-fe59-40a6-acb5-dd37d65c3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8A7C5-0792-4873-85BE-6CF2BDC9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T13-WTSA.16-C-0047!A6!MSW-A</vt:lpstr>
    </vt:vector>
  </TitlesOfParts>
  <Company>International Telecommunication Union (ITU)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T13-WTSA.16-C-0047!A6!MSW-A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Awad, Samy</cp:lastModifiedBy>
  <cp:revision>25</cp:revision>
  <cp:lastPrinted>2016-10-05T13:53:00Z</cp:lastPrinted>
  <dcterms:created xsi:type="dcterms:W3CDTF">2016-10-13T14:26:00Z</dcterms:created>
  <dcterms:modified xsi:type="dcterms:W3CDTF">2016-10-13T16:08:00Z</dcterms:modified>
  <cp:category>Conference document</cp:category>
</cp:coreProperties>
</file>