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A11349" w:rsidTr="00F00DDC">
        <w:trPr>
          <w:cantSplit/>
        </w:trPr>
        <w:tc>
          <w:tcPr>
            <w:tcW w:w="1357" w:type="dxa"/>
            <w:vAlign w:val="center"/>
          </w:tcPr>
          <w:p w:rsidR="00BC7D84" w:rsidRPr="00A11349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A1134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A11349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A11349">
              <w:t>World Telecommunication Standardization Assembly (WTSA-16)</w:t>
            </w:r>
            <w:r w:rsidRPr="00A11349">
              <w:br/>
            </w:r>
            <w:r w:rsidRPr="00A11349">
              <w:rPr>
                <w:sz w:val="20"/>
                <w:szCs w:val="20"/>
              </w:rPr>
              <w:t>Hammamet, 25 October - 3 November 2016</w:t>
            </w:r>
          </w:p>
        </w:tc>
        <w:tc>
          <w:tcPr>
            <w:tcW w:w="1804" w:type="dxa"/>
            <w:vAlign w:val="center"/>
          </w:tcPr>
          <w:p w:rsidR="00BC7D84" w:rsidRPr="00A11349" w:rsidRDefault="00BC7D84" w:rsidP="00F00DDC">
            <w:pPr>
              <w:jc w:val="right"/>
            </w:pPr>
            <w:r w:rsidRPr="00A11349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A11349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A11349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A11349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A11349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A11349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11349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A11349" w:rsidTr="00F00DDC">
        <w:trPr>
          <w:cantSplit/>
        </w:trPr>
        <w:tc>
          <w:tcPr>
            <w:tcW w:w="6617" w:type="dxa"/>
            <w:gridSpan w:val="2"/>
          </w:tcPr>
          <w:p w:rsidR="00BC7D84" w:rsidRPr="00A11349" w:rsidRDefault="00AB416A" w:rsidP="00F00DDC">
            <w:pPr>
              <w:pStyle w:val="Committee"/>
            </w:pPr>
            <w:r w:rsidRPr="00A11349">
              <w:t>PLENARY MEETING</w:t>
            </w:r>
          </w:p>
        </w:tc>
        <w:tc>
          <w:tcPr>
            <w:tcW w:w="3194" w:type="dxa"/>
            <w:gridSpan w:val="2"/>
          </w:tcPr>
          <w:p w:rsidR="00BC7D84" w:rsidRPr="00A11349" w:rsidRDefault="00BC7D84" w:rsidP="00F00DDC">
            <w:pPr>
              <w:pStyle w:val="Docnumber"/>
              <w:ind w:left="-57"/>
            </w:pPr>
            <w:r w:rsidRPr="00A11349">
              <w:t>Addendum 25 to</w:t>
            </w:r>
            <w:r w:rsidRPr="00A11349">
              <w:br/>
              <w:t>Document 47-E</w:t>
            </w:r>
          </w:p>
        </w:tc>
      </w:tr>
      <w:tr w:rsidR="00BC7D84" w:rsidRPr="00A11349" w:rsidTr="00F00DDC">
        <w:trPr>
          <w:cantSplit/>
        </w:trPr>
        <w:tc>
          <w:tcPr>
            <w:tcW w:w="6617" w:type="dxa"/>
            <w:gridSpan w:val="2"/>
          </w:tcPr>
          <w:p w:rsidR="00BC7D84" w:rsidRPr="00A11349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11349" w:rsidRDefault="00BC7D84" w:rsidP="00E94DBA">
            <w:pPr>
              <w:pStyle w:val="Docnumber"/>
              <w:ind w:left="-57"/>
            </w:pPr>
            <w:r w:rsidRPr="00A11349">
              <w:t>27 September 2016</w:t>
            </w:r>
          </w:p>
        </w:tc>
      </w:tr>
      <w:tr w:rsidR="00BC7D84" w:rsidRPr="00A11349" w:rsidTr="00F00DDC">
        <w:trPr>
          <w:cantSplit/>
        </w:trPr>
        <w:tc>
          <w:tcPr>
            <w:tcW w:w="6617" w:type="dxa"/>
            <w:gridSpan w:val="2"/>
          </w:tcPr>
          <w:p w:rsidR="00BC7D84" w:rsidRPr="00A11349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11349" w:rsidRDefault="00BC7D84" w:rsidP="00E94DBA">
            <w:pPr>
              <w:pStyle w:val="Docnumber"/>
              <w:ind w:left="-57"/>
            </w:pPr>
            <w:r w:rsidRPr="00A11349">
              <w:t>Original: Russian</w:t>
            </w:r>
          </w:p>
        </w:tc>
      </w:tr>
      <w:tr w:rsidR="00BC7D84" w:rsidRPr="00A11349" w:rsidTr="00F00DDC">
        <w:trPr>
          <w:cantSplit/>
        </w:trPr>
        <w:tc>
          <w:tcPr>
            <w:tcW w:w="9811" w:type="dxa"/>
            <w:gridSpan w:val="4"/>
          </w:tcPr>
          <w:p w:rsidR="00BC7D84" w:rsidRPr="00A11349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A11349" w:rsidTr="00F00DDC">
        <w:trPr>
          <w:cantSplit/>
        </w:trPr>
        <w:tc>
          <w:tcPr>
            <w:tcW w:w="9811" w:type="dxa"/>
            <w:gridSpan w:val="4"/>
          </w:tcPr>
          <w:p w:rsidR="00BC7D84" w:rsidRPr="00A11349" w:rsidRDefault="00BC7D84" w:rsidP="00F00DDC">
            <w:pPr>
              <w:pStyle w:val="Source"/>
              <w:rPr>
                <w:highlight w:val="yellow"/>
              </w:rPr>
            </w:pPr>
            <w:r w:rsidRPr="00A11349">
              <w:t>ITU Member States, Members of the RCC</w:t>
            </w:r>
          </w:p>
        </w:tc>
      </w:tr>
      <w:tr w:rsidR="00BC7D84" w:rsidRPr="00A11349" w:rsidTr="00F00DDC">
        <w:trPr>
          <w:cantSplit/>
        </w:trPr>
        <w:tc>
          <w:tcPr>
            <w:tcW w:w="9811" w:type="dxa"/>
            <w:gridSpan w:val="4"/>
          </w:tcPr>
          <w:p w:rsidR="00BC7D84" w:rsidRPr="00A11349" w:rsidRDefault="00C369D9" w:rsidP="007029E8">
            <w:pPr>
              <w:pStyle w:val="Title1"/>
              <w:rPr>
                <w:highlight w:val="yellow"/>
              </w:rPr>
            </w:pPr>
            <w:r w:rsidRPr="00A11349">
              <w:t xml:space="preserve">draft new </w:t>
            </w:r>
            <w:bookmarkStart w:id="0" w:name="_GoBack"/>
            <w:bookmarkEnd w:id="0"/>
            <w:r w:rsidRPr="00A11349">
              <w:t>resolution</w:t>
            </w:r>
            <w:r w:rsidR="002A4751">
              <w:t xml:space="preserve"> </w:t>
            </w:r>
            <w:r w:rsidR="002A4751" w:rsidRPr="00A11349">
              <w:t>[RCC-6]</w:t>
            </w:r>
            <w:r w:rsidR="002A4751">
              <w:t xml:space="preserve"> - </w:t>
            </w:r>
            <w:r w:rsidR="002A4751" w:rsidRPr="00A11349">
              <w:t>participation of the telecommunication standardization sector in the periodic review and revision of the International Telecommunication Regulations</w:t>
            </w:r>
          </w:p>
        </w:tc>
      </w:tr>
      <w:tr w:rsidR="00BC7D84" w:rsidRPr="00A11349" w:rsidTr="00F00DDC">
        <w:trPr>
          <w:cantSplit/>
        </w:trPr>
        <w:tc>
          <w:tcPr>
            <w:tcW w:w="9811" w:type="dxa"/>
            <w:gridSpan w:val="4"/>
          </w:tcPr>
          <w:p w:rsidR="00BC7D84" w:rsidRPr="00A11349" w:rsidRDefault="00BC7D84" w:rsidP="00C369D9">
            <w:pPr>
              <w:pStyle w:val="Title2"/>
            </w:pPr>
          </w:p>
        </w:tc>
      </w:tr>
      <w:tr w:rsidR="00BC7D84" w:rsidRPr="00A11349" w:rsidTr="00F00DDC">
        <w:trPr>
          <w:cantSplit/>
        </w:trPr>
        <w:tc>
          <w:tcPr>
            <w:tcW w:w="9811" w:type="dxa"/>
            <w:gridSpan w:val="4"/>
          </w:tcPr>
          <w:p w:rsidR="00BC7D84" w:rsidRPr="00A11349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A11349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A11349" w:rsidTr="00D055D3">
        <w:trPr>
          <w:cantSplit/>
        </w:trPr>
        <w:tc>
          <w:tcPr>
            <w:tcW w:w="1951" w:type="dxa"/>
          </w:tcPr>
          <w:p w:rsidR="009E1967" w:rsidRPr="00A11349" w:rsidRDefault="009E1967" w:rsidP="00D055D3">
            <w:r w:rsidRPr="00A11349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A11349" w:rsidRDefault="00C369D9" w:rsidP="00240CCD">
                <w:pPr>
                  <w:rPr>
                    <w:color w:val="000000" w:themeColor="text1"/>
                  </w:rPr>
                </w:pPr>
                <w:r w:rsidRPr="00A11349">
                  <w:rPr>
                    <w:color w:val="000000" w:themeColor="text1"/>
                  </w:rPr>
                  <w:t>This contribution contains an RCC proposal to WTSA regarding the participation of the Telecommunication Standardization Sector (ITU-T) in the periodic review and revision of the International Telecommunication Regulations (ITRs), together with a correspondingly</w:t>
                </w:r>
                <w:r w:rsidR="00240CCD">
                  <w:rPr>
                    <w:color w:val="000000" w:themeColor="text1"/>
                  </w:rPr>
                  <w:t xml:space="preserve"> </w:t>
                </w:r>
                <w:r w:rsidRPr="00A11349">
                  <w:rPr>
                    <w:color w:val="000000" w:themeColor="text1"/>
                  </w:rPr>
                  <w:t>entitled draft resolution.</w:t>
                </w:r>
              </w:p>
            </w:tc>
          </w:sdtContent>
        </w:sdt>
      </w:tr>
    </w:tbl>
    <w:p w:rsidR="00C369D9" w:rsidRPr="00A11349" w:rsidRDefault="00C369D9" w:rsidP="00F11791">
      <w:pPr>
        <w:pStyle w:val="Headingb"/>
        <w:rPr>
          <w:lang w:val="en-GB"/>
        </w:rPr>
      </w:pPr>
      <w:r w:rsidRPr="00A11349">
        <w:rPr>
          <w:lang w:val="en-GB"/>
        </w:rPr>
        <w:t>Introduction</w:t>
      </w:r>
    </w:p>
    <w:p w:rsidR="00C369D9" w:rsidRPr="00A11349" w:rsidRDefault="00DF6D7E" w:rsidP="00F11791">
      <w:r w:rsidRPr="00A11349">
        <w:t>The World Conference on International Telecommunications (Dubai, 2012) (WCIT-12) revised the International Telecommunication Regulations (ITRs).</w:t>
      </w:r>
      <w:r w:rsidR="00CF2692" w:rsidRPr="00A11349">
        <w:t xml:space="preserve"> The 2012 ITRs entered into force on 1 January 2015.</w:t>
      </w:r>
    </w:p>
    <w:p w:rsidR="00CF2692" w:rsidRPr="00A11349" w:rsidRDefault="00FA13F3" w:rsidP="00F11791">
      <w:r w:rsidRPr="00A11349">
        <w:t xml:space="preserve">WCIT-12 adopted Resolution 4 (Dubai, 2012), on periodic review of the International Telecommunication Regulations, </w:t>
      </w:r>
      <w:r w:rsidRPr="00A11349">
        <w:rPr>
          <w:i/>
          <w:iCs/>
        </w:rPr>
        <w:t>recognizing</w:t>
      </w:r>
      <w:r w:rsidRPr="00A11349">
        <w:t xml:space="preserve"> </w:t>
      </w:r>
      <w:r w:rsidRPr="00A11349">
        <w:rPr>
          <w:i/>
          <w:iCs/>
        </w:rPr>
        <w:t>e)</w:t>
      </w:r>
      <w:r w:rsidRPr="00A11349">
        <w:t xml:space="preserve"> of which states that </w:t>
      </w:r>
      <w:r w:rsidR="00240CCD">
        <w:t>"</w:t>
      </w:r>
      <w:r w:rsidRPr="00A11349">
        <w:t>the International Telecommunication Regulations consist of high-level guiding principles that should not require frequent amendment, but in the fast-moving sector of telecommunications/ICTs may need to be periodically reviewed</w:t>
      </w:r>
      <w:r w:rsidR="00240CCD">
        <w:t>"</w:t>
      </w:r>
      <w:r w:rsidRPr="00A11349">
        <w:t>.</w:t>
      </w:r>
    </w:p>
    <w:p w:rsidR="003662B1" w:rsidRPr="00A11349" w:rsidRDefault="00FA13F3" w:rsidP="00F11791">
      <w:r w:rsidRPr="00A11349">
        <w:t>The Plenipotentiary Conference (Busan, 2014) adopted Resolution 146 (Rev. Busan, 2014)</w:t>
      </w:r>
      <w:r w:rsidR="003662B1" w:rsidRPr="00A11349">
        <w:t xml:space="preserve">, setting out </w:t>
      </w:r>
      <w:r w:rsidRPr="00A11349">
        <w:t xml:space="preserve">steps for </w:t>
      </w:r>
      <w:r w:rsidR="003662B1" w:rsidRPr="00A11349">
        <w:t xml:space="preserve">the </w:t>
      </w:r>
      <w:r w:rsidRPr="00A11349">
        <w:t xml:space="preserve">preparation of a possible revision of </w:t>
      </w:r>
      <w:r w:rsidR="003662B1" w:rsidRPr="00A11349">
        <w:t xml:space="preserve">the </w:t>
      </w:r>
      <w:r w:rsidRPr="00A11349">
        <w:t>ITRs</w:t>
      </w:r>
      <w:r w:rsidR="003662B1" w:rsidRPr="00A11349">
        <w:t xml:space="preserve">, and the Council, at its 2016 session, adopted Resolution 1379, </w:t>
      </w:r>
      <w:r w:rsidR="00903DCE" w:rsidRPr="00A11349">
        <w:t>establishing the</w:t>
      </w:r>
      <w:r w:rsidR="003662B1" w:rsidRPr="00A11349">
        <w:t xml:space="preserve"> Expert Group on the International Telecommunication Regulations (EG-ITRs).</w:t>
      </w:r>
    </w:p>
    <w:p w:rsidR="003662B1" w:rsidRPr="00A11349" w:rsidRDefault="003662B1" w:rsidP="00F11791">
      <w:pPr>
        <w:pStyle w:val="Headingb"/>
        <w:rPr>
          <w:lang w:val="en-GB"/>
        </w:rPr>
      </w:pPr>
      <w:r w:rsidRPr="00A11349">
        <w:rPr>
          <w:lang w:val="en-GB"/>
        </w:rPr>
        <w:lastRenderedPageBreak/>
        <w:t>Background information</w:t>
      </w:r>
    </w:p>
    <w:p w:rsidR="003662B1" w:rsidRPr="00A11349" w:rsidRDefault="003662B1" w:rsidP="00240CCD">
      <w:pPr>
        <w:keepLines/>
      </w:pPr>
      <w:r w:rsidRPr="00A11349">
        <w:t>WCIT-12 was preceded by a very long and complex preparatory process. In spite of this, significant</w:t>
      </w:r>
      <w:r w:rsidR="00EC169D" w:rsidRPr="00A11349">
        <w:t>ly</w:t>
      </w:r>
      <w:r w:rsidRPr="00A11349">
        <w:t xml:space="preserve"> differ</w:t>
      </w:r>
      <w:r w:rsidR="00EC169D" w:rsidRPr="00A11349">
        <w:t>ing</w:t>
      </w:r>
      <w:r w:rsidRPr="00A11349">
        <w:t xml:space="preserve"> views remained when </w:t>
      </w:r>
      <w:r w:rsidR="000A1D32" w:rsidRPr="00A11349">
        <w:t>the conference</w:t>
      </w:r>
      <w:r w:rsidRPr="00A11349">
        <w:t xml:space="preserve"> was convened, and it proved impossible to resolve </w:t>
      </w:r>
      <w:r w:rsidR="000A1D32" w:rsidRPr="00A11349">
        <w:t>them during the event. In the end, a significant number of Member States did not sign the Final Acts of WCIT-12.</w:t>
      </w:r>
    </w:p>
    <w:p w:rsidR="00F019F8" w:rsidRPr="00A11349" w:rsidRDefault="00F019F8" w:rsidP="00F11791">
      <w:r w:rsidRPr="00A11349">
        <w:t>We consider that a situation in which not all Member States have acceded to the ITRs is abnormal and should be corrected, either through the accession of all Member States, or by agreeing a new version of the ITRs.</w:t>
      </w:r>
    </w:p>
    <w:p w:rsidR="009056EC" w:rsidRPr="00A11349" w:rsidRDefault="009056EC" w:rsidP="00F11791">
      <w:pPr>
        <w:pStyle w:val="Headingb"/>
        <w:rPr>
          <w:lang w:val="en-GB"/>
        </w:rPr>
      </w:pPr>
      <w:r w:rsidRPr="00A11349">
        <w:rPr>
          <w:lang w:val="en-GB"/>
        </w:rPr>
        <w:t>Developments since WCIT-12</w:t>
      </w:r>
    </w:p>
    <w:p w:rsidR="009056EC" w:rsidRPr="00A11349" w:rsidRDefault="009056EC" w:rsidP="00F11791">
      <w:r w:rsidRPr="00A11349">
        <w:t>There have been significant developments since WCIT-12 that might call for a revision of the ITRs. These include in particular:</w:t>
      </w:r>
    </w:p>
    <w:p w:rsidR="009056EC" w:rsidRPr="00A11349" w:rsidRDefault="009056EC" w:rsidP="00F11791">
      <w:pPr>
        <w:pStyle w:val="enumlev1"/>
      </w:pPr>
      <w:r w:rsidRPr="00A11349">
        <w:t>a)</w:t>
      </w:r>
      <w:r w:rsidRPr="00A11349">
        <w:tab/>
        <w:t xml:space="preserve">The general consensus that offline rights apply equally online has been explicitly stated in various </w:t>
      </w:r>
      <w:r w:rsidR="00EC169D" w:rsidRPr="00A11349">
        <w:t>United Nations</w:t>
      </w:r>
      <w:r w:rsidRPr="00A11349">
        <w:t xml:space="preserve"> instruments.</w:t>
      </w:r>
    </w:p>
    <w:p w:rsidR="009056EC" w:rsidRPr="00A11349" w:rsidRDefault="009056EC" w:rsidP="00F11791">
      <w:pPr>
        <w:pStyle w:val="enumlev1"/>
      </w:pPr>
      <w:r w:rsidRPr="00A11349">
        <w:t>b)</w:t>
      </w:r>
      <w:r w:rsidRPr="00A11349">
        <w:tab/>
        <w:t xml:space="preserve">There is increasing recognition that human rights, including </w:t>
      </w:r>
      <w:r w:rsidR="0047608A" w:rsidRPr="00A11349">
        <w:t>the right</w:t>
      </w:r>
      <w:r w:rsidR="00EC169D" w:rsidRPr="00A11349">
        <w:t>s</w:t>
      </w:r>
      <w:r w:rsidR="0047608A" w:rsidRPr="00A11349">
        <w:t xml:space="preserve"> to </w:t>
      </w:r>
      <w:r w:rsidRPr="00A11349">
        <w:t>freedom of expression</w:t>
      </w:r>
      <w:r w:rsidR="0047608A" w:rsidRPr="00A11349">
        <w:t xml:space="preserve">, </w:t>
      </w:r>
      <w:r w:rsidRPr="00A11349">
        <w:t>privacy, development</w:t>
      </w:r>
      <w:r w:rsidR="0047608A" w:rsidRPr="00A11349">
        <w:t xml:space="preserve"> and</w:t>
      </w:r>
      <w:r w:rsidRPr="00A11349">
        <w:t xml:space="preserve"> accessibility</w:t>
      </w:r>
      <w:r w:rsidR="0047608A" w:rsidRPr="00A11349">
        <w:t>,</w:t>
      </w:r>
      <w:r w:rsidRPr="00A11349">
        <w:t xml:space="preserve"> must be explicitly enshrined and protected in instruments dealing with telecommunications, including the Internet.</w:t>
      </w:r>
    </w:p>
    <w:p w:rsidR="009056EC" w:rsidRPr="00A11349" w:rsidRDefault="009056EC" w:rsidP="00F11791">
      <w:pPr>
        <w:pStyle w:val="enumlev1"/>
      </w:pPr>
      <w:r w:rsidRPr="00A11349">
        <w:t>c)</w:t>
      </w:r>
      <w:r w:rsidRPr="00A11349">
        <w:tab/>
        <w:t>There is increasing recognition that measures should be taken to ensure affordable access to telecommunications, including the Internet.</w:t>
      </w:r>
    </w:p>
    <w:p w:rsidR="009056EC" w:rsidRPr="00A11349" w:rsidRDefault="009056EC" w:rsidP="00F11791">
      <w:pPr>
        <w:pStyle w:val="enumlev1"/>
      </w:pPr>
      <w:r w:rsidRPr="00A11349">
        <w:t>d)</w:t>
      </w:r>
      <w:r w:rsidRPr="00A11349">
        <w:tab/>
        <w:t xml:space="preserve">The </w:t>
      </w:r>
      <w:r w:rsidR="0047608A" w:rsidRPr="00A11349">
        <w:t>ITU-T</w:t>
      </w:r>
      <w:r w:rsidRPr="00A11349">
        <w:t xml:space="preserve"> </w:t>
      </w:r>
      <w:r w:rsidR="0047608A" w:rsidRPr="00A11349">
        <w:t>s</w:t>
      </w:r>
      <w:r w:rsidRPr="00A11349">
        <w:t xml:space="preserve">tudy </w:t>
      </w:r>
      <w:r w:rsidR="0047608A" w:rsidRPr="00A11349">
        <w:t>g</w:t>
      </w:r>
      <w:r w:rsidRPr="00A11349">
        <w:t xml:space="preserve">roups </w:t>
      </w:r>
      <w:r w:rsidR="0047608A" w:rsidRPr="00A11349">
        <w:t>are</w:t>
      </w:r>
      <w:r w:rsidRPr="00A11349">
        <w:t xml:space="preserve"> work</w:t>
      </w:r>
      <w:r w:rsidR="0047608A" w:rsidRPr="00A11349">
        <w:t>ing</w:t>
      </w:r>
      <w:r w:rsidRPr="00A11349">
        <w:t xml:space="preserve"> on topics that were discussed </w:t>
      </w:r>
      <w:r w:rsidR="0047608A" w:rsidRPr="00A11349">
        <w:t xml:space="preserve">but </w:t>
      </w:r>
      <w:r w:rsidRPr="00A11349">
        <w:t>not fully resolved during WCIT-12, in particular:</w:t>
      </w:r>
    </w:p>
    <w:p w:rsidR="009056EC" w:rsidRPr="00A11349" w:rsidRDefault="0047608A" w:rsidP="00F11791">
      <w:pPr>
        <w:pStyle w:val="enumlev2"/>
      </w:pPr>
      <w:proofErr w:type="spellStart"/>
      <w:r w:rsidRPr="00A11349">
        <w:t>i</w:t>
      </w:r>
      <w:proofErr w:type="spellEnd"/>
      <w:r w:rsidRPr="00A11349">
        <w:t>)</w:t>
      </w:r>
      <w:r w:rsidRPr="00A11349">
        <w:tab/>
        <w:t>S</w:t>
      </w:r>
      <w:r w:rsidR="009056EC" w:rsidRPr="00A11349">
        <w:t>tudy Group 2 has discussed numbering misuse, which continues to be</w:t>
      </w:r>
      <w:r w:rsidR="00131E6D" w:rsidRPr="00A11349">
        <w:t xml:space="preserve"> an issue, and disaster relief.</w:t>
      </w:r>
    </w:p>
    <w:p w:rsidR="009056EC" w:rsidRPr="00A11349" w:rsidRDefault="00131E6D" w:rsidP="00F11791">
      <w:pPr>
        <w:pStyle w:val="enumlev2"/>
      </w:pPr>
      <w:r w:rsidRPr="00A11349">
        <w:t>ii)</w:t>
      </w:r>
      <w:r w:rsidR="0047608A" w:rsidRPr="00A11349">
        <w:tab/>
      </w:r>
      <w:r w:rsidR="009056EC" w:rsidRPr="00A11349">
        <w:t xml:space="preserve">Study Group 3 has worked intensively on over-the-top (ОТТ) services, mobile roaming, Internet exchange points, universal service, principles for market definition and identification of operators with significant market power, </w:t>
      </w:r>
      <w:r w:rsidRPr="00A11349">
        <w:t xml:space="preserve">and </w:t>
      </w:r>
      <w:r w:rsidR="009056EC" w:rsidRPr="00A11349">
        <w:t>charging and</w:t>
      </w:r>
      <w:r w:rsidR="00EC169D" w:rsidRPr="00A11349">
        <w:t xml:space="preserve"> accounting principles for next-</w:t>
      </w:r>
      <w:r w:rsidR="009056EC" w:rsidRPr="00A11349">
        <w:t>generation networks.</w:t>
      </w:r>
    </w:p>
    <w:p w:rsidR="009056EC" w:rsidRPr="00A11349" w:rsidRDefault="0047608A" w:rsidP="00F11791">
      <w:pPr>
        <w:pStyle w:val="enumlev2"/>
      </w:pPr>
      <w:r w:rsidRPr="00A11349">
        <w:t>iii)</w:t>
      </w:r>
      <w:r w:rsidRPr="00A11349">
        <w:tab/>
      </w:r>
      <w:r w:rsidR="009056EC" w:rsidRPr="00A11349">
        <w:t>Study Group 5 has worked on issues related to the environment (including e-waste) and climate change.</w:t>
      </w:r>
    </w:p>
    <w:p w:rsidR="009056EC" w:rsidRPr="00A11349" w:rsidRDefault="0047608A" w:rsidP="00F11791">
      <w:pPr>
        <w:pStyle w:val="enumlev2"/>
      </w:pPr>
      <w:r w:rsidRPr="00A11349">
        <w:t>iv)</w:t>
      </w:r>
      <w:r w:rsidRPr="00A11349">
        <w:tab/>
      </w:r>
      <w:r w:rsidR="009056EC" w:rsidRPr="00A11349">
        <w:t>Study Group 11 has worked on interconnection of IP-based networks for providing a wide set of services (4G-VoLTE/</w:t>
      </w:r>
      <w:proofErr w:type="spellStart"/>
      <w:r w:rsidR="009056EC" w:rsidRPr="00A11349">
        <w:t>ViLTE</w:t>
      </w:r>
      <w:proofErr w:type="spellEnd"/>
      <w:r w:rsidR="009056EC" w:rsidRPr="00A11349">
        <w:t xml:space="preserve">; 5G/IMT-2020 and beyond) </w:t>
      </w:r>
      <w:r w:rsidR="00131E6D" w:rsidRPr="00A11349">
        <w:t>and Internet speed measurements.</w:t>
      </w:r>
    </w:p>
    <w:p w:rsidR="009056EC" w:rsidRPr="00A11349" w:rsidRDefault="0047608A" w:rsidP="00F11791">
      <w:pPr>
        <w:pStyle w:val="enumlev2"/>
      </w:pPr>
      <w:r w:rsidRPr="00A11349">
        <w:t>v)</w:t>
      </w:r>
      <w:r w:rsidRPr="00A11349">
        <w:tab/>
      </w:r>
      <w:r w:rsidR="009056EC" w:rsidRPr="00A11349">
        <w:t>Study Group 13 has worked on future network issues, including the cloud.</w:t>
      </w:r>
    </w:p>
    <w:p w:rsidR="009056EC" w:rsidRPr="00A11349" w:rsidRDefault="0047608A" w:rsidP="00F11791">
      <w:pPr>
        <w:pStyle w:val="enumlev2"/>
      </w:pPr>
      <w:r w:rsidRPr="00A11349">
        <w:t>vi)</w:t>
      </w:r>
      <w:r w:rsidR="009056EC" w:rsidRPr="00A11349">
        <w:tab/>
        <w:t>Study Group 16 has worked on accessibility.</w:t>
      </w:r>
    </w:p>
    <w:p w:rsidR="009056EC" w:rsidRPr="00A11349" w:rsidRDefault="009056EC" w:rsidP="00F11791">
      <w:pPr>
        <w:pStyle w:val="enumlev2"/>
      </w:pPr>
      <w:r w:rsidRPr="00A11349">
        <w:t>vii</w:t>
      </w:r>
      <w:r w:rsidR="0047608A" w:rsidRPr="00A11349">
        <w:t>)</w:t>
      </w:r>
      <w:r w:rsidRPr="00A11349">
        <w:tab/>
        <w:t>Study Group 17 has discussed security and combating spam.</w:t>
      </w:r>
    </w:p>
    <w:p w:rsidR="009056EC" w:rsidRPr="00A11349" w:rsidRDefault="009056EC" w:rsidP="00A11349">
      <w:pPr>
        <w:pStyle w:val="enumlev2"/>
      </w:pPr>
      <w:r w:rsidRPr="00A11349">
        <w:t>viii</w:t>
      </w:r>
      <w:r w:rsidR="0047608A" w:rsidRPr="00A11349">
        <w:t>)</w:t>
      </w:r>
      <w:r w:rsidRPr="00A11349">
        <w:tab/>
        <w:t>The Joint Coordination Activity on Accessibility and Human Factors (JCA</w:t>
      </w:r>
      <w:r w:rsidR="00A11349">
        <w:noBreakHyphen/>
      </w:r>
      <w:r w:rsidRPr="00A11349">
        <w:t>AHF)</w:t>
      </w:r>
      <w:r w:rsidR="00131E6D" w:rsidRPr="00A11349">
        <w:t>,</w:t>
      </w:r>
      <w:r w:rsidRPr="00A11349">
        <w:t xml:space="preserve"> among several others</w:t>
      </w:r>
      <w:r w:rsidR="00131E6D" w:rsidRPr="00A11349">
        <w:t>,</w:t>
      </w:r>
      <w:r w:rsidRPr="00A11349">
        <w:t xml:space="preserve"> was </w:t>
      </w:r>
      <w:r w:rsidR="00131E6D" w:rsidRPr="00A11349">
        <w:t>focused</w:t>
      </w:r>
      <w:r w:rsidRPr="00A11349">
        <w:t xml:space="preserve"> on accessibility studies.</w:t>
      </w:r>
    </w:p>
    <w:p w:rsidR="00131E6D" w:rsidRPr="00A11349" w:rsidRDefault="00131E6D" w:rsidP="00F11791">
      <w:r w:rsidRPr="00A11349">
        <w:t>These and other developments should be taken into account when reviewing and revising the ITRs</w:t>
      </w:r>
      <w:r w:rsidR="00506AD2" w:rsidRPr="00A11349">
        <w:t>, and ITU-T should play an active part in that process.</w:t>
      </w:r>
    </w:p>
    <w:p w:rsidR="00F35D17" w:rsidRPr="00A11349" w:rsidRDefault="00F35D17" w:rsidP="00F11791">
      <w:pPr>
        <w:pStyle w:val="Headingb"/>
        <w:rPr>
          <w:lang w:val="en-GB"/>
        </w:rPr>
      </w:pPr>
      <w:r w:rsidRPr="00A11349">
        <w:rPr>
          <w:lang w:val="en-GB"/>
        </w:rPr>
        <w:t>Proposal</w:t>
      </w:r>
    </w:p>
    <w:p w:rsidR="00360A30" w:rsidRPr="00A11349" w:rsidRDefault="005B6133" w:rsidP="00F11791">
      <w:r w:rsidRPr="00A11349">
        <w:t>Given the recognition expressed in</w:t>
      </w:r>
      <w:r w:rsidR="00F35D17" w:rsidRPr="00A11349">
        <w:t xml:space="preserve"> Resolution 146 (Rev. Busan, 2014) that </w:t>
      </w:r>
      <w:r w:rsidR="00240CCD">
        <w:t>"</w:t>
      </w:r>
      <w:r w:rsidR="00F35D17" w:rsidRPr="00A11349">
        <w:t>the ITU Telecommunication Standardization Sector has most of the work relevant to the International Telecommunication Regulations</w:t>
      </w:r>
      <w:r w:rsidR="00240CCD">
        <w:t>"</w:t>
      </w:r>
      <w:r w:rsidR="00F35D17" w:rsidRPr="00A11349">
        <w:t xml:space="preserve">, it is proposed that a new WTSA resolution be </w:t>
      </w:r>
      <w:r w:rsidRPr="00A11349">
        <w:t>adopted.</w:t>
      </w:r>
    </w:p>
    <w:p w:rsidR="00A11349" w:rsidRDefault="00A73B94" w:rsidP="00F11791">
      <w:r w:rsidRPr="00A11349">
        <w:t xml:space="preserve">The proposed resolution, entitled </w:t>
      </w:r>
      <w:r w:rsidR="00240CCD">
        <w:t>"</w:t>
      </w:r>
      <w:r w:rsidRPr="00A11349">
        <w:t>Participation of the Telecommunication Standardization Sector (ITU-T) in the periodic review and revision of the International Telecommunication Regulations</w:t>
      </w:r>
      <w:r w:rsidR="00240CCD">
        <w:t>"</w:t>
      </w:r>
      <w:r w:rsidRPr="00A11349">
        <w:t>, contains instructions to the Director of the Telecommunication Standardization Bureau</w:t>
      </w:r>
      <w:r w:rsidR="00507FDB" w:rsidRPr="00A11349">
        <w:t>,</w:t>
      </w:r>
      <w:r w:rsidRPr="00A11349">
        <w:t xml:space="preserve"> the Telecommunication Standardization Advisory Group </w:t>
      </w:r>
      <w:r w:rsidR="00507FDB" w:rsidRPr="00A11349">
        <w:t xml:space="preserve">and </w:t>
      </w:r>
      <w:r w:rsidRPr="00A11349">
        <w:t xml:space="preserve">the ITU-T study groups, and </w:t>
      </w:r>
      <w:r w:rsidR="00507FDB" w:rsidRPr="00A11349">
        <w:t>an invitation</w:t>
      </w:r>
      <w:r w:rsidRPr="00A11349">
        <w:t xml:space="preserve"> to Member States and </w:t>
      </w:r>
      <w:r w:rsidR="00507FDB" w:rsidRPr="00A11349">
        <w:t>Sector Members.</w:t>
      </w:r>
    </w:p>
    <w:p w:rsidR="00ED30BC" w:rsidRPr="00A11349" w:rsidRDefault="00ED30BC" w:rsidP="00F11791">
      <w:r w:rsidRPr="00A11349">
        <w:br w:type="page"/>
      </w:r>
    </w:p>
    <w:p w:rsidR="006C5CB8" w:rsidRPr="00A11349" w:rsidRDefault="005574E4" w:rsidP="00F11791">
      <w:pPr>
        <w:pStyle w:val="Proposal"/>
      </w:pPr>
      <w:r w:rsidRPr="00A11349">
        <w:t>ADD</w:t>
      </w:r>
      <w:r w:rsidRPr="00A11349">
        <w:tab/>
        <w:t>RCC/47A25/1</w:t>
      </w:r>
    </w:p>
    <w:p w:rsidR="006C5CB8" w:rsidRPr="00A11349" w:rsidRDefault="005574E4" w:rsidP="00F11791">
      <w:pPr>
        <w:pStyle w:val="ResNo"/>
      </w:pPr>
      <w:r w:rsidRPr="00A11349">
        <w:t>DRAFT NEW RESOLUTION [RCC-6]</w:t>
      </w:r>
    </w:p>
    <w:p w:rsidR="006C5CB8" w:rsidRPr="00A11349" w:rsidRDefault="00507FDB" w:rsidP="00240CCD">
      <w:pPr>
        <w:pStyle w:val="Restitle"/>
      </w:pPr>
      <w:r w:rsidRPr="00A11349">
        <w:t xml:space="preserve">Participation of the Telecommunication Standardization Sector in the periodic review and </w:t>
      </w:r>
      <w:r w:rsidRPr="00240CCD">
        <w:t>revision</w:t>
      </w:r>
      <w:r w:rsidRPr="00A11349">
        <w:t xml:space="preserve"> of the International Telecommunication Regulations</w:t>
      </w:r>
    </w:p>
    <w:p w:rsidR="00507FDB" w:rsidRPr="00A11349" w:rsidRDefault="00507FDB" w:rsidP="00240CCD">
      <w:pPr>
        <w:pStyle w:val="Resref"/>
      </w:pPr>
      <w:r w:rsidRPr="00A11349">
        <w:t>(Hammamet, 2016)</w:t>
      </w:r>
    </w:p>
    <w:p w:rsidR="00507FDB" w:rsidRPr="00A11349" w:rsidRDefault="00507FDB" w:rsidP="00F11791">
      <w:pPr>
        <w:pStyle w:val="Normalaftertitle0"/>
      </w:pPr>
      <w:r w:rsidRPr="00A11349">
        <w:t>The World Telecommunication Standardization Assembly (</w:t>
      </w:r>
      <w:r w:rsidR="00FC3E4F" w:rsidRPr="00A11349">
        <w:t>Hammamet, 2016</w:t>
      </w:r>
      <w:r w:rsidRPr="00A11349">
        <w:t>),</w:t>
      </w:r>
    </w:p>
    <w:p w:rsidR="00507FDB" w:rsidRPr="00A11349" w:rsidRDefault="00FC3E4F" w:rsidP="00F11791">
      <w:pPr>
        <w:pStyle w:val="Call"/>
      </w:pPr>
      <w:proofErr w:type="gramStart"/>
      <w:r w:rsidRPr="00A11349">
        <w:t>recalling</w:t>
      </w:r>
      <w:proofErr w:type="gramEnd"/>
    </w:p>
    <w:p w:rsidR="00507FDB" w:rsidRPr="00A11349" w:rsidRDefault="00507FDB" w:rsidP="00F11791">
      <w:pPr>
        <w:rPr>
          <w:i/>
          <w:iCs/>
        </w:rPr>
      </w:pPr>
      <w:r w:rsidRPr="00A11349">
        <w:rPr>
          <w:i/>
          <w:iCs/>
        </w:rPr>
        <w:t>a)</w:t>
      </w:r>
      <w:r w:rsidRPr="00A11349">
        <w:tab/>
      </w:r>
      <w:r w:rsidR="00FC3E4F" w:rsidRPr="00A11349">
        <w:t xml:space="preserve">Article 25 of the </w:t>
      </w:r>
      <w:r w:rsidR="00903DCE" w:rsidRPr="00A11349">
        <w:t xml:space="preserve">ITU </w:t>
      </w:r>
      <w:r w:rsidR="00FC3E4F" w:rsidRPr="00A11349">
        <w:t>Constitution, on world conferences on international t</w:t>
      </w:r>
      <w:r w:rsidR="003675D1" w:rsidRPr="00A11349">
        <w:t>elecommunications</w:t>
      </w:r>
      <w:r w:rsidRPr="00A11349">
        <w:t>;</w:t>
      </w:r>
    </w:p>
    <w:p w:rsidR="00507FDB" w:rsidRPr="00A11349" w:rsidRDefault="00507FDB" w:rsidP="00F11791">
      <w:r w:rsidRPr="00A11349">
        <w:rPr>
          <w:i/>
          <w:iCs/>
        </w:rPr>
        <w:t>b)</w:t>
      </w:r>
      <w:r w:rsidRPr="00A11349">
        <w:tab/>
      </w:r>
      <w:r w:rsidR="00FC3E4F" w:rsidRPr="00A11349">
        <w:t xml:space="preserve">No. 48 of the </w:t>
      </w:r>
      <w:r w:rsidR="00903DCE" w:rsidRPr="00A11349">
        <w:t xml:space="preserve">ITU </w:t>
      </w:r>
      <w:r w:rsidR="00FC3E4F" w:rsidRPr="00A11349">
        <w:t>Convention, on other conferences and assemblies;</w:t>
      </w:r>
    </w:p>
    <w:p w:rsidR="00FC3E4F" w:rsidRPr="00A11349" w:rsidRDefault="00FC3E4F" w:rsidP="00F11791">
      <w:r w:rsidRPr="00A11349">
        <w:rPr>
          <w:i/>
          <w:iCs/>
        </w:rPr>
        <w:t>c)</w:t>
      </w:r>
      <w:r w:rsidRPr="00A11349">
        <w:tab/>
        <w:t>Resolution 146 (Rev. Busan, 2014) of the Plenipotentiary Conference, on periodic review and revision of the International Telecommunication Regulations</w:t>
      </w:r>
      <w:r w:rsidR="003675D1" w:rsidRPr="00A11349">
        <w:t xml:space="preserve"> (ITRs)</w:t>
      </w:r>
      <w:r w:rsidRPr="00A11349">
        <w:t>;</w:t>
      </w:r>
    </w:p>
    <w:p w:rsidR="00FC3E4F" w:rsidRPr="00A11349" w:rsidRDefault="00FC3E4F" w:rsidP="00F11791">
      <w:r w:rsidRPr="00A11349">
        <w:rPr>
          <w:i/>
          <w:iCs/>
        </w:rPr>
        <w:t>d)</w:t>
      </w:r>
      <w:r w:rsidRPr="00A11349">
        <w:tab/>
        <w:t>Resolution 4 (Dubai, 2012) of the World Conference on International Telecommunications</w:t>
      </w:r>
      <w:r w:rsidR="003675D1" w:rsidRPr="00A11349">
        <w:t xml:space="preserve"> (WCIT)</w:t>
      </w:r>
      <w:r w:rsidRPr="00A11349">
        <w:t xml:space="preserve">, on periodic review of the </w:t>
      </w:r>
      <w:r w:rsidR="00903DCE" w:rsidRPr="00A11349">
        <w:t>ITRs</w:t>
      </w:r>
      <w:r w:rsidR="00CA207A" w:rsidRPr="00A11349">
        <w:t>;</w:t>
      </w:r>
    </w:p>
    <w:p w:rsidR="00CA207A" w:rsidRPr="00A11349" w:rsidRDefault="00CA207A" w:rsidP="00F11791">
      <w:r w:rsidRPr="00A11349">
        <w:rPr>
          <w:i/>
          <w:iCs/>
        </w:rPr>
        <w:t>e)</w:t>
      </w:r>
      <w:r w:rsidRPr="00A11349">
        <w:tab/>
        <w:t>Council Resolution 1379, entitled Expert Group on the International Telecommunication Regulations (EG-ITRs),</w:t>
      </w:r>
    </w:p>
    <w:p w:rsidR="00507FDB" w:rsidRPr="00A11349" w:rsidRDefault="00507FDB" w:rsidP="00F11791">
      <w:pPr>
        <w:pStyle w:val="Call"/>
      </w:pPr>
      <w:proofErr w:type="gramStart"/>
      <w:r w:rsidRPr="00A11349">
        <w:t>recognizing</w:t>
      </w:r>
      <w:proofErr w:type="gramEnd"/>
    </w:p>
    <w:p w:rsidR="00507FDB" w:rsidRPr="00A11349" w:rsidRDefault="00CA207A" w:rsidP="00F11791">
      <w:proofErr w:type="gramStart"/>
      <w:r w:rsidRPr="00A11349">
        <w:t>that</w:t>
      </w:r>
      <w:proofErr w:type="gramEnd"/>
      <w:r w:rsidR="00507FDB" w:rsidRPr="00A11349">
        <w:t>,</w:t>
      </w:r>
      <w:r w:rsidRPr="00A11349">
        <w:t xml:space="preserve"> as </w:t>
      </w:r>
      <w:r w:rsidR="00B82D5F" w:rsidRPr="00A11349">
        <w:t xml:space="preserve">is </w:t>
      </w:r>
      <w:r w:rsidR="00903DCE" w:rsidRPr="00A11349">
        <w:t>stated</w:t>
      </w:r>
      <w:r w:rsidR="00B82D5F" w:rsidRPr="00A11349">
        <w:t xml:space="preserve"> in Resolution 146 (Rev. Busan, 2014), the ITU Telecommunication Standardization Sector </w:t>
      </w:r>
      <w:r w:rsidR="003675D1" w:rsidRPr="00A11349">
        <w:t xml:space="preserve">(ITU-T) </w:t>
      </w:r>
      <w:r w:rsidR="00B82D5F" w:rsidRPr="00A11349">
        <w:t xml:space="preserve">has most of the work relevant to the </w:t>
      </w:r>
      <w:r w:rsidR="00903DCE" w:rsidRPr="00A11349">
        <w:t>ITRs</w:t>
      </w:r>
      <w:r w:rsidR="00B82D5F" w:rsidRPr="00A11349">
        <w:t>,</w:t>
      </w:r>
    </w:p>
    <w:p w:rsidR="00507FDB" w:rsidRPr="00A11349" w:rsidRDefault="00507FDB" w:rsidP="00F11791">
      <w:pPr>
        <w:pStyle w:val="Call"/>
      </w:pPr>
      <w:proofErr w:type="gramStart"/>
      <w:r w:rsidRPr="00A11349">
        <w:t>considering</w:t>
      </w:r>
      <w:proofErr w:type="gramEnd"/>
    </w:p>
    <w:p w:rsidR="00B82D5F" w:rsidRPr="00A11349" w:rsidRDefault="00B82D5F" w:rsidP="00F11791">
      <w:pPr>
        <w:rPr>
          <w:i/>
          <w:iCs/>
        </w:rPr>
      </w:pPr>
      <w:r w:rsidRPr="00A11349">
        <w:rPr>
          <w:i/>
          <w:iCs/>
        </w:rPr>
        <w:t>a)</w:t>
      </w:r>
      <w:r w:rsidRPr="00A11349">
        <w:tab/>
      </w:r>
      <w:proofErr w:type="gramStart"/>
      <w:r w:rsidRPr="00A11349">
        <w:t>that</w:t>
      </w:r>
      <w:proofErr w:type="gramEnd"/>
      <w:r w:rsidRPr="00A11349">
        <w:t xml:space="preserve"> a number of the issues that arose during WCIT-12</w:t>
      </w:r>
      <w:r w:rsidR="003675D1" w:rsidRPr="00A11349">
        <w:t xml:space="preserve"> have been resolved in the course of the studies carried out by the ITU-T study groups since 2012;</w:t>
      </w:r>
    </w:p>
    <w:p w:rsidR="00B82D5F" w:rsidRPr="00A11349" w:rsidRDefault="00B82D5F" w:rsidP="00F11791">
      <w:r w:rsidRPr="00A11349">
        <w:rPr>
          <w:i/>
          <w:iCs/>
        </w:rPr>
        <w:t>b)</w:t>
      </w:r>
      <w:r w:rsidRPr="00A11349">
        <w:tab/>
      </w:r>
      <w:proofErr w:type="gramStart"/>
      <w:r w:rsidR="003675D1" w:rsidRPr="00A11349">
        <w:t>that</w:t>
      </w:r>
      <w:proofErr w:type="gramEnd"/>
      <w:r w:rsidR="003675D1" w:rsidRPr="00A11349">
        <w:t xml:space="preserve"> a number of countries have carried out a legal analysis of the ITR provisions;</w:t>
      </w:r>
    </w:p>
    <w:p w:rsidR="00B82D5F" w:rsidRPr="00A11349" w:rsidRDefault="00B82D5F" w:rsidP="00F11791">
      <w:r w:rsidRPr="00A11349">
        <w:rPr>
          <w:i/>
          <w:iCs/>
        </w:rPr>
        <w:t>c)</w:t>
      </w:r>
      <w:r w:rsidRPr="00A11349">
        <w:tab/>
      </w:r>
      <w:r w:rsidR="003675D1" w:rsidRPr="00A11349">
        <w:t>that ITU-T is playing an important role in resolving new and emerging issues, including those arising from the changing global international telecommunication/ICT environment</w:t>
      </w:r>
      <w:r w:rsidR="00C74666" w:rsidRPr="00A11349">
        <w:t>;</w:t>
      </w:r>
    </w:p>
    <w:p w:rsidR="00B82D5F" w:rsidRPr="00A11349" w:rsidRDefault="00B82D5F" w:rsidP="00F11791">
      <w:r w:rsidRPr="00A11349">
        <w:rPr>
          <w:i/>
          <w:iCs/>
        </w:rPr>
        <w:t>d)</w:t>
      </w:r>
      <w:r w:rsidRPr="00A11349">
        <w:tab/>
      </w:r>
      <w:r w:rsidR="00C74666" w:rsidRPr="00A11349">
        <w:t>that it is important to ensure that the ITRs are reviewed, revised and updated in a timely manner in order to facilitate cooperation and coordination among Member States and to reflect accurately the relations between Member States, Sector Members and other interested parties;</w:t>
      </w:r>
    </w:p>
    <w:p w:rsidR="00507FDB" w:rsidRPr="00A11349" w:rsidRDefault="00B82D5F" w:rsidP="00F11791">
      <w:r w:rsidRPr="00A11349">
        <w:rPr>
          <w:i/>
          <w:iCs/>
        </w:rPr>
        <w:t>e)</w:t>
      </w:r>
      <w:r w:rsidRPr="00A11349">
        <w:tab/>
      </w:r>
      <w:proofErr w:type="gramStart"/>
      <w:r w:rsidR="00C74666" w:rsidRPr="00A11349">
        <w:t>that</w:t>
      </w:r>
      <w:proofErr w:type="gramEnd"/>
      <w:r w:rsidR="00C74666" w:rsidRPr="00A11349">
        <w:t xml:space="preserve"> all Member States as well as ITU-T Sector Members should have the opportunity to contribute to further work on the ITRs;</w:t>
      </w:r>
    </w:p>
    <w:p w:rsidR="00C74666" w:rsidRPr="00A11349" w:rsidRDefault="00C74666" w:rsidP="00F11791">
      <w:r w:rsidRPr="00A11349">
        <w:rPr>
          <w:i/>
          <w:iCs/>
        </w:rPr>
        <w:t>f)</w:t>
      </w:r>
      <w:r w:rsidRPr="00A11349">
        <w:tab/>
        <w:t>that the Council, at its 2016 session, established the EG-ITRs</w:t>
      </w:r>
      <w:r w:rsidR="00C36CBB" w:rsidRPr="00A11349">
        <w:t xml:space="preserve"> and instructed it to prepare and submit to the 2018 Plenipotentiary Conference a report setting out the results of its work, taking account of proposals made by Member States and Sector Members and of recommendations made by the </w:t>
      </w:r>
      <w:r w:rsidR="00C44BE9" w:rsidRPr="00A11349">
        <w:t xml:space="preserve">ITU </w:t>
      </w:r>
      <w:r w:rsidR="00C36CBB" w:rsidRPr="00A11349">
        <w:t>Sector advisory groups and submitted to the Directors of the corresponding Bureaux,</w:t>
      </w:r>
    </w:p>
    <w:p w:rsidR="00507FDB" w:rsidRPr="00A11349" w:rsidRDefault="00507FDB" w:rsidP="00F11791">
      <w:pPr>
        <w:pStyle w:val="Call"/>
      </w:pPr>
      <w:proofErr w:type="gramStart"/>
      <w:r w:rsidRPr="00A11349">
        <w:t>resolves</w:t>
      </w:r>
      <w:proofErr w:type="gramEnd"/>
      <w:r w:rsidRPr="00A11349">
        <w:t xml:space="preserve"> to </w:t>
      </w:r>
      <w:r w:rsidR="00C36CBB" w:rsidRPr="00A11349">
        <w:t>instruct the Telecommunication Standardization Advisory Group</w:t>
      </w:r>
    </w:p>
    <w:p w:rsidR="00C36CBB" w:rsidRPr="00A11349" w:rsidRDefault="00C36CBB" w:rsidP="00F11791">
      <w:r w:rsidRPr="00A11349">
        <w:t>1</w:t>
      </w:r>
      <w:r w:rsidRPr="00A11349">
        <w:tab/>
        <w:t>to</w:t>
      </w:r>
      <w:r w:rsidR="00192A53" w:rsidRPr="00A11349">
        <w:t xml:space="preserve"> examine proposals prepared by the study groups, within their respective areas of responsibility, relating to the 2012 ITRs;</w:t>
      </w:r>
    </w:p>
    <w:p w:rsidR="00C36CBB" w:rsidRPr="00A11349" w:rsidRDefault="00C36CBB" w:rsidP="00F11791">
      <w:r w:rsidRPr="00A11349">
        <w:t>2</w:t>
      </w:r>
      <w:r w:rsidRPr="00A11349">
        <w:tab/>
        <w:t>to</w:t>
      </w:r>
      <w:r w:rsidR="00123D25" w:rsidRPr="00A11349">
        <w:t xml:space="preserve"> submit to EG-ITRs, for consideration, its recommendations concerning the ITRs;</w:t>
      </w:r>
    </w:p>
    <w:p w:rsidR="00C36CBB" w:rsidRPr="00A11349" w:rsidRDefault="00C36CBB" w:rsidP="00F11791">
      <w:r w:rsidRPr="00A11349">
        <w:t>3</w:t>
      </w:r>
      <w:r w:rsidRPr="00A11349">
        <w:tab/>
        <w:t>to</w:t>
      </w:r>
      <w:r w:rsidR="00123D25" w:rsidRPr="00A11349">
        <w:t xml:space="preserve"> pursue its work with respect to the ITRs in accordance with the decisions taken in that regard by the 2018 Plenipotentiary Conference,</w:t>
      </w:r>
    </w:p>
    <w:p w:rsidR="00123D25" w:rsidRPr="00A11349" w:rsidRDefault="00123D25" w:rsidP="00F11791">
      <w:pPr>
        <w:pStyle w:val="Call"/>
      </w:pPr>
      <w:proofErr w:type="gramStart"/>
      <w:r w:rsidRPr="00A11349">
        <w:t>instructs</w:t>
      </w:r>
      <w:proofErr w:type="gramEnd"/>
      <w:r w:rsidRPr="00A11349">
        <w:t xml:space="preserve"> the Director of the Telecommunication Standardization Bureau</w:t>
      </w:r>
    </w:p>
    <w:p w:rsidR="00123D25" w:rsidRPr="00A11349" w:rsidRDefault="00123D25" w:rsidP="00F11791">
      <w:r w:rsidRPr="00A11349">
        <w:t>1</w:t>
      </w:r>
      <w:r w:rsidRPr="00A11349">
        <w:tab/>
      </w:r>
      <w:r w:rsidR="00EA536A" w:rsidRPr="00A11349">
        <w:t>in collaboration with the Chairman of the Telecommunication Standardization Advisory Group</w:t>
      </w:r>
      <w:r w:rsidR="00701225" w:rsidRPr="00A11349">
        <w:t xml:space="preserve"> (TSAG)</w:t>
      </w:r>
      <w:r w:rsidR="00EA536A" w:rsidRPr="00A11349">
        <w:t>, to hold consultations with the chairmen of the study groups in order to identify th</w:t>
      </w:r>
      <w:r w:rsidR="00245A5B" w:rsidRPr="00A11349">
        <w:t>e</w:t>
      </w:r>
      <w:r w:rsidR="00EA536A" w:rsidRPr="00A11349">
        <w:t xml:space="preserve"> study groups to be responsible for examining the articles of the 2012 ITRs, in </w:t>
      </w:r>
      <w:r w:rsidR="00245A5B" w:rsidRPr="00A11349">
        <w:t>line</w:t>
      </w:r>
      <w:r w:rsidR="00EA536A" w:rsidRPr="00A11349">
        <w:t xml:space="preserve"> with the scope of activity of the </w:t>
      </w:r>
      <w:r w:rsidR="00245A5B" w:rsidRPr="00A11349">
        <w:t xml:space="preserve">ITU-T study groups, and to publish the </w:t>
      </w:r>
      <w:r w:rsidR="001F40E0" w:rsidRPr="00A11349">
        <w:t xml:space="preserve">assignment of </w:t>
      </w:r>
      <w:r w:rsidR="004A74D9" w:rsidRPr="00A11349">
        <w:t>responsibilities</w:t>
      </w:r>
      <w:r w:rsidR="001F40E0" w:rsidRPr="00A11349">
        <w:t xml:space="preserve"> in a circular letter;</w:t>
      </w:r>
    </w:p>
    <w:p w:rsidR="00123D25" w:rsidRPr="00A11349" w:rsidRDefault="00123D25" w:rsidP="00F11791">
      <w:r w:rsidRPr="00A11349">
        <w:t>2</w:t>
      </w:r>
      <w:r w:rsidRPr="00A11349">
        <w:tab/>
      </w:r>
      <w:r w:rsidR="00701225" w:rsidRPr="00A11349">
        <w:t xml:space="preserve">on the basis of the recommendations elaborated by TSAG </w:t>
      </w:r>
      <w:r w:rsidR="00602926" w:rsidRPr="00A11349">
        <w:t>further to</w:t>
      </w:r>
      <w:r w:rsidR="00701225" w:rsidRPr="00A11349">
        <w:t xml:space="preserve"> the ITU-T study group proposals, </w:t>
      </w:r>
      <w:r w:rsidR="00C44BE9" w:rsidRPr="00A11349">
        <w:t xml:space="preserve">to </w:t>
      </w:r>
      <w:r w:rsidR="00701225" w:rsidRPr="00A11349">
        <w:t>prepare and submit for consideration by EG-ITRs and other working bodies</w:t>
      </w:r>
      <w:r w:rsidR="00602926" w:rsidRPr="00A11349">
        <w:t xml:space="preserve"> (as may be decided by the 2018 Plenipotentiary Conference) its proposals with respect to the ITRs;</w:t>
      </w:r>
    </w:p>
    <w:p w:rsidR="00123D25" w:rsidRPr="00A11349" w:rsidRDefault="00123D25" w:rsidP="00F11791">
      <w:r w:rsidRPr="00A11349">
        <w:t>3</w:t>
      </w:r>
      <w:r w:rsidRPr="00A11349">
        <w:tab/>
      </w:r>
      <w:r w:rsidR="003A4086" w:rsidRPr="00A11349">
        <w:t>in the event that a meeting of TSAG is not due to be held ahead of the final meeting of EG-ITRs, to prepare and submit to EG-ITRs, for its consideration, the ITU-T study group proposals elaborated since the last meeting of TSAG, and transmit the text to the EG-ITRs meeting,</w:t>
      </w:r>
    </w:p>
    <w:p w:rsidR="003A4086" w:rsidRPr="00A11349" w:rsidRDefault="003A4086" w:rsidP="00F11791">
      <w:pPr>
        <w:pStyle w:val="Call"/>
      </w:pPr>
      <w:proofErr w:type="gramStart"/>
      <w:r w:rsidRPr="00A11349">
        <w:t>invites</w:t>
      </w:r>
      <w:proofErr w:type="gramEnd"/>
      <w:r w:rsidRPr="00A11349">
        <w:t xml:space="preserve"> the study groups</w:t>
      </w:r>
    </w:p>
    <w:p w:rsidR="003A4086" w:rsidRPr="00A11349" w:rsidRDefault="00F06953" w:rsidP="00F11791">
      <w:proofErr w:type="gramStart"/>
      <w:r w:rsidRPr="00A11349">
        <w:t>each</w:t>
      </w:r>
      <w:proofErr w:type="gramEnd"/>
      <w:r w:rsidRPr="00A11349">
        <w:t xml:space="preserve"> within its field of competence to prepare and submit for consideration by TSAG their proposals relating to the 2012 ITRs,</w:t>
      </w:r>
    </w:p>
    <w:p w:rsidR="00F06953" w:rsidRPr="00A11349" w:rsidRDefault="00F06953" w:rsidP="00F11791">
      <w:pPr>
        <w:pStyle w:val="Call"/>
      </w:pPr>
      <w:proofErr w:type="gramStart"/>
      <w:r w:rsidRPr="00A11349">
        <w:t>invites</w:t>
      </w:r>
      <w:proofErr w:type="gramEnd"/>
      <w:r w:rsidRPr="00A11349">
        <w:t xml:space="preserve"> Member States and Sector Members</w:t>
      </w:r>
    </w:p>
    <w:p w:rsidR="00F06953" w:rsidRPr="00A11349" w:rsidRDefault="00F06953" w:rsidP="00F11791">
      <w:proofErr w:type="gramStart"/>
      <w:r w:rsidRPr="00A11349">
        <w:t>to</w:t>
      </w:r>
      <w:proofErr w:type="gramEnd"/>
      <w:r w:rsidRPr="00A11349">
        <w:t xml:space="preserve"> submit for consideration by the relevant ITU-T study groups, within the scope of their activity, and to TSAG, proposals relating to the 2012 ITRs, </w:t>
      </w:r>
      <w:r w:rsidR="00177FA5" w:rsidRPr="00A11349">
        <w:t>taking into account:</w:t>
      </w:r>
    </w:p>
    <w:p w:rsidR="00177FA5" w:rsidRPr="00A11349" w:rsidRDefault="00177FA5" w:rsidP="00F11791">
      <w:pPr>
        <w:pStyle w:val="enumlev1"/>
      </w:pPr>
      <w:r w:rsidRPr="00A11349">
        <w:t>a)</w:t>
      </w:r>
      <w:r w:rsidRPr="00A11349">
        <w:tab/>
      </w:r>
      <w:proofErr w:type="gramStart"/>
      <w:r w:rsidRPr="00A11349">
        <w:t>new</w:t>
      </w:r>
      <w:proofErr w:type="gramEnd"/>
      <w:r w:rsidRPr="00A11349">
        <w:t xml:space="preserve"> trends </w:t>
      </w:r>
      <w:r w:rsidR="007E56BF" w:rsidRPr="00A11349">
        <w:t>in the telecommunication/ICT sphere;</w:t>
      </w:r>
    </w:p>
    <w:p w:rsidR="007E56BF" w:rsidRPr="00A11349" w:rsidRDefault="007E56BF" w:rsidP="00F11791">
      <w:pPr>
        <w:pStyle w:val="enumlev1"/>
      </w:pPr>
      <w:r w:rsidRPr="00A11349">
        <w:t>b)</w:t>
      </w:r>
      <w:r w:rsidRPr="00A11349">
        <w:tab/>
      </w:r>
      <w:proofErr w:type="gramStart"/>
      <w:r w:rsidRPr="00A11349">
        <w:t>issues</w:t>
      </w:r>
      <w:proofErr w:type="gramEnd"/>
      <w:r w:rsidRPr="00A11349">
        <w:t xml:space="preserve"> and obstacles arising from implementation of the 2012 ITRs;</w:t>
      </w:r>
    </w:p>
    <w:p w:rsidR="007E56BF" w:rsidRPr="00A11349" w:rsidRDefault="007E56BF" w:rsidP="00F11791">
      <w:pPr>
        <w:pStyle w:val="enumlev1"/>
      </w:pPr>
      <w:r w:rsidRPr="00A11349">
        <w:t>c)</w:t>
      </w:r>
      <w:r w:rsidRPr="00A11349">
        <w:tab/>
      </w:r>
      <w:proofErr w:type="gramStart"/>
      <w:r w:rsidRPr="00A11349">
        <w:t>proposals</w:t>
      </w:r>
      <w:proofErr w:type="gramEnd"/>
      <w:r w:rsidRPr="00A11349">
        <w:t xml:space="preserve"> for resolving the issues which prevented Member States from signing and/or acceding to the 2012 ITRs.</w:t>
      </w:r>
    </w:p>
    <w:p w:rsidR="00F11791" w:rsidRPr="00A11349" w:rsidRDefault="00F11791" w:rsidP="0032202E">
      <w:pPr>
        <w:pStyle w:val="Reasons"/>
      </w:pPr>
    </w:p>
    <w:p w:rsidR="00F11791" w:rsidRPr="00A11349" w:rsidRDefault="00F11791">
      <w:pPr>
        <w:jc w:val="center"/>
      </w:pPr>
      <w:r w:rsidRPr="00A11349">
        <w:t>______________</w:t>
      </w:r>
    </w:p>
    <w:sectPr w:rsidR="00F11791" w:rsidRPr="00A11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C369D9" w:rsidRDefault="00E45D05">
    <w:pPr>
      <w:ind w:right="360"/>
      <w:rPr>
        <w:lang w:val="fr-CH"/>
      </w:rPr>
    </w:pPr>
    <w:r>
      <w:fldChar w:fldCharType="begin"/>
    </w:r>
    <w:r w:rsidRPr="00C369D9">
      <w:rPr>
        <w:lang w:val="fr-CH"/>
      </w:rPr>
      <w:instrText xml:space="preserve"> FILENAME \p  \* MERGEFORMAT </w:instrText>
    </w:r>
    <w:r>
      <w:fldChar w:fldCharType="separate"/>
    </w:r>
    <w:r w:rsidR="00054175">
      <w:rPr>
        <w:noProof/>
        <w:lang w:val="fr-CH"/>
      </w:rPr>
      <w:t>P:\ENG\ITU-T\CONF-T\WTSA16\000\047ADD25E.docx</w:t>
    </w:r>
    <w:r>
      <w:fldChar w:fldCharType="end"/>
    </w:r>
    <w:r w:rsidRPr="00C369D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29E8">
      <w:rPr>
        <w:noProof/>
      </w:rPr>
      <w:t>17.10.16</w:t>
    </w:r>
    <w:r>
      <w:fldChar w:fldCharType="end"/>
    </w:r>
    <w:r w:rsidRPr="00C369D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175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C369D9" w:rsidRDefault="00C72D5C" w:rsidP="00E94DBA">
    <w:pPr>
      <w:pStyle w:val="Footer"/>
      <w:rPr>
        <w:lang w:val="fr-CH"/>
      </w:rPr>
    </w:pPr>
    <w:r>
      <w:fldChar w:fldCharType="begin"/>
    </w:r>
    <w:r w:rsidRPr="00C369D9">
      <w:rPr>
        <w:lang w:val="fr-CH"/>
      </w:rPr>
      <w:instrText xml:space="preserve"> FILENAME \p  \* MERGEFORMAT </w:instrText>
    </w:r>
    <w:r>
      <w:fldChar w:fldCharType="separate"/>
    </w:r>
    <w:r w:rsidR="00054175">
      <w:rPr>
        <w:lang w:val="fr-CH"/>
      </w:rPr>
      <w:t>P:\ENG\ITU-T\CONF-T\WTSA16\000\047ADD25E.docx</w:t>
    </w:r>
    <w:r>
      <w:fldChar w:fldCharType="end"/>
    </w:r>
    <w:r w:rsidR="0026258D" w:rsidRPr="0026258D">
      <w:rPr>
        <w:lang w:val="fr-CH"/>
      </w:rPr>
      <w:t xml:space="preserve"> </w:t>
    </w:r>
    <w:r w:rsidR="0026258D">
      <w:rPr>
        <w:lang w:val="fr-CH"/>
      </w:rPr>
      <w:t>(</w:t>
    </w:r>
    <w:r w:rsidR="0026258D" w:rsidRPr="0026258D">
      <w:rPr>
        <w:lang w:val="fr-CH"/>
      </w:rPr>
      <w:t>405634)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4E4" w:rsidRPr="00C369D9" w:rsidRDefault="003867FE" w:rsidP="00C94434">
    <w:pPr>
      <w:pStyle w:val="Footer"/>
      <w:rPr>
        <w:lang w:val="fr-CH"/>
      </w:rPr>
    </w:pPr>
    <w:r>
      <w:fldChar w:fldCharType="begin"/>
    </w:r>
    <w:r w:rsidRPr="00C369D9">
      <w:rPr>
        <w:lang w:val="fr-CH"/>
      </w:rPr>
      <w:instrText xml:space="preserve"> FILENAME \p  \* MERGEFORMAT </w:instrText>
    </w:r>
    <w:r>
      <w:fldChar w:fldCharType="separate"/>
    </w:r>
    <w:r w:rsidR="00054175">
      <w:rPr>
        <w:lang w:val="fr-CH"/>
      </w:rPr>
      <w:t>P:\ENG\ITU-T\CONF-T\WTSA16\000\047ADD25E.docx</w:t>
    </w:r>
    <w:r>
      <w:fldChar w:fldCharType="end"/>
    </w:r>
    <w:r w:rsidR="005574E4" w:rsidRPr="00C369D9">
      <w:rPr>
        <w:lang w:val="fr-CH"/>
      </w:rPr>
      <w:t xml:space="preserve"> (405634)</w:t>
    </w:r>
    <w:r w:rsidR="00C94434" w:rsidRPr="00C369D9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34" w:rsidRDefault="00C94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029E8">
      <w:rPr>
        <w:noProof/>
      </w:rPr>
      <w:t>5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47(Add.25)-E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34" w:rsidRDefault="00C9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35C65"/>
    <w:rsid w:val="00046A75"/>
    <w:rsid w:val="00051E39"/>
    <w:rsid w:val="00054175"/>
    <w:rsid w:val="00063D0B"/>
    <w:rsid w:val="000719E6"/>
    <w:rsid w:val="00077239"/>
    <w:rsid w:val="000807E9"/>
    <w:rsid w:val="00086491"/>
    <w:rsid w:val="00091346"/>
    <w:rsid w:val="0009706C"/>
    <w:rsid w:val="000A1D32"/>
    <w:rsid w:val="000F73FF"/>
    <w:rsid w:val="00114CF7"/>
    <w:rsid w:val="00120D26"/>
    <w:rsid w:val="00123B68"/>
    <w:rsid w:val="00123D25"/>
    <w:rsid w:val="00126F2E"/>
    <w:rsid w:val="001301F4"/>
    <w:rsid w:val="00130789"/>
    <w:rsid w:val="00131E6D"/>
    <w:rsid w:val="00137CF6"/>
    <w:rsid w:val="00146F6F"/>
    <w:rsid w:val="00161472"/>
    <w:rsid w:val="0017074E"/>
    <w:rsid w:val="00177FA5"/>
    <w:rsid w:val="00182117"/>
    <w:rsid w:val="00187BD9"/>
    <w:rsid w:val="00190B55"/>
    <w:rsid w:val="00192A53"/>
    <w:rsid w:val="001B0F0A"/>
    <w:rsid w:val="001C3B5F"/>
    <w:rsid w:val="001D058F"/>
    <w:rsid w:val="001E6F73"/>
    <w:rsid w:val="001F40E0"/>
    <w:rsid w:val="002009EA"/>
    <w:rsid w:val="00202CA0"/>
    <w:rsid w:val="00216B6D"/>
    <w:rsid w:val="00236EBA"/>
    <w:rsid w:val="00240CCD"/>
    <w:rsid w:val="00245127"/>
    <w:rsid w:val="00245A5B"/>
    <w:rsid w:val="00250AF4"/>
    <w:rsid w:val="00260B50"/>
    <w:rsid w:val="0026258D"/>
    <w:rsid w:val="00263BE8"/>
    <w:rsid w:val="00271316"/>
    <w:rsid w:val="00290F83"/>
    <w:rsid w:val="002957A7"/>
    <w:rsid w:val="002A1D23"/>
    <w:rsid w:val="002A4751"/>
    <w:rsid w:val="002A5392"/>
    <w:rsid w:val="002B100E"/>
    <w:rsid w:val="002D58BE"/>
    <w:rsid w:val="00316B80"/>
    <w:rsid w:val="003251EA"/>
    <w:rsid w:val="0034635C"/>
    <w:rsid w:val="00360A30"/>
    <w:rsid w:val="003662B1"/>
    <w:rsid w:val="003675D1"/>
    <w:rsid w:val="00377BD3"/>
    <w:rsid w:val="00384088"/>
    <w:rsid w:val="003867FE"/>
    <w:rsid w:val="0039169B"/>
    <w:rsid w:val="00394470"/>
    <w:rsid w:val="003A4086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7608A"/>
    <w:rsid w:val="00492075"/>
    <w:rsid w:val="004969AD"/>
    <w:rsid w:val="004A26C4"/>
    <w:rsid w:val="004A74D9"/>
    <w:rsid w:val="004B13CB"/>
    <w:rsid w:val="004B4AAE"/>
    <w:rsid w:val="004C6FBE"/>
    <w:rsid w:val="004D5D5C"/>
    <w:rsid w:val="004D6DFC"/>
    <w:rsid w:val="0050139F"/>
    <w:rsid w:val="00505562"/>
    <w:rsid w:val="00506AD2"/>
    <w:rsid w:val="00507FDB"/>
    <w:rsid w:val="0055140B"/>
    <w:rsid w:val="00553247"/>
    <w:rsid w:val="005574E4"/>
    <w:rsid w:val="0056747D"/>
    <w:rsid w:val="00581B01"/>
    <w:rsid w:val="00595780"/>
    <w:rsid w:val="005964AB"/>
    <w:rsid w:val="005B6133"/>
    <w:rsid w:val="005C099A"/>
    <w:rsid w:val="005C31A5"/>
    <w:rsid w:val="005E10C9"/>
    <w:rsid w:val="005E61DD"/>
    <w:rsid w:val="006023DF"/>
    <w:rsid w:val="00602926"/>
    <w:rsid w:val="00602F64"/>
    <w:rsid w:val="00623F15"/>
    <w:rsid w:val="00643684"/>
    <w:rsid w:val="00657DE0"/>
    <w:rsid w:val="00664795"/>
    <w:rsid w:val="0067500B"/>
    <w:rsid w:val="006763BF"/>
    <w:rsid w:val="00685313"/>
    <w:rsid w:val="00692833"/>
    <w:rsid w:val="006A6E9B"/>
    <w:rsid w:val="006A72A4"/>
    <w:rsid w:val="006B7C2A"/>
    <w:rsid w:val="006C23DA"/>
    <w:rsid w:val="006C5CB8"/>
    <w:rsid w:val="006E3D45"/>
    <w:rsid w:val="006E6EE0"/>
    <w:rsid w:val="00700547"/>
    <w:rsid w:val="00701225"/>
    <w:rsid w:val="007029E8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56BF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03DCE"/>
    <w:rsid w:val="009056EC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1349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73B94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82D5F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369D9"/>
    <w:rsid w:val="00C36CBB"/>
    <w:rsid w:val="00C44BE9"/>
    <w:rsid w:val="00C479FD"/>
    <w:rsid w:val="00C54517"/>
    <w:rsid w:val="00C64CD8"/>
    <w:rsid w:val="00C72D5C"/>
    <w:rsid w:val="00C74666"/>
    <w:rsid w:val="00C77E1A"/>
    <w:rsid w:val="00C94434"/>
    <w:rsid w:val="00C97C68"/>
    <w:rsid w:val="00CA1A47"/>
    <w:rsid w:val="00CA207A"/>
    <w:rsid w:val="00CA449F"/>
    <w:rsid w:val="00CC247A"/>
    <w:rsid w:val="00CD7CC4"/>
    <w:rsid w:val="00CE388F"/>
    <w:rsid w:val="00CE5E47"/>
    <w:rsid w:val="00CF020F"/>
    <w:rsid w:val="00CF1E9D"/>
    <w:rsid w:val="00CF2692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D7E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A536A"/>
    <w:rsid w:val="00EB55C6"/>
    <w:rsid w:val="00EC169D"/>
    <w:rsid w:val="00EC7F04"/>
    <w:rsid w:val="00ED30BC"/>
    <w:rsid w:val="00F00DDC"/>
    <w:rsid w:val="00F019F8"/>
    <w:rsid w:val="00F02766"/>
    <w:rsid w:val="00F05BD4"/>
    <w:rsid w:val="00F06953"/>
    <w:rsid w:val="00F11791"/>
    <w:rsid w:val="00F2404A"/>
    <w:rsid w:val="00F35D17"/>
    <w:rsid w:val="00F60D05"/>
    <w:rsid w:val="00F6155B"/>
    <w:rsid w:val="00F65C19"/>
    <w:rsid w:val="00F7356B"/>
    <w:rsid w:val="00F80977"/>
    <w:rsid w:val="00F83F75"/>
    <w:rsid w:val="00FA13F3"/>
    <w:rsid w:val="00FC3E4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9e7615-daea-4ff9-b5a1-452aea80db81" targetNamespace="http://schemas.microsoft.com/office/2006/metadata/properties" ma:root="true" ma:fieldsID="d41af5c836d734370eb92e7ee5f83852" ns2:_="" ns3:_="">
    <xsd:import namespace="996b2e75-67fd-4955-a3b0-5ab9934cb50b"/>
    <xsd:import namespace="a49e7615-daea-4ff9-b5a1-452aea80db8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e7615-daea-4ff9-b5a1-452aea80db8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9e7615-daea-4ff9-b5a1-452aea80db81" xsi:nil="true"/>
    <DPM_x0020_File_x0020_name xmlns="a49e7615-daea-4ff9-b5a1-452aea80db81" xsi:nil="true"/>
    <DPM_x0020_Version xmlns="a49e7615-daea-4ff9-b5a1-452aea80db81" xsi:nil="true"/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9e7615-daea-4ff9-b5a1-452aea80d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a49e7615-daea-4ff9-b5a1-452aea80db8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1340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T13-WTSA.16-C-0047!A25!MSW-E</vt:lpstr>
    </vt:vector>
  </TitlesOfParts>
  <Manager>General Secretariat - Pool</Manager>
  <Company>International Telecommunication Union (ITU)</Company>
  <LinksUpToDate>false</LinksUpToDate>
  <CharactersWithSpaces>9147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T13-WTSA.16-C-0047!A25!MSW-E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Janin</cp:lastModifiedBy>
  <cp:revision>4</cp:revision>
  <cp:lastPrinted>2016-10-10T07:43:00Z</cp:lastPrinted>
  <dcterms:created xsi:type="dcterms:W3CDTF">2016-10-17T16:51:00Z</dcterms:created>
  <dcterms:modified xsi:type="dcterms:W3CDTF">2016-10-18T06:09:00Z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