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6962A9" w:rsidRDefault="0022345D" w:rsidP="006962A9">
            <w:pPr>
              <w:pStyle w:val="Adress"/>
              <w:framePr w:hSpace="0" w:wrap="auto" w:xAlign="left" w:yAlign="inline"/>
              <w:rPr>
                <w:rtl/>
              </w:rPr>
            </w:pPr>
            <w:r w:rsidRPr="006962A9">
              <w:rPr>
                <w:rtl/>
              </w:rPr>
              <w:t xml:space="preserve">الإضافة </w:t>
            </w:r>
            <w:r w:rsidRPr="006962A9">
              <w:t>24</w:t>
            </w:r>
            <w:r w:rsidRPr="006962A9">
              <w:br/>
            </w:r>
            <w:r w:rsidRPr="006962A9">
              <w:rPr>
                <w:rtl/>
              </w:rPr>
              <w:t xml:space="preserve">للوثيقة </w:t>
            </w:r>
            <w:r w:rsidRPr="006962A9">
              <w:t>47-</w:t>
            </w:r>
            <w:r w:rsidR="006962A9" w:rsidRPr="006962A9">
              <w:t>A</w:t>
            </w:r>
          </w:p>
        </w:tc>
      </w:tr>
      <w:tr w:rsidR="0022345D" w:rsidRPr="00E07379" w:rsidTr="00A25A43">
        <w:trPr>
          <w:cantSplit/>
          <w:jc w:val="right"/>
        </w:trPr>
        <w:tc>
          <w:tcPr>
            <w:tcW w:w="3428" w:type="pct"/>
            <w:gridSpan w:val="2"/>
          </w:tcPr>
          <w:p w:rsidR="0022345D" w:rsidRPr="00BD6EF3" w:rsidRDefault="0022345D" w:rsidP="00A25A43">
            <w:pPr>
              <w:pStyle w:val="Adress"/>
              <w:framePr w:hSpace="0" w:wrap="auto" w:xAlign="left" w:yAlign="inline"/>
              <w:rPr>
                <w:rtl/>
              </w:rPr>
            </w:pPr>
          </w:p>
        </w:tc>
        <w:tc>
          <w:tcPr>
            <w:tcW w:w="1572" w:type="pct"/>
            <w:gridSpan w:val="2"/>
            <w:vAlign w:val="center"/>
          </w:tcPr>
          <w:p w:rsidR="0022345D" w:rsidRPr="006962A9" w:rsidRDefault="0022345D" w:rsidP="00A25A43">
            <w:pPr>
              <w:pStyle w:val="Adress"/>
              <w:framePr w:hSpace="0" w:wrap="auto" w:xAlign="left" w:yAlign="inline"/>
              <w:rPr>
                <w:rtl/>
              </w:rPr>
            </w:pPr>
            <w:r w:rsidRPr="006962A9">
              <w:rPr>
                <w:rFonts w:eastAsia="SimSun"/>
              </w:rPr>
              <w:t>27</w:t>
            </w:r>
            <w:r w:rsidRPr="006962A9">
              <w:rPr>
                <w:rFonts w:eastAsia="SimSun"/>
                <w:rtl/>
              </w:rPr>
              <w:t xml:space="preserve"> سبتمبر </w:t>
            </w:r>
            <w:r w:rsidRPr="006962A9">
              <w:rPr>
                <w:rFonts w:eastAsia="SimSun"/>
              </w:rPr>
              <w:t>2016</w:t>
            </w:r>
          </w:p>
        </w:tc>
      </w:tr>
      <w:tr w:rsidR="0022345D" w:rsidRPr="00E07379" w:rsidTr="00A25A43">
        <w:trPr>
          <w:cantSplit/>
          <w:jc w:val="right"/>
        </w:trPr>
        <w:tc>
          <w:tcPr>
            <w:tcW w:w="3428" w:type="pct"/>
            <w:gridSpan w:val="2"/>
          </w:tcPr>
          <w:p w:rsidR="0022345D" w:rsidRDefault="0022345D" w:rsidP="00A25A43">
            <w:pPr>
              <w:pStyle w:val="Adress"/>
              <w:framePr w:hSpace="0" w:wrap="auto" w:xAlign="left" w:yAlign="inline"/>
            </w:pPr>
          </w:p>
        </w:tc>
        <w:tc>
          <w:tcPr>
            <w:tcW w:w="1572" w:type="pct"/>
            <w:gridSpan w:val="2"/>
            <w:vAlign w:val="center"/>
          </w:tcPr>
          <w:p w:rsidR="0022345D" w:rsidRPr="00BD6EF3" w:rsidRDefault="0022345D" w:rsidP="00A25A43">
            <w:pPr>
              <w:pStyle w:val="Adress"/>
              <w:framePr w:hSpace="0" w:wrap="auto" w:xAlign="left" w:yAlign="inline"/>
              <w:rPr>
                <w:rFonts w:eastAsia="SimSun" w:hint="eastAsia"/>
              </w:rPr>
            </w:pPr>
            <w:r w:rsidRPr="008204AC">
              <w:rPr>
                <w:rFonts w:eastAsia="SimSun"/>
                <w:rtl/>
              </w:rPr>
              <w:t>الأصل: بالروسية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34A77">
            <w:pPr>
              <w:pStyle w:val="Source"/>
            </w:pPr>
            <w:r w:rsidRPr="008204AC">
              <w:rPr>
                <w:rtl/>
              </w:rPr>
              <w:t>الدول الأعضاء في الات‍حاد الدولي للاتصالات، الأعضاء في الكومنولث الإقليمي في</w:t>
            </w:r>
            <w:r w:rsidR="000629D5">
              <w:rPr>
                <w:rFonts w:hint="cs"/>
                <w:rtl/>
              </w:rPr>
              <w:t> </w:t>
            </w:r>
            <w:r w:rsidRPr="008204AC">
              <w:rPr>
                <w:rtl/>
              </w:rPr>
              <w:t>م‍جال الاتصالات </w:t>
            </w:r>
            <w:r w:rsidR="006962A9">
              <w:t>(RCC)</w:t>
            </w:r>
          </w:p>
        </w:tc>
      </w:tr>
      <w:tr w:rsidR="0022345D" w:rsidRPr="00E07379" w:rsidTr="00CC43BE">
        <w:trPr>
          <w:cantSplit/>
          <w:trHeight w:val="567"/>
          <w:jc w:val="right"/>
        </w:trPr>
        <w:tc>
          <w:tcPr>
            <w:tcW w:w="5000" w:type="pct"/>
            <w:gridSpan w:val="4"/>
          </w:tcPr>
          <w:p w:rsidR="0022345D" w:rsidRPr="00BD6EF3" w:rsidRDefault="006020D7" w:rsidP="00A25A43">
            <w:pPr>
              <w:pStyle w:val="Title1"/>
              <w:spacing w:before="240"/>
            </w:pPr>
            <w:r>
              <w:rPr>
                <w:rFonts w:hint="cs"/>
                <w:rtl/>
              </w:rPr>
              <w:t xml:space="preserve">مشروع مراجعة التوصية </w:t>
            </w:r>
            <w:r>
              <w:t>ITU-T A.12</w:t>
            </w:r>
          </w:p>
        </w:tc>
      </w:tr>
      <w:tr w:rsidR="0022345D" w:rsidRPr="00E07379" w:rsidTr="00CC43BE">
        <w:trPr>
          <w:cantSplit/>
          <w:trHeight w:val="844"/>
          <w:jc w:val="right"/>
        </w:trPr>
        <w:tc>
          <w:tcPr>
            <w:tcW w:w="5000" w:type="pct"/>
            <w:gridSpan w:val="4"/>
          </w:tcPr>
          <w:p w:rsidR="0022345D" w:rsidRPr="00BD6EF3" w:rsidRDefault="00A34A77" w:rsidP="00A34A77">
            <w:pPr>
              <w:pStyle w:val="Title2"/>
              <w:rPr>
                <w:rtl/>
              </w:rPr>
            </w:pPr>
            <w:r w:rsidRPr="00A34A77">
              <w:rPr>
                <w:rFonts w:hint="cs"/>
                <w:rtl/>
                <w:lang w:bidi="ar-SA"/>
              </w:rPr>
              <w:t>تعريف التوصيات الصادرة عن قطاع تقييس الاتصالات وتنسيقها</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tbl>
      <w:tblPr>
        <w:tblW w:w="4961" w:type="pct"/>
        <w:jc w:val="right"/>
        <w:tblLayout w:type="fixed"/>
        <w:tblLook w:val="0000" w:firstRow="0" w:lastRow="0" w:firstColumn="0" w:lastColumn="0" w:noHBand="0" w:noVBand="0"/>
      </w:tblPr>
      <w:tblGrid>
        <w:gridCol w:w="8506"/>
        <w:gridCol w:w="1058"/>
      </w:tblGrid>
      <w:tr w:rsidR="006157A3" w:rsidRPr="00E70E87" w:rsidTr="007A0B14">
        <w:trPr>
          <w:cantSplit/>
          <w:jc w:val="right"/>
        </w:trPr>
        <w:tc>
          <w:tcPr>
            <w:tcW w:w="8506" w:type="dxa"/>
          </w:tcPr>
          <w:p w:rsidR="006157A3" w:rsidRPr="009103E0" w:rsidRDefault="009103E0" w:rsidP="00211D09">
            <w:pPr>
              <w:rPr>
                <w:rtl/>
                <w:lang w:bidi="ar-EG"/>
              </w:rPr>
            </w:pPr>
            <w:r>
              <w:rPr>
                <w:rFonts w:hint="cs"/>
                <w:rtl/>
              </w:rPr>
              <w:t xml:space="preserve">تقترح هذه المساهمة إدخال تعديلات على التوصية </w:t>
            </w:r>
            <w:r>
              <w:t>ITU-T A.12</w:t>
            </w:r>
            <w:r>
              <w:rPr>
                <w:rFonts w:hint="cs"/>
                <w:rtl/>
              </w:rPr>
              <w:t xml:space="preserve"> </w:t>
            </w:r>
            <w:r w:rsidR="00AC6B1D">
              <w:rPr>
                <w:rFonts w:hint="cs"/>
                <w:rtl/>
              </w:rPr>
              <w:t>تشمل</w:t>
            </w:r>
            <w:r>
              <w:rPr>
                <w:rFonts w:hint="cs"/>
                <w:rtl/>
              </w:rPr>
              <w:t xml:space="preserve"> تعديل عناوين السلسلتين</w:t>
            </w:r>
            <w:r w:rsidR="00211D09">
              <w:rPr>
                <w:rFonts w:hint="eastAsia"/>
                <w:rtl/>
              </w:rPr>
              <w:t> </w:t>
            </w:r>
            <w:r>
              <w:t>D</w:t>
            </w:r>
            <w:r>
              <w:rPr>
                <w:rFonts w:hint="cs"/>
                <w:rtl/>
                <w:lang w:bidi="ar-EG"/>
              </w:rPr>
              <w:t xml:space="preserve"> و</w:t>
            </w:r>
            <w:r>
              <w:rPr>
                <w:lang w:bidi="ar-EG"/>
              </w:rPr>
              <w:t>Q</w:t>
            </w:r>
            <w:r>
              <w:rPr>
                <w:rFonts w:hint="cs"/>
                <w:rtl/>
                <w:lang w:bidi="ar-EG"/>
              </w:rPr>
              <w:t xml:space="preserve"> </w:t>
            </w:r>
            <w:r w:rsidR="00E6485B">
              <w:rPr>
                <w:rFonts w:hint="cs"/>
                <w:rtl/>
                <w:lang w:bidi="ar-EG"/>
              </w:rPr>
              <w:t>من ا</w:t>
            </w:r>
            <w:r w:rsidR="00BB5692">
              <w:rPr>
                <w:rFonts w:hint="cs"/>
                <w:rtl/>
                <w:lang w:bidi="ar-EG"/>
              </w:rPr>
              <w:t xml:space="preserve">لتوصيات </w:t>
            </w:r>
            <w:r>
              <w:rPr>
                <w:rFonts w:hint="cs"/>
                <w:rtl/>
                <w:lang w:bidi="ar-EG"/>
              </w:rPr>
              <w:t xml:space="preserve">وإدراج التصوبين </w:t>
            </w:r>
            <w:r>
              <w:rPr>
                <w:lang w:bidi="ar-EG"/>
              </w:rPr>
              <w:t>1</w:t>
            </w:r>
            <w:r>
              <w:rPr>
                <w:rFonts w:hint="cs"/>
                <w:rtl/>
                <w:lang w:bidi="ar-EG"/>
              </w:rPr>
              <w:t xml:space="preserve"> و</w:t>
            </w:r>
            <w:r>
              <w:rPr>
                <w:lang w:bidi="ar-EG"/>
              </w:rPr>
              <w:t>2</w:t>
            </w:r>
            <w:r>
              <w:rPr>
                <w:rFonts w:hint="cs"/>
                <w:rtl/>
                <w:lang w:bidi="ar-EG"/>
              </w:rPr>
              <w:t xml:space="preserve"> في النص الأساسي للتوصية.</w:t>
            </w:r>
          </w:p>
        </w:tc>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9103E0" w:rsidRPr="005702BE" w:rsidRDefault="003801F4" w:rsidP="007A0B14">
      <w:pPr>
        <w:pStyle w:val="Headingb"/>
        <w:rPr>
          <w:rtl/>
        </w:rPr>
      </w:pPr>
      <w:r w:rsidRPr="005702BE">
        <w:rPr>
          <w:rFonts w:hint="cs"/>
          <w:rtl/>
        </w:rPr>
        <w:t>مقدمة</w:t>
      </w:r>
    </w:p>
    <w:p w:rsidR="00A34A77" w:rsidRDefault="006020D7" w:rsidP="00447AAA">
      <w:pPr>
        <w:rPr>
          <w:rtl/>
          <w:lang w:bidi="ar-EG"/>
        </w:rPr>
      </w:pPr>
      <w:r>
        <w:rPr>
          <w:rFonts w:hint="cs"/>
          <w:rtl/>
          <w:lang w:bidi="ar-EG"/>
        </w:rPr>
        <w:t>تأييداً لموقف إدارات الكومنولث الإقليمي في مجال الاتصالات بشأن الهيكل المقبل للجان دراسات قطاع تقييس الاتصالات</w:t>
      </w:r>
      <w:r w:rsidR="007A0B14">
        <w:rPr>
          <w:rFonts w:hint="eastAsia"/>
          <w:rtl/>
          <w:lang w:bidi="ar-EG"/>
        </w:rPr>
        <w:t> </w:t>
      </w:r>
      <w:r>
        <w:rPr>
          <w:lang w:bidi="ar-EG"/>
        </w:rPr>
        <w:t>(ITU</w:t>
      </w:r>
      <w:r w:rsidR="007A0B14">
        <w:rPr>
          <w:lang w:bidi="ar-EG"/>
        </w:rPr>
        <w:noBreakHyphen/>
      </w:r>
      <w:r>
        <w:rPr>
          <w:lang w:bidi="ar-EG"/>
        </w:rPr>
        <w:t>T)</w:t>
      </w:r>
      <w:r>
        <w:rPr>
          <w:rFonts w:hint="cs"/>
          <w:rtl/>
          <w:lang w:bidi="ar-EG"/>
        </w:rPr>
        <w:t xml:space="preserve">، قُدمت مساهمة إلى اجتماع الفريق الاستشاري لتقييس الاتصالات </w:t>
      </w:r>
      <w:r>
        <w:rPr>
          <w:lang w:bidi="ar-EG"/>
        </w:rPr>
        <w:t>(TSAG)</w:t>
      </w:r>
      <w:r w:rsidR="00211D09">
        <w:rPr>
          <w:rFonts w:hint="cs"/>
          <w:rtl/>
          <w:lang w:bidi="ar-EG"/>
        </w:rPr>
        <w:t xml:space="preserve"> الذي عُقد في جنيف (سويسرا) في</w:t>
      </w:r>
      <w:r w:rsidR="00211D09">
        <w:rPr>
          <w:rFonts w:hint="eastAsia"/>
          <w:rtl/>
          <w:lang w:bidi="ar-EG"/>
        </w:rPr>
        <w:t> </w:t>
      </w:r>
      <w:r>
        <w:rPr>
          <w:rFonts w:hint="cs"/>
          <w:rtl/>
          <w:lang w:bidi="ar-EG"/>
        </w:rPr>
        <w:t xml:space="preserve">الفترة من </w:t>
      </w:r>
      <w:r>
        <w:rPr>
          <w:lang w:bidi="ar-EG"/>
        </w:rPr>
        <w:t>18</w:t>
      </w:r>
      <w:r>
        <w:rPr>
          <w:rFonts w:hint="cs"/>
          <w:rtl/>
          <w:lang w:bidi="ar-EG"/>
        </w:rPr>
        <w:t xml:space="preserve"> إلى </w:t>
      </w:r>
      <w:r>
        <w:rPr>
          <w:lang w:bidi="ar-EG"/>
        </w:rPr>
        <w:t>22</w:t>
      </w:r>
      <w:r>
        <w:rPr>
          <w:rFonts w:hint="cs"/>
          <w:rtl/>
          <w:lang w:bidi="ar-EG"/>
        </w:rPr>
        <w:t xml:space="preserve"> يوليو </w:t>
      </w:r>
      <w:r>
        <w:rPr>
          <w:lang w:bidi="ar-EG"/>
        </w:rPr>
        <w:t>2016</w:t>
      </w:r>
      <w:r>
        <w:rPr>
          <w:rFonts w:hint="cs"/>
          <w:rtl/>
          <w:lang w:bidi="ar-EG"/>
        </w:rPr>
        <w:t>. وتسترعي الوثيقة الانتباه بوجه خاص إلى الرغبة في الحفاظ على لجنة الدراسات</w:t>
      </w:r>
      <w:r w:rsidR="00447AAA">
        <w:rPr>
          <w:rFonts w:hint="eastAsia"/>
          <w:rtl/>
          <w:lang w:bidi="ar-EG"/>
        </w:rPr>
        <w:t> </w:t>
      </w:r>
      <w:r>
        <w:rPr>
          <w:lang w:bidi="ar-EG"/>
        </w:rPr>
        <w:t>11</w:t>
      </w:r>
      <w:r>
        <w:rPr>
          <w:rFonts w:hint="cs"/>
          <w:rtl/>
          <w:lang w:bidi="ar-EG"/>
        </w:rPr>
        <w:t xml:space="preserve"> لقطاع تقييس الاتصالات</w:t>
      </w:r>
      <w:r w:rsidR="00E31923">
        <w:rPr>
          <w:rFonts w:hint="cs"/>
          <w:rtl/>
          <w:lang w:bidi="ar-EG"/>
        </w:rPr>
        <w:t xml:space="preserve"> </w:t>
      </w:r>
      <w:r w:rsidR="00E31923">
        <w:rPr>
          <w:rFonts w:hint="cs"/>
          <w:color w:val="000000"/>
          <w:rtl/>
        </w:rPr>
        <w:t>"متطلبات</w:t>
      </w:r>
      <w:r w:rsidR="00E31923">
        <w:rPr>
          <w:color w:val="000000"/>
          <w:rtl/>
        </w:rPr>
        <w:t xml:space="preserve"> وبروتوكولات التشوير ومواصفات الاختبار</w:t>
      </w:r>
      <w:r w:rsidR="00E31923">
        <w:rPr>
          <w:rFonts w:hint="cs"/>
          <w:rtl/>
          <w:lang w:bidi="ar-EG"/>
        </w:rPr>
        <w:t>"</w:t>
      </w:r>
      <w:r>
        <w:rPr>
          <w:rFonts w:hint="cs"/>
          <w:rtl/>
          <w:lang w:bidi="ar-EG"/>
        </w:rPr>
        <w:t>، بل وأيضاً في تكليفها بمهام إضافية.</w:t>
      </w:r>
    </w:p>
    <w:p w:rsidR="00E31923" w:rsidRDefault="00E31923" w:rsidP="00136836">
      <w:pPr>
        <w:rPr>
          <w:rtl/>
        </w:rPr>
      </w:pPr>
      <w:r>
        <w:rPr>
          <w:rFonts w:hint="cs"/>
          <w:rtl/>
          <w:lang w:bidi="ar-EG"/>
        </w:rPr>
        <w:t xml:space="preserve">وبالإضافة إلى ذلك، </w:t>
      </w:r>
      <w:r w:rsidR="00037583">
        <w:rPr>
          <w:rFonts w:hint="cs"/>
          <w:rtl/>
          <w:lang w:bidi="ar-EG"/>
        </w:rPr>
        <w:t xml:space="preserve">عقب اجتماع الفريق الإقليمي </w:t>
      </w:r>
      <w:r w:rsidR="001B36A1">
        <w:rPr>
          <w:rFonts w:hint="cs"/>
          <w:color w:val="000000"/>
          <w:rtl/>
          <w:lang w:bidi="ar-EG"/>
        </w:rPr>
        <w:t>لكومنولث</w:t>
      </w:r>
      <w:r w:rsidR="00037583">
        <w:rPr>
          <w:color w:val="000000"/>
          <w:rtl/>
        </w:rPr>
        <w:t xml:space="preserve"> الدول المستقلة/الكومنولث الإقليمي في مجال الاتصالات</w:t>
      </w:r>
      <w:r w:rsidR="00037583">
        <w:rPr>
          <w:rFonts w:hint="cs"/>
          <w:color w:val="000000"/>
          <w:rtl/>
        </w:rPr>
        <w:t xml:space="preserve"> التابع للجنة الدراسات</w:t>
      </w:r>
      <w:r w:rsidR="006C4079">
        <w:rPr>
          <w:rFonts w:hint="eastAsia"/>
          <w:color w:val="000000"/>
          <w:rtl/>
        </w:rPr>
        <w:t> </w:t>
      </w:r>
      <w:r w:rsidR="00037583">
        <w:rPr>
          <w:color w:val="000000"/>
        </w:rPr>
        <w:t>3</w:t>
      </w:r>
      <w:r w:rsidR="00037583">
        <w:rPr>
          <w:rFonts w:hint="cs"/>
          <w:color w:val="000000"/>
          <w:rtl/>
          <w:lang w:bidi="ar-EG"/>
        </w:rPr>
        <w:t xml:space="preserve"> لقطاع تقييس الاتصالات الذي عُقد في سانت </w:t>
      </w:r>
      <w:r w:rsidR="00560C2E">
        <w:rPr>
          <w:rFonts w:hint="cs"/>
          <w:color w:val="000000"/>
          <w:rtl/>
          <w:lang w:bidi="ar-EG"/>
        </w:rPr>
        <w:t>بطرسبر</w:t>
      </w:r>
      <w:r w:rsidR="00560C2E">
        <w:rPr>
          <w:rFonts w:hint="eastAsia"/>
          <w:color w:val="000000"/>
          <w:rtl/>
          <w:lang w:bidi="ar-EG"/>
        </w:rPr>
        <w:t>غ</w:t>
      </w:r>
      <w:r w:rsidR="00037583">
        <w:rPr>
          <w:rFonts w:hint="cs"/>
          <w:color w:val="000000"/>
          <w:rtl/>
          <w:lang w:bidi="ar-EG"/>
        </w:rPr>
        <w:t xml:space="preserve"> (روسيا)</w:t>
      </w:r>
      <w:r w:rsidR="00C972B4">
        <w:rPr>
          <w:rFonts w:hint="cs"/>
          <w:rtl/>
          <w:lang w:bidi="ar-EG"/>
        </w:rPr>
        <w:t xml:space="preserve"> يومي </w:t>
      </w:r>
      <w:r w:rsidR="00C972B4">
        <w:rPr>
          <w:lang w:bidi="ar-EG"/>
        </w:rPr>
        <w:t>3</w:t>
      </w:r>
      <w:r w:rsidR="00C972B4">
        <w:rPr>
          <w:rFonts w:hint="cs"/>
          <w:rtl/>
          <w:lang w:bidi="ar-EG"/>
        </w:rPr>
        <w:t xml:space="preserve"> و</w:t>
      </w:r>
      <w:r w:rsidR="00C972B4">
        <w:rPr>
          <w:lang w:bidi="ar-EG"/>
        </w:rPr>
        <w:t>4</w:t>
      </w:r>
      <w:r w:rsidR="00136836">
        <w:rPr>
          <w:rFonts w:hint="eastAsia"/>
          <w:rtl/>
          <w:lang w:bidi="ar-EG"/>
        </w:rPr>
        <w:t> </w:t>
      </w:r>
      <w:r w:rsidR="007F609F">
        <w:rPr>
          <w:rFonts w:hint="cs"/>
          <w:rtl/>
          <w:lang w:bidi="ar-EG"/>
        </w:rPr>
        <w:t>أغسطس</w:t>
      </w:r>
      <w:r w:rsidR="00136836">
        <w:rPr>
          <w:rFonts w:hint="eastAsia"/>
          <w:rtl/>
          <w:lang w:bidi="ar-EG"/>
        </w:rPr>
        <w:t> </w:t>
      </w:r>
      <w:r w:rsidR="007F609F">
        <w:rPr>
          <w:lang w:bidi="ar-EG"/>
        </w:rPr>
        <w:t>2016</w:t>
      </w:r>
      <w:r w:rsidR="007F609F">
        <w:rPr>
          <w:rFonts w:hint="cs"/>
          <w:rtl/>
          <w:lang w:bidi="ar-EG"/>
        </w:rPr>
        <w:t xml:space="preserve">، وُضعت مقترحات لتنقيح القرار </w:t>
      </w:r>
      <w:r w:rsidR="007F609F">
        <w:rPr>
          <w:lang w:bidi="ar-EG"/>
        </w:rPr>
        <w:t>2</w:t>
      </w:r>
      <w:r w:rsidR="007F609F">
        <w:rPr>
          <w:rFonts w:hint="cs"/>
          <w:rtl/>
          <w:lang w:bidi="ar-EG"/>
        </w:rPr>
        <w:t xml:space="preserve"> بشأن </w:t>
      </w:r>
      <w:r w:rsidR="007F609F">
        <w:rPr>
          <w:color w:val="000000"/>
          <w:rtl/>
        </w:rPr>
        <w:t>مسؤوليات لجان دراسات قطاع تقييس الاتصالات واختصاصاتها</w:t>
      </w:r>
      <w:r w:rsidR="007F609F">
        <w:rPr>
          <w:rFonts w:hint="cs"/>
          <w:rtl/>
        </w:rPr>
        <w:t xml:space="preserve"> فيما يتعلق بالمسائل المتصلة بلجنة الدراسات</w:t>
      </w:r>
      <w:r w:rsidR="006C4079">
        <w:rPr>
          <w:rFonts w:hint="eastAsia"/>
          <w:rtl/>
        </w:rPr>
        <w:t> </w:t>
      </w:r>
      <w:r w:rsidR="007F609F">
        <w:t>3</w:t>
      </w:r>
      <w:r w:rsidR="007F609F">
        <w:rPr>
          <w:rFonts w:hint="cs"/>
          <w:rtl/>
          <w:lang w:bidi="ar-EG"/>
        </w:rPr>
        <w:t xml:space="preserve"> لقطاع تقييس الاتصالات "</w:t>
      </w:r>
      <w:r w:rsidR="007F609F">
        <w:rPr>
          <w:color w:val="000000"/>
          <w:rtl/>
        </w:rPr>
        <w:t>مبادئ التعريفة والمحاسبة بما في ذلك المسائل الاقتصادية والسياسية المتعلقة بالاتصالات</w:t>
      </w:r>
      <w:r w:rsidR="007F609F">
        <w:rPr>
          <w:rFonts w:hint="cs"/>
          <w:rtl/>
        </w:rPr>
        <w:t>"</w:t>
      </w:r>
      <w:r w:rsidR="004E300A">
        <w:rPr>
          <w:rFonts w:hint="cs"/>
          <w:rtl/>
        </w:rPr>
        <w:t>.</w:t>
      </w:r>
    </w:p>
    <w:p w:rsidR="004E300A" w:rsidRPr="00526A8A" w:rsidRDefault="004E300A" w:rsidP="00AC56C2">
      <w:pPr>
        <w:rPr>
          <w:rFonts w:hint="cs"/>
          <w:rtl/>
          <w:lang w:bidi="ar-EG"/>
        </w:rPr>
      </w:pPr>
      <w:r>
        <w:rPr>
          <w:rFonts w:hint="cs"/>
          <w:rtl/>
        </w:rPr>
        <w:t>وفي ضوء المقترحات التي أشارت إليها أعلاه إدارات الكومنولث الإقليمي في مجال الاتصالات فيما يخص تعديل القرار</w:t>
      </w:r>
      <w:r w:rsidR="006C4079">
        <w:rPr>
          <w:rFonts w:hint="eastAsia"/>
          <w:rtl/>
        </w:rPr>
        <w:t> </w:t>
      </w:r>
      <w:r>
        <w:t>2</w:t>
      </w:r>
      <w:r>
        <w:rPr>
          <w:rFonts w:hint="cs"/>
          <w:rtl/>
          <w:lang w:bidi="ar-EG"/>
        </w:rPr>
        <w:t>، يبدو من المناسب إدخال التعديلات المقابلة</w:t>
      </w:r>
      <w:r w:rsidR="00CB30F5">
        <w:rPr>
          <w:rFonts w:hint="cs"/>
          <w:rtl/>
          <w:lang w:bidi="ar-EG"/>
        </w:rPr>
        <w:t xml:space="preserve"> على عناوين سلاسل توصيات قطاع تقييس الاتصالات الواردة في التوصية</w:t>
      </w:r>
      <w:r w:rsidR="00AC56C2">
        <w:rPr>
          <w:rFonts w:hint="eastAsia"/>
          <w:rtl/>
          <w:lang w:bidi="ar-EG"/>
        </w:rPr>
        <w:t> </w:t>
      </w:r>
      <w:r w:rsidR="00CB30F5">
        <w:rPr>
          <w:lang w:bidi="ar-EG"/>
        </w:rPr>
        <w:t>ITU-T A.12</w:t>
      </w:r>
      <w:r>
        <w:rPr>
          <w:rFonts w:hint="cs"/>
          <w:rtl/>
          <w:lang w:bidi="ar-EG"/>
        </w:rPr>
        <w:t xml:space="preserve"> </w:t>
      </w:r>
      <w:r w:rsidR="00675691">
        <w:rPr>
          <w:rFonts w:hint="cs"/>
          <w:rtl/>
          <w:lang w:bidi="ar-EG"/>
        </w:rPr>
        <w:t xml:space="preserve">بشأن </w:t>
      </w:r>
      <w:r w:rsidR="00526A8A">
        <w:rPr>
          <w:rFonts w:hint="cs"/>
          <w:rtl/>
          <w:lang w:bidi="ar-EG"/>
        </w:rPr>
        <w:t xml:space="preserve">تعريف توصيات قطاع تقييس الاتصالات وتنسيقها </w:t>
      </w:r>
      <w:r w:rsidR="0032614E">
        <w:rPr>
          <w:rFonts w:hint="cs"/>
          <w:rtl/>
          <w:lang w:bidi="ar-EG"/>
        </w:rPr>
        <w:t>و</w:t>
      </w:r>
      <w:r w:rsidR="00526A8A">
        <w:rPr>
          <w:rFonts w:hint="cs"/>
          <w:rtl/>
          <w:lang w:bidi="ar-EG"/>
        </w:rPr>
        <w:t xml:space="preserve">التي تمت الموافقة عليها في </w:t>
      </w:r>
      <w:r w:rsidR="00526A8A">
        <w:rPr>
          <w:lang w:bidi="ar-EG"/>
        </w:rPr>
        <w:t>2008</w:t>
      </w:r>
      <w:r w:rsidR="00526A8A">
        <w:rPr>
          <w:rFonts w:hint="cs"/>
          <w:rtl/>
          <w:lang w:bidi="ar-EG"/>
        </w:rPr>
        <w:t xml:space="preserve"> وعلى </w:t>
      </w:r>
      <w:r w:rsidR="00757A11">
        <w:rPr>
          <w:rFonts w:hint="cs"/>
          <w:rtl/>
          <w:lang w:bidi="ar-EG"/>
        </w:rPr>
        <w:t>التصويبات ذات الصلة التي اعتمدها الفريق الاستشاري لتقييس الاتصالات</w:t>
      </w:r>
      <w:r w:rsidR="00526A8A">
        <w:rPr>
          <w:rFonts w:hint="cs"/>
          <w:rtl/>
          <w:lang w:bidi="ar-EG"/>
        </w:rPr>
        <w:t xml:space="preserve"> في الفترة </w:t>
      </w:r>
      <w:r w:rsidR="00526A8A">
        <w:rPr>
          <w:lang w:bidi="ar-EG"/>
        </w:rPr>
        <w:t>2016-2015</w:t>
      </w:r>
      <w:r w:rsidR="00526A8A">
        <w:rPr>
          <w:rFonts w:hint="cs"/>
          <w:rtl/>
          <w:lang w:bidi="ar-EG"/>
        </w:rPr>
        <w:t>.</w:t>
      </w:r>
    </w:p>
    <w:p w:rsidR="00A34A77" w:rsidRDefault="00306261" w:rsidP="00AC56C2">
      <w:r>
        <w:rPr>
          <w:rFonts w:hint="cs"/>
          <w:rtl/>
        </w:rPr>
        <w:lastRenderedPageBreak/>
        <w:t>وعلاوة</w:t>
      </w:r>
      <w:r w:rsidR="00AC56C2">
        <w:rPr>
          <w:rFonts w:hint="cs"/>
          <w:rtl/>
        </w:rPr>
        <w:t>ً</w:t>
      </w:r>
      <w:r>
        <w:rPr>
          <w:rFonts w:hint="cs"/>
          <w:rtl/>
        </w:rPr>
        <w:t xml:space="preserve"> على ذلك،</w:t>
      </w:r>
      <w:r w:rsidR="00BA0D2A">
        <w:rPr>
          <w:rFonts w:hint="cs"/>
          <w:rtl/>
        </w:rPr>
        <w:t xml:space="preserve"> يبدو من المناسب إدراج التصويبين </w:t>
      </w:r>
      <w:r w:rsidR="00BA0D2A">
        <w:t>1</w:t>
      </w:r>
      <w:r w:rsidR="00BA0D2A">
        <w:rPr>
          <w:rFonts w:hint="cs"/>
          <w:rtl/>
        </w:rPr>
        <w:t xml:space="preserve"> و</w:t>
      </w:r>
      <w:r w:rsidR="00BA0D2A">
        <w:t>2</w:t>
      </w:r>
      <w:r w:rsidR="00BA0D2A">
        <w:rPr>
          <w:rFonts w:hint="cs"/>
          <w:rtl/>
        </w:rPr>
        <w:t xml:space="preserve"> في النص الأساسي للتوصية </w:t>
      </w:r>
      <w:r w:rsidR="00BA0D2A">
        <w:t>ITU-T</w:t>
      </w:r>
      <w:r w:rsidR="00AC56C2">
        <w:t> </w:t>
      </w:r>
      <w:r w:rsidR="00BA0D2A">
        <w:t>A.12</w:t>
      </w:r>
      <w:r w:rsidR="00BA0D2A">
        <w:rPr>
          <w:rFonts w:hint="cs"/>
          <w:rtl/>
        </w:rPr>
        <w:t xml:space="preserve"> لسهولة الرجوع إليهما.</w:t>
      </w:r>
    </w:p>
    <w:p w:rsidR="00367005" w:rsidRDefault="00367005" w:rsidP="00367005">
      <w:pPr>
        <w:pStyle w:val="Headingb"/>
        <w:rPr>
          <w:rFonts w:hint="cs"/>
          <w:rtl/>
        </w:rPr>
      </w:pPr>
      <w:r>
        <w:rPr>
          <w:rFonts w:hint="cs"/>
          <w:rtl/>
        </w:rPr>
        <w:t>المقترح</w:t>
      </w:r>
    </w:p>
    <w:p w:rsidR="00367005" w:rsidRPr="000E3327" w:rsidRDefault="000E3327" w:rsidP="00F43DBE">
      <w:pPr>
        <w:rPr>
          <w:rtl/>
          <w:lang w:bidi="ar-EG"/>
        </w:rPr>
      </w:pPr>
      <w:r>
        <w:rPr>
          <w:rFonts w:hint="cs"/>
          <w:rtl/>
          <w:lang w:bidi="ar-EG"/>
        </w:rPr>
        <w:t xml:space="preserve">إدخال التعديلات المقابلة على التوصية </w:t>
      </w:r>
      <w:r>
        <w:t>ITU-T</w:t>
      </w:r>
      <w:r w:rsidR="00F43DBE">
        <w:t> </w:t>
      </w:r>
      <w:r>
        <w:t>A.12</w:t>
      </w:r>
      <w:r>
        <w:rPr>
          <w:rFonts w:hint="cs"/>
          <w:rtl/>
          <w:lang w:bidi="ar-EG"/>
        </w:rPr>
        <w:t xml:space="preserve"> على النحو المبين أدناه.</w:t>
      </w:r>
    </w:p>
    <w:p w:rsidR="00C82615" w:rsidRDefault="00C82615" w:rsidP="00A34A77">
      <w:pPr>
        <w:rPr>
          <w:rtl/>
        </w:rPr>
      </w:pPr>
      <w:r>
        <w:br w:type="page"/>
      </w:r>
    </w:p>
    <w:p w:rsidR="00E031D3" w:rsidRDefault="001D5F9E">
      <w:pPr>
        <w:pStyle w:val="Proposal"/>
      </w:pPr>
      <w:r>
        <w:lastRenderedPageBreak/>
        <w:t>MOD</w:t>
      </w:r>
      <w:r>
        <w:tab/>
        <w:t>RCC/47A24/1</w:t>
      </w:r>
    </w:p>
    <w:p w:rsidR="00DC4BEA" w:rsidRPr="00DA4517" w:rsidRDefault="001D5F9E" w:rsidP="00DA4517">
      <w:pPr>
        <w:pStyle w:val="RecNo"/>
      </w:pPr>
      <w:r w:rsidRPr="00DA4517">
        <w:rPr>
          <w:rFonts w:hint="cs"/>
          <w:rtl/>
        </w:rPr>
        <w:t>التوصية</w:t>
      </w:r>
      <w:r w:rsidRPr="00CB6B2F">
        <w:rPr>
          <w:rFonts w:hint="cs"/>
          <w:sz w:val="40"/>
          <w:rtl/>
        </w:rPr>
        <w:t xml:space="preserve"> </w:t>
      </w:r>
      <w:r w:rsidRPr="00DA4517">
        <w:t>ITU-T A.12</w:t>
      </w:r>
    </w:p>
    <w:p w:rsidR="00DC4BEA" w:rsidRDefault="001D5F9E" w:rsidP="008266D8">
      <w:pPr>
        <w:pStyle w:val="Rectitle"/>
      </w:pPr>
      <w:bookmarkStart w:id="0" w:name="_Toc349551662"/>
      <w:r>
        <w:rPr>
          <w:rFonts w:hint="cs"/>
          <w:rtl/>
        </w:rPr>
        <w:t>تعريف التوصيات الصادرة عن قطاع تقييس الاتصالات وتنسيقها</w:t>
      </w:r>
      <w:bookmarkEnd w:id="0"/>
    </w:p>
    <w:p w:rsidR="00DC4BEA" w:rsidRPr="00E67631" w:rsidRDefault="001D5F9E" w:rsidP="002178AC">
      <w:pPr>
        <w:pStyle w:val="Recdate"/>
        <w:rPr>
          <w:rtl/>
        </w:rPr>
      </w:pPr>
      <w:r w:rsidRPr="00B80FAB">
        <w:rPr>
          <w:rStyle w:val="Recdef"/>
          <w:i w:val="0"/>
          <w:iCs w:val="0"/>
        </w:rPr>
        <w:t>2</w:t>
      </w:r>
      <w:r w:rsidRPr="00E67631">
        <w:t>000)</w:t>
      </w:r>
      <w:r w:rsidRPr="00E67631">
        <w:rPr>
          <w:rFonts w:hint="cs"/>
          <w:rtl/>
        </w:rPr>
        <w:t xml:space="preserve">؛ </w:t>
      </w:r>
      <w:r w:rsidRPr="00E67631">
        <w:t>2004</w:t>
      </w:r>
      <w:r w:rsidRPr="00E67631">
        <w:rPr>
          <w:rFonts w:hint="cs"/>
          <w:rtl/>
        </w:rPr>
        <w:t xml:space="preserve">؛ </w:t>
      </w:r>
      <w:r w:rsidRPr="00E67631">
        <w:t>2008</w:t>
      </w:r>
      <w:r w:rsidRPr="00E67631">
        <w:rPr>
          <w:rFonts w:hint="cs"/>
          <w:rtl/>
        </w:rPr>
        <w:t xml:space="preserve">؛ </w:t>
      </w:r>
      <w:r w:rsidRPr="00E67631">
        <w:t>2015</w:t>
      </w:r>
      <w:r w:rsidRPr="00E67631">
        <w:rPr>
          <w:rFonts w:hint="cs"/>
          <w:rtl/>
        </w:rPr>
        <w:t xml:space="preserve">؛ </w:t>
      </w:r>
      <w:r w:rsidRPr="00E67631">
        <w:t>2016</w:t>
      </w:r>
      <w:r w:rsidRPr="00E67631">
        <w:rPr>
          <w:rFonts w:hint="cs"/>
          <w:rtl/>
        </w:rPr>
        <w:t>)</w:t>
      </w:r>
      <w:r>
        <w:rPr>
          <w:rStyle w:val="FootnoteReference"/>
          <w:rtl/>
        </w:rPr>
        <w:footnoteReference w:id="1"/>
      </w:r>
    </w:p>
    <w:p w:rsidR="00DC4BEA" w:rsidRPr="00417159" w:rsidRDefault="001D5F9E" w:rsidP="00E67631">
      <w:pPr>
        <w:pStyle w:val="HeadingSummary"/>
        <w:rPr>
          <w:rtl/>
        </w:rPr>
      </w:pPr>
      <w:bookmarkStart w:id="1" w:name="_Toc223346553"/>
      <w:bookmarkStart w:id="2" w:name="_Toc219803630"/>
      <w:bookmarkStart w:id="3" w:name="_Toc219795556"/>
      <w:bookmarkStart w:id="4" w:name="_Toc219795224"/>
      <w:r w:rsidRPr="00417159">
        <w:rPr>
          <w:rtl/>
        </w:rPr>
        <w:t>ملخص</w:t>
      </w:r>
    </w:p>
    <w:p w:rsidR="00DC4BEA" w:rsidRDefault="001D5F9E" w:rsidP="005E7266">
      <w:pPr>
        <w:rPr>
          <w:rtl/>
        </w:rPr>
      </w:pPr>
      <w:r w:rsidRPr="008C0782">
        <w:rPr>
          <w:rFonts w:hint="cs"/>
          <w:rtl/>
        </w:rPr>
        <w:t xml:space="preserve">تقدم </w:t>
      </w:r>
      <w:r w:rsidR="005E7266">
        <w:rPr>
          <w:rFonts w:hint="cs"/>
          <w:rtl/>
        </w:rPr>
        <w:t xml:space="preserve">هذه </w:t>
      </w:r>
      <w:bookmarkStart w:id="5" w:name="_GoBack"/>
      <w:bookmarkEnd w:id="5"/>
      <w:r w:rsidRPr="008C0782">
        <w:rPr>
          <w:rFonts w:hint="cs"/>
          <w:rtl/>
        </w:rPr>
        <w:t xml:space="preserve">التوصية معلومات بشأن إسناد </w:t>
      </w:r>
      <w:r>
        <w:rPr>
          <w:rFonts w:hint="cs"/>
          <w:rtl/>
        </w:rPr>
        <w:t>حروف لسلاسل توصيات</w:t>
      </w:r>
      <w:r w:rsidRPr="008C0782">
        <w:rPr>
          <w:rFonts w:hint="cs"/>
          <w:rtl/>
        </w:rPr>
        <w:t xml:space="preserve"> قطاع تقييس الاتصالات.</w:t>
      </w:r>
    </w:p>
    <w:p w:rsidR="00DC4BEA" w:rsidRDefault="001D5F9E" w:rsidP="00DC4BEA">
      <w:pPr>
        <w:pStyle w:val="Heading1"/>
        <w:rPr>
          <w:sz w:val="24"/>
          <w:szCs w:val="32"/>
          <w:rtl/>
        </w:rPr>
      </w:pPr>
      <w:r>
        <w:rPr>
          <w:sz w:val="24"/>
          <w:szCs w:val="32"/>
        </w:rPr>
        <w:t>1</w:t>
      </w:r>
      <w:r>
        <w:rPr>
          <w:rFonts w:hint="cs"/>
          <w:sz w:val="24"/>
          <w:szCs w:val="32"/>
          <w:rtl/>
        </w:rPr>
        <w:tab/>
      </w:r>
      <w:r>
        <w:rPr>
          <w:rFonts w:hint="cs"/>
          <w:rtl/>
        </w:rPr>
        <w:t>مجال التطبيق</w:t>
      </w:r>
      <w:bookmarkEnd w:id="1"/>
      <w:bookmarkEnd w:id="2"/>
      <w:bookmarkEnd w:id="3"/>
      <w:bookmarkEnd w:id="4"/>
    </w:p>
    <w:p w:rsidR="00DC4BEA" w:rsidRDefault="001D5F9E" w:rsidP="00DC4BEA">
      <w:pPr>
        <w:rPr>
          <w:rtl/>
        </w:rPr>
      </w:pPr>
      <w:r>
        <w:rPr>
          <w:rFonts w:hint="cs"/>
          <w:rtl/>
        </w:rPr>
        <w:t>يستعرض الفريق الاستشاري لتقييس الاتصالات دورياً طرائق تعريف التوصيات وتنسيقها وكذلك دليل صياغة توصيات قطاع تقييس الاتصالات، وهو الدليل الذي يعده ويحدثه مكتب تقييس الاتصالات والذي يتضمن مبادئ توجيهية تفصيلية بشأن شكل التوصيات والأسلوب المتبع في إعدادها. وتتضمن هذه التوصية المبادئ الواجب تطبيقها في تعريف التوصيات وتنسيقها.</w:t>
      </w:r>
    </w:p>
    <w:p w:rsidR="00DC4BEA" w:rsidRDefault="001D5F9E" w:rsidP="00DC4BEA">
      <w:pPr>
        <w:pStyle w:val="Heading1"/>
      </w:pPr>
      <w:bookmarkStart w:id="6" w:name="_Toc223346554"/>
      <w:bookmarkStart w:id="7" w:name="_Toc219803631"/>
      <w:bookmarkStart w:id="8" w:name="_Toc219795557"/>
      <w:bookmarkStart w:id="9" w:name="_Toc219795225"/>
      <w:r>
        <w:t>2</w:t>
      </w:r>
      <w:r>
        <w:rPr>
          <w:rFonts w:hint="cs"/>
          <w:rtl/>
        </w:rPr>
        <w:tab/>
        <w:t>تعريف التوصيات وتنسيقها</w:t>
      </w:r>
      <w:bookmarkEnd w:id="6"/>
      <w:bookmarkEnd w:id="7"/>
      <w:bookmarkEnd w:id="8"/>
      <w:bookmarkEnd w:id="9"/>
    </w:p>
    <w:p w:rsidR="00DC4BEA" w:rsidRDefault="001D5F9E" w:rsidP="00DA4517">
      <w:pPr>
        <w:rPr>
          <w:rtl/>
        </w:rPr>
      </w:pPr>
      <w:r>
        <w:rPr>
          <w:b/>
          <w:bCs/>
        </w:rPr>
        <w:t>1.2</w:t>
      </w:r>
      <w:r>
        <w:rPr>
          <w:rFonts w:hint="cs"/>
          <w:rtl/>
        </w:rPr>
        <w:tab/>
        <w:t>تُرقم جميع التوصيات الصادرة عن قطاع تقييس الاتصالات. ويتكون رقم كل توصية من حرف يشير إلى السلسلة ورقم لتعريف الموضوع داخل السلسلة. ويتم الترقيم بطريقة تسمح بالتعرف على التوصيات بوضوح ودون لبس كما تُسهل تخزين المعلومات المتصلة بالتوصيات إلكترونياً. ويوضع تاريخ الموافقة على التوصية (السنة) بجوار رقم تعريف التوصية على الغلاف. ويمكن وضع الشهر إذا كان ذلك مطلوباً لمزيد من التحديد.</w:t>
      </w:r>
    </w:p>
    <w:p w:rsidR="00DC4BEA" w:rsidRPr="00C955F7" w:rsidRDefault="001D5F9E" w:rsidP="00DA4517">
      <w:pPr>
        <w:rPr>
          <w:rFonts w:eastAsia="SimSun"/>
          <w:rtl/>
          <w:lang w:eastAsia="zh-CN"/>
        </w:rPr>
      </w:pPr>
      <w:r w:rsidRPr="00C955F7">
        <w:rPr>
          <w:rFonts w:eastAsia="SimSun"/>
          <w:b/>
          <w:bCs/>
          <w:lang w:val="en-GB" w:eastAsia="zh-CN" w:bidi="ar-EG"/>
        </w:rPr>
        <w:t>2.2</w:t>
      </w:r>
      <w:r w:rsidRPr="00C955F7">
        <w:rPr>
          <w:rFonts w:eastAsia="SimSun" w:hint="cs"/>
          <w:rtl/>
          <w:lang w:eastAsia="zh-CN"/>
        </w:rPr>
        <w:tab/>
        <w:t>يتم تعريف مجال تطبيق السلسلة بوضع حرف من الحروف التالية:</w:t>
      </w:r>
    </w:p>
    <w:p w:rsidR="00DC4BEA" w:rsidRPr="00C955F7" w:rsidRDefault="001D5F9E" w:rsidP="00805204">
      <w:pPr>
        <w:pStyle w:val="enumlev2"/>
        <w:rPr>
          <w:rFonts w:eastAsia="SimSun"/>
          <w:lang w:eastAsia="zh-CN" w:bidi="ar-EG"/>
        </w:rPr>
      </w:pPr>
      <w:r w:rsidRPr="00C955F7">
        <w:rPr>
          <w:rFonts w:eastAsia="SimSun"/>
          <w:lang w:eastAsia="zh-CN" w:bidi="ar-EG"/>
        </w:rPr>
        <w:t>A</w:t>
      </w:r>
      <w:r w:rsidRPr="00C955F7">
        <w:rPr>
          <w:rFonts w:eastAsia="SimSun" w:hint="cs"/>
          <w:rtl/>
          <w:lang w:eastAsia="zh-CN"/>
        </w:rPr>
        <w:tab/>
        <w:t>تنظيم العمل في قطاع تقييس الاتصالات</w:t>
      </w:r>
    </w:p>
    <w:p w:rsidR="00DC4BEA" w:rsidRPr="00C955F7" w:rsidRDefault="001D5F9E" w:rsidP="00805204">
      <w:pPr>
        <w:pStyle w:val="enumlev2"/>
        <w:rPr>
          <w:rFonts w:eastAsia="SimSun"/>
          <w:rtl/>
          <w:lang w:eastAsia="zh-CN"/>
        </w:rPr>
      </w:pPr>
      <w:r w:rsidRPr="00C955F7">
        <w:rPr>
          <w:rFonts w:eastAsia="SimSun"/>
          <w:lang w:eastAsia="zh-CN" w:bidi="ar-EG"/>
        </w:rPr>
        <w:t>B</w:t>
      </w:r>
      <w:r w:rsidRPr="00C955F7">
        <w:rPr>
          <w:rFonts w:eastAsia="SimSun" w:hint="cs"/>
          <w:rtl/>
          <w:lang w:eastAsia="zh-CN"/>
        </w:rPr>
        <w:tab/>
      </w:r>
      <w:r w:rsidRPr="00C955F7">
        <w:rPr>
          <w:rFonts w:eastAsia="SimSun" w:hint="cs"/>
          <w:i/>
          <w:iCs/>
          <w:rtl/>
          <w:lang w:eastAsia="zh-CN"/>
        </w:rPr>
        <w:t>لم يتم تخصيصه حتى الآن</w:t>
      </w:r>
    </w:p>
    <w:p w:rsidR="00DC4BEA" w:rsidRPr="00C955F7" w:rsidRDefault="001D5F9E" w:rsidP="00805204">
      <w:pPr>
        <w:pStyle w:val="enumlev2"/>
        <w:rPr>
          <w:rFonts w:eastAsia="SimSun"/>
          <w:rtl/>
          <w:lang w:eastAsia="zh-CN"/>
        </w:rPr>
      </w:pPr>
      <w:r w:rsidRPr="00C955F7">
        <w:rPr>
          <w:rFonts w:eastAsia="SimSun"/>
          <w:lang w:eastAsia="zh-CN" w:bidi="ar-EG"/>
        </w:rPr>
        <w:t>C</w:t>
      </w:r>
      <w:r w:rsidRPr="00C955F7">
        <w:rPr>
          <w:rFonts w:eastAsia="SimSun" w:hint="cs"/>
          <w:rtl/>
          <w:lang w:eastAsia="zh-CN"/>
        </w:rPr>
        <w:tab/>
      </w:r>
      <w:r w:rsidRPr="00C955F7">
        <w:rPr>
          <w:rFonts w:eastAsia="SimSun" w:hint="cs"/>
          <w:i/>
          <w:iCs/>
          <w:rtl/>
          <w:lang w:eastAsia="zh-CN"/>
        </w:rPr>
        <w:t>لم يتم تخصيصه حتى الآن</w:t>
      </w:r>
    </w:p>
    <w:p w:rsidR="00DC4BEA" w:rsidRDefault="001D5F9E" w:rsidP="00805204">
      <w:pPr>
        <w:pStyle w:val="enumlev2"/>
        <w:rPr>
          <w:ins w:id="10" w:author="Tahawi, Mohamad " w:date="2016-10-11T10:32:00Z"/>
          <w:rFonts w:eastAsia="SimSun"/>
          <w:rtl/>
          <w:lang w:eastAsia="zh-CN"/>
        </w:rPr>
      </w:pPr>
      <w:r w:rsidRPr="00C955F7">
        <w:rPr>
          <w:rFonts w:eastAsia="SimSun"/>
          <w:lang w:eastAsia="zh-CN" w:bidi="ar-EG"/>
        </w:rPr>
        <w:t>D</w:t>
      </w:r>
      <w:r w:rsidRPr="00C955F7">
        <w:rPr>
          <w:rFonts w:eastAsia="SimSun" w:hint="cs"/>
          <w:rtl/>
          <w:lang w:eastAsia="zh-CN"/>
        </w:rPr>
        <w:tab/>
      </w:r>
      <w:del w:id="11" w:author="Tahawi, Mohamad " w:date="2016-10-11T10:32:00Z">
        <w:r w:rsidRPr="00C955F7" w:rsidDel="004D1870">
          <w:rPr>
            <w:rFonts w:eastAsia="SimSun" w:hint="cs"/>
            <w:rtl/>
            <w:lang w:eastAsia="zh-CN"/>
          </w:rPr>
          <w:delText>المبادئ العامة للتعريفة</w:delText>
        </w:r>
      </w:del>
      <w:ins w:id="12" w:author="Rami, Nadia" w:date="2016-10-12T14:16:00Z">
        <w:r w:rsidR="00721AC5">
          <w:rPr>
            <w:rFonts w:eastAsia="SimSun" w:hint="cs"/>
            <w:rtl/>
            <w:lang w:eastAsia="zh-CN"/>
          </w:rPr>
          <w:t>المبادئ الاستراتيجية والتنظيمية والاقتصادية</w:t>
        </w:r>
      </w:ins>
    </w:p>
    <w:p w:rsidR="00DC4BEA" w:rsidRPr="00C955F7" w:rsidRDefault="001D5F9E" w:rsidP="00805204">
      <w:pPr>
        <w:pStyle w:val="enumlev2"/>
        <w:rPr>
          <w:rFonts w:eastAsia="SimSun"/>
          <w:rtl/>
          <w:lang w:eastAsia="zh-CN"/>
        </w:rPr>
      </w:pPr>
      <w:r w:rsidRPr="00C955F7">
        <w:rPr>
          <w:rFonts w:eastAsia="SimSun"/>
          <w:lang w:eastAsia="zh-CN" w:bidi="ar-EG"/>
        </w:rPr>
        <w:t>E</w:t>
      </w:r>
      <w:r w:rsidRPr="00C955F7">
        <w:rPr>
          <w:rFonts w:eastAsia="SimSun" w:hint="cs"/>
          <w:rtl/>
          <w:lang w:eastAsia="zh-CN"/>
        </w:rPr>
        <w:tab/>
        <w:t>التشغيل العام للشبكات والخدمة الهاتفية وتشغيل الخدمات والعوامل البشرية</w:t>
      </w:r>
    </w:p>
    <w:p w:rsidR="00DC4BEA" w:rsidRPr="00C955F7" w:rsidRDefault="001D5F9E" w:rsidP="00805204">
      <w:pPr>
        <w:pStyle w:val="enumlev2"/>
        <w:rPr>
          <w:rFonts w:eastAsia="SimSun"/>
          <w:rtl/>
          <w:lang w:eastAsia="zh-CN"/>
        </w:rPr>
      </w:pPr>
      <w:r w:rsidRPr="00C955F7">
        <w:rPr>
          <w:rFonts w:eastAsia="SimSun"/>
          <w:lang w:eastAsia="zh-CN" w:bidi="ar-EG"/>
        </w:rPr>
        <w:t>F</w:t>
      </w:r>
      <w:r w:rsidRPr="00C955F7">
        <w:rPr>
          <w:rFonts w:eastAsia="SimSun" w:hint="cs"/>
          <w:rtl/>
          <w:lang w:eastAsia="zh-CN"/>
        </w:rPr>
        <w:tab/>
        <w:t>خدمات الاتصالات غير الهاتفية</w:t>
      </w:r>
    </w:p>
    <w:p w:rsidR="00DC4BEA" w:rsidRPr="00C955F7" w:rsidRDefault="001D5F9E" w:rsidP="00805204">
      <w:pPr>
        <w:pStyle w:val="enumlev2"/>
        <w:rPr>
          <w:rFonts w:eastAsia="SimSun"/>
          <w:rtl/>
          <w:lang w:eastAsia="zh-CN"/>
        </w:rPr>
      </w:pPr>
      <w:r w:rsidRPr="00C955F7">
        <w:rPr>
          <w:rFonts w:eastAsia="SimSun"/>
          <w:lang w:eastAsia="zh-CN" w:bidi="ar-EG"/>
        </w:rPr>
        <w:t>G</w:t>
      </w:r>
      <w:r w:rsidRPr="00C955F7">
        <w:rPr>
          <w:rFonts w:eastAsia="SimSun" w:hint="cs"/>
          <w:rtl/>
          <w:lang w:eastAsia="zh-CN"/>
        </w:rPr>
        <w:tab/>
        <w:t>أنظمة الإرسال ووسائطه والأنظمة والشبكات الرقمية</w:t>
      </w:r>
    </w:p>
    <w:p w:rsidR="00DC4BEA" w:rsidRPr="00C955F7" w:rsidRDefault="001D5F9E" w:rsidP="00805204">
      <w:pPr>
        <w:pStyle w:val="enumlev2"/>
        <w:rPr>
          <w:rFonts w:eastAsia="SimSun"/>
          <w:rtl/>
          <w:lang w:eastAsia="zh-CN"/>
        </w:rPr>
      </w:pPr>
      <w:r w:rsidRPr="00C955F7">
        <w:rPr>
          <w:rFonts w:eastAsia="SimSun"/>
          <w:lang w:eastAsia="zh-CN" w:bidi="ar-EG"/>
        </w:rPr>
        <w:t>H</w:t>
      </w:r>
      <w:r w:rsidRPr="00C955F7">
        <w:rPr>
          <w:rFonts w:eastAsia="SimSun" w:hint="cs"/>
          <w:rtl/>
          <w:lang w:eastAsia="zh-CN"/>
        </w:rPr>
        <w:tab/>
        <w:t>الأنظمة السمعية المرئية والأنظمة متعددة الوسائط</w:t>
      </w:r>
    </w:p>
    <w:p w:rsidR="00DC4BEA" w:rsidRPr="00C955F7" w:rsidRDefault="001D5F9E" w:rsidP="00805204">
      <w:pPr>
        <w:pStyle w:val="enumlev2"/>
        <w:rPr>
          <w:rFonts w:eastAsia="SimSun"/>
          <w:rtl/>
          <w:lang w:eastAsia="zh-CN"/>
        </w:rPr>
      </w:pPr>
      <w:r w:rsidRPr="00C955F7">
        <w:rPr>
          <w:rFonts w:eastAsia="SimSun"/>
          <w:lang w:eastAsia="zh-CN" w:bidi="ar-EG"/>
        </w:rPr>
        <w:t>I</w:t>
      </w:r>
      <w:r w:rsidRPr="00C955F7">
        <w:rPr>
          <w:rFonts w:eastAsia="SimSun" w:hint="cs"/>
          <w:rtl/>
          <w:lang w:eastAsia="zh-CN"/>
        </w:rPr>
        <w:tab/>
        <w:t>الشبكة الرقمية متكاملة الخدمات</w:t>
      </w:r>
    </w:p>
    <w:p w:rsidR="00DC4BEA" w:rsidRPr="00C955F7" w:rsidRDefault="001D5F9E" w:rsidP="00805204">
      <w:pPr>
        <w:pStyle w:val="enumlev2"/>
        <w:rPr>
          <w:rFonts w:eastAsia="SimSun"/>
          <w:rtl/>
          <w:lang w:eastAsia="zh-CN"/>
        </w:rPr>
      </w:pPr>
      <w:r w:rsidRPr="00C955F7">
        <w:rPr>
          <w:rFonts w:eastAsia="SimSun"/>
          <w:lang w:eastAsia="zh-CN" w:bidi="ar-EG"/>
        </w:rPr>
        <w:t>J</w:t>
      </w:r>
      <w:r w:rsidRPr="00C955F7">
        <w:rPr>
          <w:rFonts w:eastAsia="SimSun" w:hint="cs"/>
          <w:rtl/>
          <w:lang w:eastAsia="zh-CN"/>
        </w:rPr>
        <w:tab/>
        <w:t>الشبكات الكبلية وإرسال إشارات البرامج الإذاعية الصوتية والتلفزيونية وإشارات أخرى متعددة الوسائط</w:t>
      </w:r>
    </w:p>
    <w:p w:rsidR="00DC4BEA" w:rsidRPr="00C955F7" w:rsidRDefault="001D5F9E" w:rsidP="00805204">
      <w:pPr>
        <w:pStyle w:val="enumlev2"/>
        <w:rPr>
          <w:rFonts w:eastAsia="SimSun"/>
          <w:rtl/>
          <w:lang w:eastAsia="zh-CN"/>
        </w:rPr>
      </w:pPr>
      <w:r w:rsidRPr="00C955F7">
        <w:rPr>
          <w:rFonts w:eastAsia="SimSun"/>
          <w:lang w:eastAsia="zh-CN" w:bidi="ar-EG"/>
        </w:rPr>
        <w:t>K</w:t>
      </w:r>
      <w:r w:rsidRPr="00C955F7">
        <w:rPr>
          <w:rFonts w:eastAsia="SimSun" w:hint="cs"/>
          <w:rtl/>
          <w:lang w:eastAsia="zh-CN"/>
        </w:rPr>
        <w:tab/>
        <w:t>الحماية من التداخلات</w:t>
      </w:r>
    </w:p>
    <w:p w:rsidR="00DC4BEA" w:rsidRPr="00C955F7" w:rsidRDefault="001D5F9E" w:rsidP="00805204">
      <w:pPr>
        <w:pStyle w:val="enumlev2"/>
        <w:rPr>
          <w:rFonts w:eastAsia="SimSun"/>
          <w:rtl/>
          <w:lang w:eastAsia="zh-CN"/>
        </w:rPr>
      </w:pPr>
      <w:r w:rsidRPr="00C955F7">
        <w:rPr>
          <w:rFonts w:eastAsia="SimSun"/>
          <w:lang w:eastAsia="zh-CN" w:bidi="ar-EG"/>
        </w:rPr>
        <w:t>L</w:t>
      </w:r>
      <w:r w:rsidRPr="00C955F7">
        <w:rPr>
          <w:rFonts w:eastAsia="SimSun" w:hint="cs"/>
          <w:rtl/>
          <w:lang w:eastAsia="zh-CN"/>
        </w:rPr>
        <w:tab/>
      </w:r>
      <w:r w:rsidRPr="00C955F7">
        <w:rPr>
          <w:rFonts w:eastAsia="SimSun"/>
          <w:rtl/>
          <w:lang w:eastAsia="zh-CN" w:bidi="ar-EG"/>
        </w:rPr>
        <w:t>البيئة وتكنولوجيا المعلومات والاتصالات، تغير المناخ، المخلفات الإلكترونية، كفاءة الطاقة، إنشاء الكبلات وغيرها من عناصر المنشآت الخارجية وتركيبها وحمايتها</w:t>
      </w:r>
    </w:p>
    <w:p w:rsidR="00DC4BEA" w:rsidRPr="00C955F7" w:rsidRDefault="001D5F9E" w:rsidP="00805204">
      <w:pPr>
        <w:pStyle w:val="enumlev2"/>
        <w:rPr>
          <w:rFonts w:eastAsia="SimSun"/>
          <w:rtl/>
          <w:lang w:eastAsia="zh-CN" w:bidi="ar-EG"/>
        </w:rPr>
      </w:pPr>
      <w:r w:rsidRPr="00C955F7">
        <w:rPr>
          <w:rFonts w:eastAsia="SimSun"/>
          <w:lang w:eastAsia="zh-CN" w:bidi="ar-EG"/>
        </w:rPr>
        <w:lastRenderedPageBreak/>
        <w:t>M</w:t>
      </w:r>
      <w:r w:rsidRPr="00C955F7">
        <w:rPr>
          <w:rFonts w:eastAsia="SimSun" w:hint="cs"/>
          <w:rtl/>
          <w:lang w:eastAsia="zh-CN"/>
        </w:rPr>
        <w:tab/>
        <w:t>إدارة الاتصالات،</w:t>
      </w:r>
      <w:r w:rsidRPr="00C955F7">
        <w:rPr>
          <w:rFonts w:eastAsia="SimSun" w:hint="cs"/>
          <w:rtl/>
          <w:lang w:eastAsia="zh-CN" w:bidi="ar-EG"/>
        </w:rPr>
        <w:t xml:space="preserve"> </w:t>
      </w:r>
      <w:r w:rsidRPr="00C955F7">
        <w:rPr>
          <w:rFonts w:eastAsia="SimSun" w:hint="cs"/>
          <w:rtl/>
          <w:lang w:eastAsia="zh-CN"/>
        </w:rPr>
        <w:t xml:space="preserve">بما في ذلك شبكة إدارة الاتصالات </w:t>
      </w:r>
      <w:r w:rsidRPr="00C955F7">
        <w:rPr>
          <w:rFonts w:eastAsia="SimSun" w:hint="cs"/>
          <w:rtl/>
          <w:lang w:eastAsia="zh-CN" w:bidi="ar-EG"/>
        </w:rPr>
        <w:t>و</w:t>
      </w:r>
      <w:r w:rsidRPr="00C955F7">
        <w:rPr>
          <w:rFonts w:eastAsia="SimSun" w:hint="cs"/>
          <w:rtl/>
          <w:lang w:eastAsia="zh-CN"/>
        </w:rPr>
        <w:t>صيانة الشبكات</w:t>
      </w:r>
    </w:p>
    <w:p w:rsidR="00DC4BEA" w:rsidRPr="00C955F7" w:rsidRDefault="001D5F9E" w:rsidP="00805204">
      <w:pPr>
        <w:pStyle w:val="enumlev2"/>
        <w:rPr>
          <w:rFonts w:eastAsia="SimSun"/>
          <w:rtl/>
          <w:lang w:eastAsia="zh-CN"/>
        </w:rPr>
      </w:pPr>
      <w:r w:rsidRPr="00C955F7">
        <w:rPr>
          <w:rFonts w:eastAsia="SimSun"/>
          <w:lang w:eastAsia="zh-CN" w:bidi="ar-EG"/>
        </w:rPr>
        <w:t>N</w:t>
      </w:r>
      <w:r w:rsidRPr="00C955F7">
        <w:rPr>
          <w:rFonts w:eastAsia="SimSun" w:hint="cs"/>
          <w:rtl/>
          <w:lang w:eastAsia="zh-CN"/>
        </w:rPr>
        <w:tab/>
        <w:t>الصيانة: الدارات الدولية لإرسال البرامج الإذاعية الصوتية والتلفزيونية</w:t>
      </w:r>
    </w:p>
    <w:p w:rsidR="00DC4BEA" w:rsidRPr="00C955F7" w:rsidRDefault="001D5F9E" w:rsidP="00805204">
      <w:pPr>
        <w:pStyle w:val="enumlev2"/>
        <w:rPr>
          <w:rFonts w:eastAsia="SimSun"/>
          <w:rtl/>
          <w:lang w:eastAsia="zh-CN"/>
        </w:rPr>
      </w:pPr>
      <w:r w:rsidRPr="00C955F7">
        <w:rPr>
          <w:rFonts w:eastAsia="SimSun"/>
          <w:lang w:eastAsia="zh-CN" w:bidi="ar-EG"/>
        </w:rPr>
        <w:t>O</w:t>
      </w:r>
      <w:r w:rsidRPr="00C955F7">
        <w:rPr>
          <w:rFonts w:eastAsia="SimSun" w:hint="cs"/>
          <w:rtl/>
          <w:lang w:eastAsia="zh-CN"/>
        </w:rPr>
        <w:tab/>
        <w:t>مواصفات تجهيزات القياس</w:t>
      </w:r>
    </w:p>
    <w:p w:rsidR="00DC4BEA" w:rsidRPr="00C955F7" w:rsidRDefault="001D5F9E" w:rsidP="00805204">
      <w:pPr>
        <w:pStyle w:val="enumlev2"/>
        <w:rPr>
          <w:rFonts w:eastAsia="SimSun"/>
          <w:rtl/>
          <w:lang w:eastAsia="zh-CN"/>
        </w:rPr>
      </w:pPr>
      <w:r w:rsidRPr="00C955F7">
        <w:rPr>
          <w:rFonts w:eastAsia="SimSun"/>
          <w:lang w:eastAsia="zh-CN" w:bidi="ar-EG"/>
        </w:rPr>
        <w:t>P</w:t>
      </w:r>
      <w:r w:rsidRPr="00C955F7">
        <w:rPr>
          <w:rFonts w:eastAsia="SimSun" w:hint="cs"/>
          <w:rtl/>
          <w:lang w:eastAsia="zh-CN"/>
        </w:rPr>
        <w:tab/>
        <w:t>نوعية الإرسال الهاتفي والمنشآت الهاتفية وشبكات الخطوط المحلية</w:t>
      </w:r>
    </w:p>
    <w:p w:rsidR="00DC4BEA" w:rsidRPr="00C955F7" w:rsidRDefault="001D5F9E" w:rsidP="00805204">
      <w:pPr>
        <w:pStyle w:val="enumlev2"/>
        <w:rPr>
          <w:rFonts w:eastAsia="SimSun"/>
          <w:rtl/>
          <w:lang w:eastAsia="zh-CN"/>
        </w:rPr>
      </w:pPr>
      <w:r w:rsidRPr="00C955F7">
        <w:rPr>
          <w:rFonts w:eastAsia="SimSun"/>
          <w:lang w:eastAsia="zh-CN" w:bidi="ar-EG"/>
        </w:rPr>
        <w:t>Q</w:t>
      </w:r>
      <w:r w:rsidRPr="00C955F7">
        <w:rPr>
          <w:rFonts w:eastAsia="SimSun" w:hint="cs"/>
          <w:rtl/>
          <w:lang w:eastAsia="zh-CN"/>
        </w:rPr>
        <w:tab/>
        <w:t>التبديل والتشوير</w:t>
      </w:r>
      <w:ins w:id="13" w:author="Tahawi, Mohamad " w:date="2016-10-11T10:32:00Z">
        <w:r w:rsidR="00A6553E">
          <w:rPr>
            <w:rFonts w:eastAsia="SimSun" w:hint="cs"/>
            <w:rtl/>
            <w:lang w:eastAsia="zh-CN"/>
          </w:rPr>
          <w:t xml:space="preserve">، </w:t>
        </w:r>
      </w:ins>
      <w:ins w:id="14" w:author="Rami, Nadia" w:date="2016-10-12T14:17:00Z">
        <w:r w:rsidR="009325A1">
          <w:rPr>
            <w:rFonts w:eastAsia="SimSun" w:hint="cs"/>
            <w:rtl/>
            <w:lang w:eastAsia="zh-CN"/>
          </w:rPr>
          <w:t>والقياسات والاختبارات المرتبطة بهما</w:t>
        </w:r>
      </w:ins>
    </w:p>
    <w:p w:rsidR="00DC4BEA" w:rsidRPr="00C955F7" w:rsidRDefault="001D5F9E" w:rsidP="00805204">
      <w:pPr>
        <w:pStyle w:val="enumlev2"/>
        <w:rPr>
          <w:rFonts w:eastAsia="SimSun"/>
          <w:rtl/>
          <w:lang w:eastAsia="zh-CN"/>
        </w:rPr>
      </w:pPr>
      <w:r w:rsidRPr="00C955F7">
        <w:rPr>
          <w:rFonts w:eastAsia="SimSun"/>
          <w:lang w:eastAsia="zh-CN" w:bidi="ar-EG"/>
        </w:rPr>
        <w:t>R</w:t>
      </w:r>
      <w:r w:rsidRPr="00C955F7">
        <w:rPr>
          <w:rFonts w:eastAsia="SimSun" w:hint="cs"/>
          <w:rtl/>
          <w:lang w:eastAsia="zh-CN"/>
        </w:rPr>
        <w:tab/>
        <w:t>الإرسال البرقي</w:t>
      </w:r>
    </w:p>
    <w:p w:rsidR="00DC4BEA" w:rsidRPr="00C955F7" w:rsidRDefault="001D5F9E" w:rsidP="00805204">
      <w:pPr>
        <w:pStyle w:val="enumlev2"/>
        <w:rPr>
          <w:rFonts w:eastAsia="SimSun"/>
          <w:rtl/>
          <w:lang w:eastAsia="zh-CN"/>
        </w:rPr>
      </w:pPr>
      <w:r w:rsidRPr="00C955F7">
        <w:rPr>
          <w:rFonts w:eastAsia="SimSun"/>
          <w:lang w:eastAsia="zh-CN" w:bidi="ar-EG"/>
        </w:rPr>
        <w:t>S</w:t>
      </w:r>
      <w:r w:rsidRPr="00C955F7">
        <w:rPr>
          <w:rFonts w:eastAsia="SimSun" w:hint="cs"/>
          <w:rtl/>
          <w:lang w:eastAsia="zh-CN"/>
        </w:rPr>
        <w:tab/>
        <w:t>التجهيزات المطرافية للخدمات البرقية</w:t>
      </w:r>
    </w:p>
    <w:p w:rsidR="00DC4BEA" w:rsidRPr="00C955F7" w:rsidRDefault="001D5F9E" w:rsidP="00805204">
      <w:pPr>
        <w:pStyle w:val="enumlev2"/>
        <w:rPr>
          <w:rFonts w:eastAsia="SimSun"/>
          <w:rtl/>
          <w:lang w:eastAsia="zh-CN" w:bidi="ar-EG"/>
        </w:rPr>
      </w:pPr>
      <w:r w:rsidRPr="00C955F7">
        <w:rPr>
          <w:rFonts w:eastAsia="SimSun"/>
          <w:lang w:eastAsia="zh-CN" w:bidi="ar-EG"/>
        </w:rPr>
        <w:t>T</w:t>
      </w:r>
      <w:r w:rsidRPr="00C955F7">
        <w:rPr>
          <w:rFonts w:eastAsia="SimSun" w:hint="cs"/>
          <w:rtl/>
          <w:lang w:eastAsia="zh-CN"/>
        </w:rPr>
        <w:tab/>
        <w:t>المطاريف الخاصة بالخدمات التلماتية</w:t>
      </w:r>
    </w:p>
    <w:p w:rsidR="00DC4BEA" w:rsidRPr="00C955F7" w:rsidRDefault="001D5F9E" w:rsidP="00805204">
      <w:pPr>
        <w:pStyle w:val="enumlev2"/>
        <w:rPr>
          <w:rFonts w:eastAsia="SimSun"/>
          <w:rtl/>
          <w:lang w:eastAsia="zh-CN"/>
        </w:rPr>
      </w:pPr>
      <w:r w:rsidRPr="00C955F7">
        <w:rPr>
          <w:rFonts w:eastAsia="SimSun"/>
          <w:lang w:eastAsia="zh-CN" w:bidi="ar-EG"/>
        </w:rPr>
        <w:t>U</w:t>
      </w:r>
      <w:r w:rsidRPr="00C955F7">
        <w:rPr>
          <w:rFonts w:eastAsia="SimSun" w:hint="cs"/>
          <w:rtl/>
          <w:lang w:eastAsia="zh-CN"/>
        </w:rPr>
        <w:tab/>
        <w:t>التبديل البرقي</w:t>
      </w:r>
    </w:p>
    <w:p w:rsidR="00DC4BEA" w:rsidRPr="00C955F7" w:rsidRDefault="001D5F9E" w:rsidP="00805204">
      <w:pPr>
        <w:pStyle w:val="enumlev2"/>
        <w:rPr>
          <w:rFonts w:eastAsia="SimSun"/>
          <w:rtl/>
          <w:lang w:eastAsia="zh-CN"/>
        </w:rPr>
      </w:pPr>
      <w:r w:rsidRPr="00C955F7">
        <w:rPr>
          <w:rFonts w:eastAsia="SimSun"/>
          <w:lang w:eastAsia="zh-CN" w:bidi="ar-EG"/>
        </w:rPr>
        <w:t>V</w:t>
      </w:r>
      <w:r w:rsidRPr="00C955F7">
        <w:rPr>
          <w:rFonts w:eastAsia="SimSun" w:hint="cs"/>
          <w:rtl/>
          <w:lang w:eastAsia="zh-CN"/>
        </w:rPr>
        <w:tab/>
        <w:t>اتصالات البيانات على الشبكة الهاتفية</w:t>
      </w:r>
    </w:p>
    <w:p w:rsidR="00DC4BEA" w:rsidRPr="00C955F7" w:rsidRDefault="001D5F9E" w:rsidP="00805204">
      <w:pPr>
        <w:pStyle w:val="enumlev2"/>
        <w:rPr>
          <w:rFonts w:eastAsia="SimSun"/>
          <w:rtl/>
          <w:lang w:eastAsia="zh-CN"/>
        </w:rPr>
      </w:pPr>
      <w:r w:rsidRPr="00C955F7">
        <w:rPr>
          <w:rFonts w:eastAsia="SimSun"/>
          <w:lang w:eastAsia="zh-CN" w:bidi="ar-EG"/>
        </w:rPr>
        <w:t>W</w:t>
      </w:r>
      <w:r w:rsidRPr="00C955F7">
        <w:rPr>
          <w:rFonts w:eastAsia="SimSun" w:hint="cs"/>
          <w:rtl/>
          <w:lang w:eastAsia="zh-CN"/>
        </w:rPr>
        <w:tab/>
      </w:r>
      <w:r w:rsidRPr="00C955F7">
        <w:rPr>
          <w:rFonts w:eastAsia="SimSun" w:hint="cs"/>
          <w:i/>
          <w:iCs/>
          <w:rtl/>
          <w:lang w:eastAsia="zh-CN"/>
        </w:rPr>
        <w:t>لم يتم تخصيصه حتى الآن</w:t>
      </w:r>
    </w:p>
    <w:p w:rsidR="00DC4BEA" w:rsidRPr="00C955F7" w:rsidRDefault="001D5F9E" w:rsidP="00805204">
      <w:pPr>
        <w:pStyle w:val="enumlev2"/>
        <w:rPr>
          <w:rFonts w:eastAsia="SimSun"/>
          <w:rtl/>
          <w:lang w:eastAsia="zh-CN"/>
        </w:rPr>
      </w:pPr>
      <w:r w:rsidRPr="00C955F7">
        <w:rPr>
          <w:rFonts w:eastAsia="SimSun"/>
          <w:lang w:eastAsia="zh-CN" w:bidi="ar-EG"/>
        </w:rPr>
        <w:t>X</w:t>
      </w:r>
      <w:r w:rsidRPr="00C955F7">
        <w:rPr>
          <w:rFonts w:eastAsia="SimSun" w:hint="cs"/>
          <w:rtl/>
          <w:lang w:eastAsia="zh-CN"/>
        </w:rPr>
        <w:tab/>
        <w:t>شبكات البيانات والاتصالات بين الأنظمة المفتوحة والأمن</w:t>
      </w:r>
    </w:p>
    <w:p w:rsidR="00DC4BEA" w:rsidRPr="00C955F7" w:rsidRDefault="001D5F9E" w:rsidP="00805204">
      <w:pPr>
        <w:pStyle w:val="enumlev2"/>
        <w:rPr>
          <w:rFonts w:eastAsia="SimSun"/>
          <w:rtl/>
          <w:lang w:eastAsia="zh-CN"/>
        </w:rPr>
      </w:pPr>
      <w:r w:rsidRPr="00C955F7">
        <w:rPr>
          <w:rFonts w:eastAsia="SimSun"/>
          <w:lang w:eastAsia="zh-CN" w:bidi="ar-EG"/>
        </w:rPr>
        <w:t>Y</w:t>
      </w:r>
      <w:r w:rsidRPr="00C955F7">
        <w:rPr>
          <w:rFonts w:eastAsia="SimSun" w:hint="cs"/>
          <w:rtl/>
          <w:lang w:eastAsia="zh-CN"/>
        </w:rPr>
        <w:tab/>
        <w:t>البنية التحتية العالمية للمعلومات والجوانب الخاصة ببروتوكول الإنترنت وشبكات الجيل التالي وإنترنت الأشياء والمدن الذكية</w:t>
      </w:r>
    </w:p>
    <w:p w:rsidR="00DC4BEA" w:rsidRPr="00C955F7" w:rsidRDefault="001D5F9E" w:rsidP="00805204">
      <w:pPr>
        <w:pStyle w:val="enumlev2"/>
        <w:rPr>
          <w:rFonts w:eastAsia="SimSun"/>
          <w:rtl/>
          <w:lang w:eastAsia="zh-CN" w:bidi="ar-EG"/>
        </w:rPr>
      </w:pPr>
      <w:r w:rsidRPr="00C955F7">
        <w:rPr>
          <w:rFonts w:eastAsia="SimSun"/>
          <w:lang w:eastAsia="zh-CN" w:bidi="ar-EG"/>
        </w:rPr>
        <w:t>Z</w:t>
      </w:r>
      <w:r w:rsidRPr="00C955F7">
        <w:rPr>
          <w:rFonts w:eastAsia="SimSun" w:hint="cs"/>
          <w:rtl/>
          <w:lang w:eastAsia="zh-CN"/>
        </w:rPr>
        <w:tab/>
        <w:t>اللغات والجوانب العامة المتعلقة بالبرمجيات في أنظمة الاتصالات</w:t>
      </w:r>
    </w:p>
    <w:p w:rsidR="00B544AF" w:rsidRDefault="00B544AF" w:rsidP="00B544AF">
      <w:pPr>
        <w:rPr>
          <w:rtl/>
        </w:rPr>
      </w:pPr>
      <w:r>
        <w:rPr>
          <w:b/>
          <w:bCs/>
        </w:rPr>
        <w:t>3.2</w:t>
      </w:r>
      <w:r>
        <w:rPr>
          <w:rFonts w:hint="cs"/>
          <w:rtl/>
        </w:rPr>
        <w:tab/>
        <w:t>يتم تصنيف التوصيات في كل سلسلة في أقسام حسب الموضوع.</w:t>
      </w:r>
    </w:p>
    <w:p w:rsidR="00B544AF" w:rsidRDefault="00B544AF" w:rsidP="00B544AF">
      <w:pPr>
        <w:rPr>
          <w:rtl/>
        </w:rPr>
      </w:pPr>
      <w:r>
        <w:rPr>
          <w:b/>
          <w:bCs/>
        </w:rPr>
        <w:t>4.2</w:t>
      </w:r>
      <w:r>
        <w:rPr>
          <w:rFonts w:hint="cs"/>
          <w:rtl/>
        </w:rPr>
        <w:tab/>
        <w:t>ينبغي أن يكون عنوان كل توصية موجزاً (ومن الأفضل ألا يتجاوز سطراً واحداً) على أن يكون فريداً ومعبراً وخالياً من الغموض. وينبغي وضع التفاصيل التي توضح المقصود من التوصية على وجه التحديد وتغطيتها ضمن نص التوصية بقدر الإمكان (تحت عنوان "مجال التطبيق" مثلاً).</w:t>
      </w:r>
    </w:p>
    <w:p w:rsidR="00B544AF" w:rsidRDefault="00B544AF" w:rsidP="00B544AF">
      <w:pPr>
        <w:rPr>
          <w:rtl/>
        </w:rPr>
      </w:pPr>
      <w:r>
        <w:rPr>
          <w:b/>
          <w:bCs/>
        </w:rPr>
        <w:t>5.2</w:t>
      </w:r>
      <w:r>
        <w:rPr>
          <w:rFonts w:hint="cs"/>
          <w:rtl/>
        </w:rPr>
        <w:tab/>
        <w:t>يشار بوضوح إلى تاريخ الموافقة الرسمية على التوصية ولجنة (أو لجان) الدراسات المسؤولة عن الموافقة عليها وسجل بالمراجعات.</w:t>
      </w:r>
    </w:p>
    <w:p w:rsidR="00B544AF" w:rsidRDefault="00B544AF" w:rsidP="00F643BC">
      <w:pPr>
        <w:rPr>
          <w:rtl/>
        </w:rPr>
      </w:pPr>
      <w:r>
        <w:rPr>
          <w:b/>
          <w:bCs/>
        </w:rPr>
        <w:t>6.2</w:t>
      </w:r>
      <w:r>
        <w:rPr>
          <w:rFonts w:hint="cs"/>
          <w:rtl/>
        </w:rPr>
        <w:tab/>
        <w:t>يضع محرر التوصية الجديدة أو المراجعة قبل النص الرئيسي للتوصية ملخصاً لها، كما هو مبين في "دليل صياغة توصيات قطاع تقييس الاتصالات". ويجوز لمحرر التوصية أيضاً عرض عناصر أساسية أخرى مثل المعلومات الأساسية والكلمات الرئيسية</w:t>
      </w:r>
      <w:r w:rsidR="00F643BC">
        <w:rPr>
          <w:rFonts w:hint="eastAsia"/>
          <w:rtl/>
        </w:rPr>
        <w:t> </w:t>
      </w:r>
      <w:r>
        <w:t>(keywords)</w:t>
      </w:r>
      <w:r>
        <w:rPr>
          <w:rFonts w:hint="cs"/>
          <w:rtl/>
        </w:rPr>
        <w:t xml:space="preserve"> كما هو مبين في الدليل.</w:t>
      </w:r>
    </w:p>
    <w:p w:rsidR="00B544AF" w:rsidRDefault="00B544AF" w:rsidP="00B544AF">
      <w:r>
        <w:rPr>
          <w:b/>
          <w:bCs/>
        </w:rPr>
        <w:t>7.2</w:t>
      </w:r>
      <w:r>
        <w:rPr>
          <w:rFonts w:hint="cs"/>
          <w:rtl/>
        </w:rPr>
        <w:tab/>
        <w:t>يطبق "دليل صياغة توصيات قطاع تقييس الاتصالات" في صياغة التوصيات الجديدة، وكذلك في مراجعة التوصيات القائمة، كلما كان ذلك ممكناً.</w:t>
      </w:r>
    </w:p>
    <w:p w:rsidR="0017381F" w:rsidRDefault="0017381F" w:rsidP="0017381F">
      <w:pPr>
        <w:pStyle w:val="Reasons"/>
        <w:rPr>
          <w:rtl/>
          <w:lang w:eastAsia="zh-CN"/>
        </w:rPr>
      </w:pPr>
    </w:p>
    <w:p w:rsidR="007F7AA2" w:rsidRPr="007F7AA2" w:rsidRDefault="007F7AA2" w:rsidP="00905307">
      <w:pPr>
        <w:spacing w:before="600"/>
        <w:jc w:val="center"/>
      </w:pPr>
      <w:r>
        <w:rPr>
          <w:rtl/>
        </w:rPr>
        <w:t>___________</w:t>
      </w:r>
    </w:p>
    <w:sectPr w:rsidR="007F7AA2" w:rsidRPr="007F7AA2">
      <w:headerReference w:type="default" r:id="rId12"/>
      <w:footerReference w:type="default" r:id="rId13"/>
      <w:footerReference w:type="first" r:id="rId14"/>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1D5F9E"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1D5F9E">
      <w:rPr>
        <w:rFonts w:cs="Times New Roman"/>
        <w:sz w:val="16"/>
        <w:szCs w:val="16"/>
        <w:lang w:val="fr-CH"/>
      </w:rPr>
      <w:instrText xml:space="preserve"> FILENAME \p \* MERGEFORMAT </w:instrText>
    </w:r>
    <w:r w:rsidRPr="00E07379">
      <w:rPr>
        <w:rFonts w:cs="Times New Roman"/>
        <w:sz w:val="16"/>
        <w:szCs w:val="16"/>
      </w:rPr>
      <w:fldChar w:fldCharType="separate"/>
    </w:r>
    <w:r w:rsidR="00AC6B1D">
      <w:rPr>
        <w:rFonts w:cs="Times New Roman"/>
        <w:noProof/>
        <w:sz w:val="16"/>
        <w:szCs w:val="16"/>
        <w:lang w:val="fr-CH"/>
      </w:rPr>
      <w:t>P:\TRAD\A\ITU-T\CONF-T\WTSA16\000\047ADD24A.docx</w:t>
    </w:r>
    <w:r w:rsidRPr="00E07379">
      <w:rPr>
        <w:rFonts w:cs="Times New Roman"/>
        <w:sz w:val="16"/>
        <w:szCs w:val="16"/>
      </w:rPr>
      <w:fldChar w:fldCharType="end"/>
    </w:r>
    <w:r w:rsidR="001D5F9E" w:rsidRPr="001D5F9E">
      <w:rPr>
        <w:rFonts w:cs="Times New Roman"/>
        <w:sz w:val="16"/>
        <w:szCs w:val="16"/>
        <w:lang w:val="fr-CH"/>
      </w:rPr>
      <w:t>   (405632)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1D5F9E" w:rsidRDefault="0022345D" w:rsidP="00D47CFC">
    <w:pPr>
      <w:pStyle w:val="Footer"/>
      <w:spacing w:before="0"/>
      <w:rPr>
        <w:szCs w:val="12"/>
        <w:lang w:val="fr-CH"/>
      </w:rPr>
    </w:pPr>
    <w:r w:rsidRPr="0022345D">
      <w:rPr>
        <w:szCs w:val="12"/>
      </w:rPr>
      <w:fldChar w:fldCharType="begin"/>
    </w:r>
    <w:r w:rsidRPr="001D5F9E">
      <w:rPr>
        <w:szCs w:val="12"/>
        <w:lang w:val="fr-CH"/>
      </w:rPr>
      <w:instrText xml:space="preserve"> FILENAME \p  \* MERGEFORMAT </w:instrText>
    </w:r>
    <w:r w:rsidRPr="0022345D">
      <w:rPr>
        <w:szCs w:val="12"/>
      </w:rPr>
      <w:fldChar w:fldCharType="separate"/>
    </w:r>
    <w:r w:rsidR="00AC6B1D">
      <w:rPr>
        <w:noProof/>
        <w:szCs w:val="12"/>
        <w:lang w:val="fr-CH"/>
      </w:rPr>
      <w:t>P:\TRAD\A\ITU-T\CONF-T\WTSA16\000\047ADD24A.docx</w:t>
    </w:r>
    <w:r w:rsidRPr="0022345D">
      <w:rPr>
        <w:szCs w:val="12"/>
      </w:rPr>
      <w:fldChar w:fldCharType="end"/>
    </w:r>
    <w:r w:rsidR="001D5F9E" w:rsidRPr="001D5F9E">
      <w:rPr>
        <w:szCs w:val="12"/>
        <w:lang w:val="fr-CH"/>
      </w:rPr>
      <w:t>   (405632)</w:t>
    </w:r>
  </w:p>
  <w:p w:rsidR="00E07379" w:rsidRPr="001D5F9E"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18243A" w:rsidRPr="00B411EE" w:rsidRDefault="001D5F9E" w:rsidP="0015734D">
      <w:pPr>
        <w:pStyle w:val="FootnoteText"/>
        <w:rPr>
          <w:lang w:val="fr-CH" w:bidi="ar-SA"/>
        </w:rPr>
      </w:pPr>
      <w:r>
        <w:rPr>
          <w:rStyle w:val="FootnoteReference"/>
        </w:rPr>
        <w:footnoteRef/>
      </w:r>
      <w:r>
        <w:tab/>
      </w:r>
      <w:r w:rsidRPr="00025DC0">
        <w:rPr>
          <w:rtl/>
        </w:rPr>
        <w:t>يشمل هذا المنشور التوصية</w:t>
      </w:r>
      <w:r w:rsidR="0015734D">
        <w:t>ITU-T A.12</w:t>
      </w:r>
      <w:r w:rsidRPr="00025DC0">
        <w:t xml:space="preserve"> </w:t>
      </w:r>
      <w:r w:rsidRPr="00025DC0">
        <w:rPr>
          <w:rtl/>
        </w:rPr>
        <w:t> </w:t>
      </w:r>
      <w:r w:rsidR="0015734D" w:rsidRPr="00025DC0">
        <w:t>(2008)</w:t>
      </w:r>
      <w:r w:rsidR="0015734D">
        <w:rPr>
          <w:rFonts w:hint="cs"/>
          <w:rtl/>
        </w:rPr>
        <w:t xml:space="preserve"> </w:t>
      </w:r>
      <w:r w:rsidRPr="00025DC0">
        <w:rPr>
          <w:rtl/>
        </w:rPr>
        <w:t xml:space="preserve">ويتضمن التصويب </w:t>
      </w:r>
      <w:r w:rsidR="00025DC0">
        <w:t>1</w:t>
      </w:r>
      <w:r w:rsidRPr="00025DC0">
        <w:rPr>
          <w:rtl/>
        </w:rPr>
        <w:t xml:space="preserve"> </w:t>
      </w:r>
      <w:r w:rsidR="00025DC0">
        <w:t>(2015)</w:t>
      </w:r>
      <w:r w:rsidRPr="00025DC0">
        <w:rPr>
          <w:rtl/>
        </w:rPr>
        <w:t xml:space="preserve"> والتصويب </w:t>
      </w:r>
      <w:r w:rsidR="00025DC0">
        <w:t>2</w:t>
      </w:r>
      <w:r w:rsidRPr="00025DC0">
        <w:rPr>
          <w:rtl/>
        </w:rPr>
        <w:t xml:space="preserve"> </w:t>
      </w:r>
      <w:r w:rsidR="00025DC0">
        <w:t>(2016)</w:t>
      </w:r>
      <w:r w:rsidRPr="00025DC0">
        <w:rPr>
          <w:rtl/>
        </w:rPr>
        <w:t xml:space="preserve"> لهذه التوصية.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5E7266">
      <w:rPr>
        <w:rStyle w:val="PageNumber"/>
        <w:noProof/>
        <w:sz w:val="18"/>
        <w:szCs w:val="18"/>
      </w:rPr>
      <w:t>4</w:t>
    </w:r>
    <w:r w:rsidRPr="005D6C0D">
      <w:rPr>
        <w:rStyle w:val="PageNumber"/>
        <w:sz w:val="18"/>
        <w:szCs w:val="18"/>
      </w:rPr>
      <w:fldChar w:fldCharType="end"/>
    </w:r>
    <w:r w:rsidRPr="005D6C0D">
      <w:rPr>
        <w:rStyle w:val="PageNumber"/>
        <w:sz w:val="18"/>
        <w:szCs w:val="18"/>
        <w:rtl/>
      </w:rPr>
      <w:br/>
    </w:r>
    <w:r w:rsidR="005D6C0D" w:rsidRPr="005D6C0D">
      <w:rPr>
        <w:sz w:val="18"/>
        <w:szCs w:val="24"/>
      </w:rPr>
      <w:t>WTSA16/47(Add.24)-A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Rami, Nadia">
    <w15:presenceInfo w15:providerId="AD" w15:userId="S-1-5-21-8740799-900759487-1415713722-2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0FD9"/>
    <w:rsid w:val="000124CC"/>
    <w:rsid w:val="00025DC0"/>
    <w:rsid w:val="00037583"/>
    <w:rsid w:val="00046444"/>
    <w:rsid w:val="0006023B"/>
    <w:rsid w:val="000629D5"/>
    <w:rsid w:val="0008638B"/>
    <w:rsid w:val="00090574"/>
    <w:rsid w:val="00092FC2"/>
    <w:rsid w:val="000A1677"/>
    <w:rsid w:val="000B407F"/>
    <w:rsid w:val="000E3327"/>
    <w:rsid w:val="000F0B1C"/>
    <w:rsid w:val="000F1D42"/>
    <w:rsid w:val="000F4D07"/>
    <w:rsid w:val="00102A03"/>
    <w:rsid w:val="001040A3"/>
    <w:rsid w:val="00136836"/>
    <w:rsid w:val="0014292C"/>
    <w:rsid w:val="0015734D"/>
    <w:rsid w:val="00164F10"/>
    <w:rsid w:val="0017381F"/>
    <w:rsid w:val="00173915"/>
    <w:rsid w:val="001B36A1"/>
    <w:rsid w:val="001D5F9E"/>
    <w:rsid w:val="00211D09"/>
    <w:rsid w:val="0022345D"/>
    <w:rsid w:val="00225854"/>
    <w:rsid w:val="0023283D"/>
    <w:rsid w:val="00252E0C"/>
    <w:rsid w:val="002606EF"/>
    <w:rsid w:val="002637A9"/>
    <w:rsid w:val="00276881"/>
    <w:rsid w:val="002978F4"/>
    <w:rsid w:val="002B028D"/>
    <w:rsid w:val="002B435E"/>
    <w:rsid w:val="002C4DAE"/>
    <w:rsid w:val="002E6541"/>
    <w:rsid w:val="002F5560"/>
    <w:rsid w:val="0030486B"/>
    <w:rsid w:val="00306261"/>
    <w:rsid w:val="00322E18"/>
    <w:rsid w:val="003231B9"/>
    <w:rsid w:val="0032614E"/>
    <w:rsid w:val="003275AC"/>
    <w:rsid w:val="00333D29"/>
    <w:rsid w:val="003409F4"/>
    <w:rsid w:val="00352B8F"/>
    <w:rsid w:val="00357185"/>
    <w:rsid w:val="00367005"/>
    <w:rsid w:val="00374F08"/>
    <w:rsid w:val="003801F4"/>
    <w:rsid w:val="003B7D5C"/>
    <w:rsid w:val="003C475F"/>
    <w:rsid w:val="003C5C20"/>
    <w:rsid w:val="003E4132"/>
    <w:rsid w:val="003F678F"/>
    <w:rsid w:val="0042686F"/>
    <w:rsid w:val="00433462"/>
    <w:rsid w:val="00433888"/>
    <w:rsid w:val="004367CE"/>
    <w:rsid w:val="00443869"/>
    <w:rsid w:val="00447AAA"/>
    <w:rsid w:val="00450211"/>
    <w:rsid w:val="004712C6"/>
    <w:rsid w:val="00477149"/>
    <w:rsid w:val="00497703"/>
    <w:rsid w:val="004B2BD7"/>
    <w:rsid w:val="004D1870"/>
    <w:rsid w:val="004E300A"/>
    <w:rsid w:val="004F0F06"/>
    <w:rsid w:val="00501E0E"/>
    <w:rsid w:val="005204D7"/>
    <w:rsid w:val="00526A8A"/>
    <w:rsid w:val="00552BC5"/>
    <w:rsid w:val="0055516A"/>
    <w:rsid w:val="00560C2E"/>
    <w:rsid w:val="0056374C"/>
    <w:rsid w:val="0056614F"/>
    <w:rsid w:val="005702BE"/>
    <w:rsid w:val="0057656F"/>
    <w:rsid w:val="00576731"/>
    <w:rsid w:val="0059006B"/>
    <w:rsid w:val="0059285F"/>
    <w:rsid w:val="005A00F7"/>
    <w:rsid w:val="005A24B1"/>
    <w:rsid w:val="005B7B8A"/>
    <w:rsid w:val="005D6476"/>
    <w:rsid w:val="005D6C0D"/>
    <w:rsid w:val="005E5283"/>
    <w:rsid w:val="005E58F5"/>
    <w:rsid w:val="005E7266"/>
    <w:rsid w:val="006020D7"/>
    <w:rsid w:val="00606660"/>
    <w:rsid w:val="006112CD"/>
    <w:rsid w:val="006157A3"/>
    <w:rsid w:val="00620E60"/>
    <w:rsid w:val="0063315A"/>
    <w:rsid w:val="0065591D"/>
    <w:rsid w:val="00662C5A"/>
    <w:rsid w:val="00670AF5"/>
    <w:rsid w:val="00675691"/>
    <w:rsid w:val="006962A9"/>
    <w:rsid w:val="006B240E"/>
    <w:rsid w:val="006C1556"/>
    <w:rsid w:val="006C4079"/>
    <w:rsid w:val="006E6000"/>
    <w:rsid w:val="006F267F"/>
    <w:rsid w:val="006F63F7"/>
    <w:rsid w:val="006F6F03"/>
    <w:rsid w:val="00706D7A"/>
    <w:rsid w:val="00721AC5"/>
    <w:rsid w:val="00726AEC"/>
    <w:rsid w:val="007530CA"/>
    <w:rsid w:val="00757A11"/>
    <w:rsid w:val="0079553D"/>
    <w:rsid w:val="007A0B14"/>
    <w:rsid w:val="007B01CC"/>
    <w:rsid w:val="007F609F"/>
    <w:rsid w:val="007F646C"/>
    <w:rsid w:val="007F7AA2"/>
    <w:rsid w:val="00801FCD"/>
    <w:rsid w:val="00803D7E"/>
    <w:rsid w:val="00803F08"/>
    <w:rsid w:val="00805204"/>
    <w:rsid w:val="008235CD"/>
    <w:rsid w:val="00823A07"/>
    <w:rsid w:val="00835FEC"/>
    <w:rsid w:val="008513CB"/>
    <w:rsid w:val="00854EC8"/>
    <w:rsid w:val="00874D9C"/>
    <w:rsid w:val="008A1810"/>
    <w:rsid w:val="00905307"/>
    <w:rsid w:val="009103E0"/>
    <w:rsid w:val="00917694"/>
    <w:rsid w:val="009263CD"/>
    <w:rsid w:val="00930E6D"/>
    <w:rsid w:val="009325A1"/>
    <w:rsid w:val="00972CA2"/>
    <w:rsid w:val="00982B28"/>
    <w:rsid w:val="00984EA5"/>
    <w:rsid w:val="00992593"/>
    <w:rsid w:val="009C17E1"/>
    <w:rsid w:val="009C35ED"/>
    <w:rsid w:val="009F1C12"/>
    <w:rsid w:val="00A25A43"/>
    <w:rsid w:val="00A3295B"/>
    <w:rsid w:val="00A34A77"/>
    <w:rsid w:val="00A42AE5"/>
    <w:rsid w:val="00A52B61"/>
    <w:rsid w:val="00A64820"/>
    <w:rsid w:val="00A6553E"/>
    <w:rsid w:val="00A71DD6"/>
    <w:rsid w:val="00A723C7"/>
    <w:rsid w:val="00A80E11"/>
    <w:rsid w:val="00A97F94"/>
    <w:rsid w:val="00AB1309"/>
    <w:rsid w:val="00AC2C52"/>
    <w:rsid w:val="00AC56C2"/>
    <w:rsid w:val="00AC6B1D"/>
    <w:rsid w:val="00AD1503"/>
    <w:rsid w:val="00AE7244"/>
    <w:rsid w:val="00AF3FEE"/>
    <w:rsid w:val="00B02F46"/>
    <w:rsid w:val="00B2000C"/>
    <w:rsid w:val="00B20ADE"/>
    <w:rsid w:val="00B544AF"/>
    <w:rsid w:val="00B66B9A"/>
    <w:rsid w:val="00B82089"/>
    <w:rsid w:val="00B970AE"/>
    <w:rsid w:val="00BA0D2A"/>
    <w:rsid w:val="00BA1427"/>
    <w:rsid w:val="00BB5692"/>
    <w:rsid w:val="00BE49D0"/>
    <w:rsid w:val="00BE65BE"/>
    <w:rsid w:val="00BF2C38"/>
    <w:rsid w:val="00C23331"/>
    <w:rsid w:val="00C265DA"/>
    <w:rsid w:val="00C442F2"/>
    <w:rsid w:val="00C674FE"/>
    <w:rsid w:val="00C7297D"/>
    <w:rsid w:val="00C75633"/>
    <w:rsid w:val="00C8242E"/>
    <w:rsid w:val="00C82615"/>
    <w:rsid w:val="00C867DB"/>
    <w:rsid w:val="00C972B4"/>
    <w:rsid w:val="00CA2A38"/>
    <w:rsid w:val="00CA50FF"/>
    <w:rsid w:val="00CB30F5"/>
    <w:rsid w:val="00CB6B2F"/>
    <w:rsid w:val="00CC3CD2"/>
    <w:rsid w:val="00CC43BE"/>
    <w:rsid w:val="00CD123C"/>
    <w:rsid w:val="00CD2085"/>
    <w:rsid w:val="00CE2EE1"/>
    <w:rsid w:val="00CF3FFD"/>
    <w:rsid w:val="00D0494C"/>
    <w:rsid w:val="00D14BEB"/>
    <w:rsid w:val="00D21C89"/>
    <w:rsid w:val="00D32A1B"/>
    <w:rsid w:val="00D45542"/>
    <w:rsid w:val="00D47CFC"/>
    <w:rsid w:val="00D77D0F"/>
    <w:rsid w:val="00D81EBD"/>
    <w:rsid w:val="00DA1CF0"/>
    <w:rsid w:val="00DA4517"/>
    <w:rsid w:val="00DB2271"/>
    <w:rsid w:val="00DB5659"/>
    <w:rsid w:val="00DC24B4"/>
    <w:rsid w:val="00DD7A05"/>
    <w:rsid w:val="00DF16DC"/>
    <w:rsid w:val="00DF5361"/>
    <w:rsid w:val="00E009A1"/>
    <w:rsid w:val="00E00D15"/>
    <w:rsid w:val="00E031D3"/>
    <w:rsid w:val="00E071BE"/>
    <w:rsid w:val="00E07379"/>
    <w:rsid w:val="00E14494"/>
    <w:rsid w:val="00E17033"/>
    <w:rsid w:val="00E31923"/>
    <w:rsid w:val="00E32189"/>
    <w:rsid w:val="00E45211"/>
    <w:rsid w:val="00E6485B"/>
    <w:rsid w:val="00E7380C"/>
    <w:rsid w:val="00E74BE7"/>
    <w:rsid w:val="00E86CC9"/>
    <w:rsid w:val="00E96624"/>
    <w:rsid w:val="00F126F1"/>
    <w:rsid w:val="00F2106A"/>
    <w:rsid w:val="00F36D8B"/>
    <w:rsid w:val="00F401D0"/>
    <w:rsid w:val="00F43DBE"/>
    <w:rsid w:val="00F45F2B"/>
    <w:rsid w:val="00F559E3"/>
    <w:rsid w:val="00F57AE4"/>
    <w:rsid w:val="00F643BC"/>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DA4517"/>
    <w:pPr>
      <w:spacing w:before="240"/>
      <w:jc w:val="left"/>
    </w:pPr>
    <w:rPr>
      <w:rFonts w:ascii="Times New Roman Bold" w:hAnsi="Times New Roman Bold"/>
      <w:b/>
      <w:bCs/>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qFormat/>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Recdef">
    <w:name w:val="Rec_def"/>
    <w:rsid w:val="00DC4BEA"/>
    <w:rPr>
      <w:b/>
    </w:rPr>
  </w:style>
  <w:style w:type="paragraph" w:customStyle="1" w:styleId="Recdate">
    <w:name w:val="Rec_date"/>
    <w:basedOn w:val="Normal"/>
    <w:next w:val="Normal"/>
    <w:rsid w:val="002178AC"/>
    <w:pPr>
      <w:keepNext/>
      <w:keepLines/>
      <w:tabs>
        <w:tab w:val="clear" w:pos="1134"/>
      </w:tabs>
      <w:overflowPunct w:val="0"/>
      <w:autoSpaceDE w:val="0"/>
      <w:autoSpaceDN w:val="0"/>
      <w:adjustRightInd w:val="0"/>
      <w:jc w:val="center"/>
      <w:textAlignment w:val="baseline"/>
    </w:pPr>
    <w:rPr>
      <w:rFonts w:ascii="Times New Roman italic" w:hAnsi="Times New Roman italic"/>
      <w:i/>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c20c38b-42b2-4c57-a5ba-f0718653f5e0" targetNamespace="http://schemas.microsoft.com/office/2006/metadata/properties" ma:root="true" ma:fieldsID="d41af5c836d734370eb92e7ee5f83852" ns2:_="" ns3:_="">
    <xsd:import namespace="996b2e75-67fd-4955-a3b0-5ab9934cb50b"/>
    <xsd:import namespace="9c20c38b-42b2-4c57-a5ba-f0718653f5e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c20c38b-42b2-4c57-a5ba-f0718653f5e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c20c38b-42b2-4c57-a5ba-f0718653f5e0">Documents Proposals Manager (DPM)</DPM_x0020_Author>
    <DPM_x0020_File_x0020_name xmlns="9c20c38b-42b2-4c57-a5ba-f0718653f5e0">T13-WTSA.16-C-0047!A24!MSW-A</DPM_x0020_File_x0020_name>
    <DPM_x0020_Version xmlns="9c20c38b-42b2-4c57-a5ba-f0718653f5e0">DPM_v2016.10.7.1_prod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c20c38b-42b2-4c57-a5ba-f0718653f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c20c38b-42b2-4c57-a5ba-f0718653f5e0"/>
    <ds:schemaRef ds:uri="http://schemas.microsoft.com/office/2006/documentManagement/types"/>
    <ds:schemaRef ds:uri="996b2e75-67fd-4955-a3b0-5ab9934cb50b"/>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4FF8DEA-90E6-4333-A214-B63ADC3E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T13-WTSA.16-C-0047!A24!MSW-A</vt:lpstr>
    </vt:vector>
  </TitlesOfParts>
  <Company>International Telecommunication Union (ITU)</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T13-WTSA.16-C-0047!A24!MSW-A</dc:title>
  <dc:subject>World Telecommunication Standardization Assembly</dc:subject>
  <dc:creator>Documents Proposals Manager (DPM)</dc:creator>
  <cp:keywords>DPM_v2016.10.7.1_prod</cp:keywords>
  <dc:description>Template used by DPM and CPI for the WTSA-16</dc:description>
  <cp:lastModifiedBy>Awad, Samy</cp:lastModifiedBy>
  <cp:revision>25</cp:revision>
  <cp:lastPrinted>2016-10-12T12:06:00Z</cp:lastPrinted>
  <dcterms:created xsi:type="dcterms:W3CDTF">2016-10-13T14:26:00Z</dcterms:created>
  <dcterms:modified xsi:type="dcterms:W3CDTF">2016-10-13T17:36:00Z</dcterms:modified>
  <cp:category>Conference document</cp:category>
</cp:coreProperties>
</file>