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0505BC">
            <w:pPr>
              <w:rPr>
                <w:rFonts w:ascii="Verdana" w:hAnsi="Verdana" w:cs="Times New Roman Bold"/>
                <w:b/>
                <w:bCs/>
                <w:sz w:val="22"/>
                <w:szCs w:val="22"/>
              </w:rPr>
            </w:pPr>
            <w:bookmarkStart w:id="0" w:name="_GoBack"/>
            <w:bookmarkEnd w:id="0"/>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0505BC">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277B52">
              <w:rPr>
                <w:rFonts w:ascii="Verdana" w:hAnsi="Verdana" w:cs="Times New Roman Bold"/>
                <w:b/>
                <w:bCs/>
                <w:szCs w:val="24"/>
                <w:lang w:val="fr-CH"/>
              </w:rPr>
              <w:t xml:space="preserve"> </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0505BC">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0505BC">
            <w:pPr>
              <w:spacing w:before="0"/>
            </w:pPr>
          </w:p>
        </w:tc>
        <w:tc>
          <w:tcPr>
            <w:tcW w:w="3007" w:type="dxa"/>
            <w:gridSpan w:val="2"/>
            <w:tcBorders>
              <w:bottom w:val="single" w:sz="12" w:space="0" w:color="auto"/>
            </w:tcBorders>
          </w:tcPr>
          <w:p w:rsidR="00595780" w:rsidRDefault="00595780" w:rsidP="000505BC">
            <w:pPr>
              <w:spacing w:before="0"/>
            </w:pPr>
          </w:p>
        </w:tc>
      </w:tr>
      <w:tr w:rsidR="001D581B" w:rsidTr="00530525">
        <w:trPr>
          <w:cantSplit/>
        </w:trPr>
        <w:tc>
          <w:tcPr>
            <w:tcW w:w="6804" w:type="dxa"/>
            <w:gridSpan w:val="2"/>
            <w:tcBorders>
              <w:top w:val="single" w:sz="12" w:space="0" w:color="auto"/>
            </w:tcBorders>
          </w:tcPr>
          <w:p w:rsidR="00595780" w:rsidRDefault="00595780" w:rsidP="000505BC">
            <w:pPr>
              <w:spacing w:before="0"/>
            </w:pPr>
          </w:p>
        </w:tc>
        <w:tc>
          <w:tcPr>
            <w:tcW w:w="3007" w:type="dxa"/>
            <w:gridSpan w:val="2"/>
          </w:tcPr>
          <w:p w:rsidR="00595780" w:rsidRPr="002074EC" w:rsidRDefault="00595780" w:rsidP="000505BC">
            <w:pPr>
              <w:spacing w:before="0"/>
              <w:rPr>
                <w:rFonts w:ascii="Verdana" w:hAnsi="Verdana"/>
                <w:b/>
                <w:bCs/>
                <w:sz w:val="20"/>
              </w:rPr>
            </w:pPr>
          </w:p>
        </w:tc>
      </w:tr>
      <w:tr w:rsidR="00C26BA2" w:rsidTr="00530525">
        <w:trPr>
          <w:cantSplit/>
        </w:trPr>
        <w:tc>
          <w:tcPr>
            <w:tcW w:w="6804" w:type="dxa"/>
            <w:gridSpan w:val="2"/>
          </w:tcPr>
          <w:p w:rsidR="00C26BA2" w:rsidRDefault="00C26BA2" w:rsidP="000505BC">
            <w:pPr>
              <w:spacing w:before="0"/>
            </w:pPr>
            <w:r w:rsidRPr="00930FFD">
              <w:rPr>
                <w:rFonts w:ascii="Verdana" w:hAnsi="Verdana"/>
                <w:b/>
                <w:sz w:val="20"/>
                <w:lang w:val="en-US"/>
              </w:rPr>
              <w:t>SÉANCE PLÉNIÈRE</w:t>
            </w:r>
          </w:p>
        </w:tc>
        <w:tc>
          <w:tcPr>
            <w:tcW w:w="3007" w:type="dxa"/>
            <w:gridSpan w:val="2"/>
          </w:tcPr>
          <w:p w:rsidR="00C26BA2" w:rsidRPr="002640D8" w:rsidRDefault="00C26BA2" w:rsidP="000505BC">
            <w:pPr>
              <w:spacing w:before="0"/>
              <w:rPr>
                <w:rFonts w:ascii="Verdana" w:hAnsi="Verdana"/>
                <w:sz w:val="20"/>
                <w:lang w:val="fr-FR"/>
              </w:rPr>
            </w:pPr>
            <w:r w:rsidRPr="002640D8">
              <w:rPr>
                <w:rFonts w:ascii="Verdana" w:hAnsi="Verdana"/>
                <w:b/>
                <w:sz w:val="20"/>
                <w:lang w:val="fr-FR"/>
              </w:rPr>
              <w:t>Addendum 11 au</w:t>
            </w:r>
            <w:r w:rsidRPr="002640D8">
              <w:rPr>
                <w:rFonts w:ascii="Verdana" w:hAnsi="Verdana"/>
                <w:b/>
                <w:sz w:val="20"/>
                <w:lang w:val="fr-FR"/>
              </w:rPr>
              <w:br/>
              <w:t>Document 47-F</w:t>
            </w:r>
          </w:p>
        </w:tc>
      </w:tr>
      <w:tr w:rsidR="001D581B" w:rsidTr="00530525">
        <w:trPr>
          <w:cantSplit/>
        </w:trPr>
        <w:tc>
          <w:tcPr>
            <w:tcW w:w="6804" w:type="dxa"/>
            <w:gridSpan w:val="2"/>
          </w:tcPr>
          <w:p w:rsidR="00595780" w:rsidRDefault="00595780" w:rsidP="000505BC">
            <w:pPr>
              <w:spacing w:before="0"/>
            </w:pPr>
          </w:p>
        </w:tc>
        <w:tc>
          <w:tcPr>
            <w:tcW w:w="3007" w:type="dxa"/>
            <w:gridSpan w:val="2"/>
          </w:tcPr>
          <w:p w:rsidR="00595780" w:rsidRPr="002640D8" w:rsidRDefault="001713ED" w:rsidP="000505BC">
            <w:pPr>
              <w:spacing w:before="0"/>
              <w:rPr>
                <w:lang w:val="fr-FR"/>
              </w:rPr>
            </w:pPr>
            <w:r w:rsidRPr="002640D8">
              <w:rPr>
                <w:rFonts w:ascii="Verdana" w:hAnsi="Verdana"/>
                <w:b/>
                <w:sz w:val="20"/>
                <w:lang w:val="fr-FR"/>
              </w:rPr>
              <w:t>27 septembre</w:t>
            </w:r>
            <w:r w:rsidR="00C26BA2" w:rsidRPr="002640D8">
              <w:rPr>
                <w:rFonts w:ascii="Verdana" w:hAnsi="Verdana"/>
                <w:b/>
                <w:sz w:val="20"/>
                <w:lang w:val="fr-FR"/>
              </w:rPr>
              <w:t xml:space="preserve"> 2016</w:t>
            </w:r>
          </w:p>
        </w:tc>
      </w:tr>
      <w:tr w:rsidR="001D581B" w:rsidTr="00530525">
        <w:trPr>
          <w:cantSplit/>
        </w:trPr>
        <w:tc>
          <w:tcPr>
            <w:tcW w:w="6804" w:type="dxa"/>
            <w:gridSpan w:val="2"/>
          </w:tcPr>
          <w:p w:rsidR="00595780" w:rsidRDefault="00595780" w:rsidP="000505BC">
            <w:pPr>
              <w:spacing w:before="0"/>
            </w:pPr>
          </w:p>
        </w:tc>
        <w:tc>
          <w:tcPr>
            <w:tcW w:w="3007" w:type="dxa"/>
            <w:gridSpan w:val="2"/>
          </w:tcPr>
          <w:p w:rsidR="00595780" w:rsidRPr="002640D8" w:rsidRDefault="00C26BA2" w:rsidP="000505BC">
            <w:pPr>
              <w:spacing w:before="0"/>
              <w:rPr>
                <w:lang w:val="fr-FR"/>
              </w:rPr>
            </w:pPr>
            <w:r w:rsidRPr="002640D8">
              <w:rPr>
                <w:rFonts w:ascii="Verdana" w:hAnsi="Verdana"/>
                <w:b/>
                <w:sz w:val="20"/>
                <w:lang w:val="fr-FR"/>
              </w:rPr>
              <w:t xml:space="preserve">Original: </w:t>
            </w:r>
            <w:r w:rsidR="00D35D80">
              <w:rPr>
                <w:rFonts w:ascii="Verdana" w:hAnsi="Verdana"/>
                <w:b/>
                <w:sz w:val="20"/>
                <w:lang w:val="fr-FR"/>
              </w:rPr>
              <w:t>r</w:t>
            </w:r>
            <w:r w:rsidR="001713ED" w:rsidRPr="002640D8">
              <w:rPr>
                <w:rFonts w:ascii="Verdana" w:hAnsi="Verdana"/>
                <w:b/>
                <w:sz w:val="20"/>
                <w:lang w:val="fr-FR"/>
              </w:rPr>
              <w:t>usse</w:t>
            </w:r>
          </w:p>
        </w:tc>
      </w:tr>
      <w:tr w:rsidR="000032AD" w:rsidTr="00530525">
        <w:trPr>
          <w:cantSplit/>
        </w:trPr>
        <w:tc>
          <w:tcPr>
            <w:tcW w:w="9811" w:type="dxa"/>
            <w:gridSpan w:val="4"/>
          </w:tcPr>
          <w:p w:rsidR="000032AD" w:rsidRPr="002074EC" w:rsidRDefault="000032AD" w:rsidP="000505BC">
            <w:pPr>
              <w:spacing w:before="0"/>
              <w:rPr>
                <w:rFonts w:ascii="Verdana" w:hAnsi="Verdana"/>
                <w:b/>
                <w:bCs/>
                <w:sz w:val="20"/>
              </w:rPr>
            </w:pPr>
          </w:p>
        </w:tc>
      </w:tr>
      <w:tr w:rsidR="00595780" w:rsidRPr="0078045F" w:rsidTr="00530525">
        <w:trPr>
          <w:cantSplit/>
        </w:trPr>
        <w:tc>
          <w:tcPr>
            <w:tcW w:w="9811" w:type="dxa"/>
            <w:gridSpan w:val="4"/>
          </w:tcPr>
          <w:p w:rsidR="00595780" w:rsidRPr="00127E42" w:rsidRDefault="002640D8" w:rsidP="000505BC">
            <w:pPr>
              <w:pStyle w:val="Source"/>
              <w:rPr>
                <w:lang w:val="fr-CH"/>
              </w:rPr>
            </w:pPr>
            <w:r w:rsidRPr="00127E42">
              <w:rPr>
                <w:lang w:val="fr-CH"/>
              </w:rPr>
              <w:t xml:space="preserve">Etats Membres de l'UIT, membres de la Communauté régionale </w:t>
            </w:r>
            <w:r w:rsidR="00127E42" w:rsidRPr="00127E42">
              <w:rPr>
                <w:lang w:val="fr-CH"/>
              </w:rPr>
              <w:br/>
            </w:r>
            <w:r w:rsidRPr="00127E42">
              <w:rPr>
                <w:lang w:val="fr-CH"/>
              </w:rPr>
              <w:t>des communications (RCC)</w:t>
            </w:r>
          </w:p>
        </w:tc>
      </w:tr>
      <w:tr w:rsidR="00595780" w:rsidRPr="0078045F" w:rsidTr="00530525">
        <w:trPr>
          <w:cantSplit/>
        </w:trPr>
        <w:tc>
          <w:tcPr>
            <w:tcW w:w="9811" w:type="dxa"/>
            <w:gridSpan w:val="4"/>
          </w:tcPr>
          <w:p w:rsidR="00595780" w:rsidRPr="000505BC" w:rsidRDefault="000505BC" w:rsidP="0078045F">
            <w:pPr>
              <w:pStyle w:val="Title1"/>
              <w:rPr>
                <w:rFonts w:asciiTheme="majorBidi" w:hAnsiTheme="majorBidi" w:cstheme="majorBidi"/>
                <w:lang w:val="fr-CH"/>
              </w:rPr>
            </w:pPr>
            <w:r w:rsidRPr="0078045F">
              <w:rPr>
                <w:lang w:val="fr-CH"/>
              </w:rPr>
              <w:t>projet de nouvelle résolution</w:t>
            </w:r>
            <w:r w:rsidR="0078045F" w:rsidRPr="0078045F">
              <w:rPr>
                <w:lang w:val="fr-CH"/>
              </w:rPr>
              <w:t xml:space="preserve"> [rcc-2] - </w:t>
            </w:r>
            <w:r w:rsidR="0078045F" w:rsidRPr="000505BC">
              <w:rPr>
                <w:lang w:val="fr-CH"/>
              </w:rPr>
              <w:t>Etudes relatives à la lutte contre la contrefaçon de produits, y compris de dispositifs de télécommunication/TIC</w:t>
            </w:r>
          </w:p>
        </w:tc>
      </w:tr>
      <w:tr w:rsidR="00595780" w:rsidRPr="0078045F" w:rsidTr="00530525">
        <w:trPr>
          <w:cantSplit/>
        </w:trPr>
        <w:tc>
          <w:tcPr>
            <w:tcW w:w="9811" w:type="dxa"/>
            <w:gridSpan w:val="4"/>
          </w:tcPr>
          <w:p w:rsidR="00595780" w:rsidRPr="000505BC" w:rsidRDefault="00595780" w:rsidP="000505BC">
            <w:pPr>
              <w:pStyle w:val="Title2"/>
              <w:rPr>
                <w:lang w:val="fr-CH"/>
              </w:rPr>
            </w:pPr>
          </w:p>
        </w:tc>
      </w:tr>
      <w:tr w:rsidR="00070422" w:rsidRPr="0078045F" w:rsidTr="00530525">
        <w:trPr>
          <w:cantSplit/>
        </w:trPr>
        <w:tc>
          <w:tcPr>
            <w:tcW w:w="9811" w:type="dxa"/>
            <w:gridSpan w:val="4"/>
          </w:tcPr>
          <w:p w:rsidR="00070422" w:rsidRPr="00D35D80" w:rsidRDefault="00070422" w:rsidP="00070422">
            <w:pPr>
              <w:pStyle w:val="Agendaitem"/>
              <w:rPr>
                <w:lang w:val="fr-CH"/>
              </w:rPr>
            </w:pPr>
          </w:p>
        </w:tc>
      </w:tr>
    </w:tbl>
    <w:p w:rsidR="00E11197" w:rsidRPr="002640D8" w:rsidRDefault="00E11197" w:rsidP="000505BC">
      <w:pPr>
        <w:rPr>
          <w:lang w:val="fr-CH"/>
        </w:rPr>
      </w:pPr>
    </w:p>
    <w:tbl>
      <w:tblPr>
        <w:tblW w:w="5089" w:type="pct"/>
        <w:tblLayout w:type="fixed"/>
        <w:tblLook w:val="0000" w:firstRow="0" w:lastRow="0" w:firstColumn="0" w:lastColumn="0" w:noHBand="0" w:noVBand="0"/>
      </w:tblPr>
      <w:tblGrid>
        <w:gridCol w:w="1912"/>
        <w:gridCol w:w="7899"/>
      </w:tblGrid>
      <w:tr w:rsidR="00E11197" w:rsidRPr="0078045F" w:rsidTr="00193AD1">
        <w:trPr>
          <w:cantSplit/>
        </w:trPr>
        <w:tc>
          <w:tcPr>
            <w:tcW w:w="1951" w:type="dxa"/>
          </w:tcPr>
          <w:p w:rsidR="00E11197" w:rsidRPr="00103B28" w:rsidRDefault="00E11197" w:rsidP="000505BC">
            <w:pPr>
              <w:rPr>
                <w:lang w:val="fr-CH"/>
              </w:rPr>
            </w:pPr>
            <w:r w:rsidRPr="00103B28">
              <w:rPr>
                <w:b/>
                <w:bCs/>
                <w:lang w:val="fr-CH"/>
              </w:rPr>
              <w:t>Résumé:</w:t>
            </w:r>
          </w:p>
        </w:tc>
        <w:tc>
          <w:tcPr>
            <w:tcW w:w="8079" w:type="dxa"/>
          </w:tcPr>
          <w:p w:rsidR="00E11197" w:rsidRPr="002640D8" w:rsidRDefault="0078045F" w:rsidP="000505BC">
            <w:pPr>
              <w:rPr>
                <w:rFonts w:asciiTheme="majorBidi" w:hAnsiTheme="majorBidi" w:cstheme="majorBidi"/>
                <w:color w:val="000000" w:themeColor="text1"/>
                <w:szCs w:val="24"/>
                <w:lang w:val="fr-CH"/>
              </w:rPr>
            </w:pPr>
            <w:sdt>
              <w:sdtPr>
                <w:rPr>
                  <w:rFonts w:asciiTheme="majorBidi" w:hAnsiTheme="majorBidi" w:cstheme="majorBidi"/>
                  <w:szCs w:val="24"/>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r w:rsidR="002640D8" w:rsidRPr="002640D8">
                  <w:rPr>
                    <w:rFonts w:asciiTheme="majorBidi" w:hAnsiTheme="majorBidi" w:cstheme="majorBidi"/>
                    <w:szCs w:val="24"/>
                    <w:lang w:val="fr-CH"/>
                  </w:rPr>
                  <w:t xml:space="preserve">L'objet de la présente contribution est de soumettre un projet de nouvelle Résolution sur les études </w:t>
                </w:r>
                <w:r w:rsidR="00B236DB">
                  <w:rPr>
                    <w:rFonts w:asciiTheme="majorBidi" w:hAnsiTheme="majorBidi" w:cstheme="majorBidi"/>
                    <w:szCs w:val="24"/>
                    <w:lang w:val="fr-CH"/>
                  </w:rPr>
                  <w:t>relatives à la lutte</w:t>
                </w:r>
                <w:r w:rsidR="002640D8" w:rsidRPr="002640D8">
                  <w:rPr>
                    <w:rFonts w:asciiTheme="majorBidi" w:hAnsiTheme="majorBidi" w:cstheme="majorBidi"/>
                    <w:szCs w:val="24"/>
                    <w:lang w:val="fr-CH"/>
                  </w:rPr>
                  <w:t xml:space="preserve"> contre la contrefaçon de pr</w:t>
                </w:r>
                <w:r w:rsidR="002640D8">
                  <w:rPr>
                    <w:rFonts w:asciiTheme="majorBidi" w:hAnsiTheme="majorBidi" w:cstheme="majorBidi"/>
                    <w:szCs w:val="24"/>
                    <w:lang w:val="fr-CH"/>
                  </w:rPr>
                  <w:t>oduits, y compris de</w:t>
                </w:r>
                <w:r w:rsidR="002640D8" w:rsidRPr="002640D8">
                  <w:rPr>
                    <w:rFonts w:asciiTheme="majorBidi" w:hAnsiTheme="majorBidi" w:cstheme="majorBidi"/>
                    <w:szCs w:val="24"/>
                    <w:lang w:val="fr-CH"/>
                  </w:rPr>
                  <w:t xml:space="preserve"> dispositifs de télécommunication/TIC</w:t>
                </w:r>
              </w:sdtContent>
            </w:sdt>
            <w:r w:rsidR="001713ED" w:rsidRPr="002640D8">
              <w:rPr>
                <w:rFonts w:asciiTheme="majorBidi" w:hAnsiTheme="majorBidi" w:cstheme="majorBidi"/>
                <w:szCs w:val="24"/>
                <w:lang w:val="fr-CH"/>
              </w:rPr>
              <w:t>.</w:t>
            </w:r>
          </w:p>
        </w:tc>
      </w:tr>
    </w:tbl>
    <w:p w:rsidR="00F776DF" w:rsidRPr="002640D8" w:rsidRDefault="00F776DF" w:rsidP="000505BC">
      <w:pPr>
        <w:tabs>
          <w:tab w:val="clear" w:pos="1134"/>
          <w:tab w:val="clear" w:pos="1871"/>
          <w:tab w:val="clear" w:pos="2268"/>
        </w:tabs>
        <w:overflowPunct/>
        <w:autoSpaceDE/>
        <w:autoSpaceDN/>
        <w:adjustRightInd/>
        <w:spacing w:before="0"/>
        <w:textAlignment w:val="auto"/>
        <w:rPr>
          <w:lang w:val="fr-CH"/>
        </w:rPr>
      </w:pPr>
    </w:p>
    <w:p w:rsidR="00F6125D" w:rsidRPr="000A1EA3" w:rsidRDefault="00F6125D" w:rsidP="000505BC">
      <w:pPr>
        <w:pStyle w:val="Headingb"/>
      </w:pPr>
      <w:r w:rsidRPr="000A1EA3">
        <w:t>Introduction</w:t>
      </w:r>
    </w:p>
    <w:p w:rsidR="002640D8" w:rsidRDefault="002640D8" w:rsidP="000505BC">
      <w:pPr>
        <w:rPr>
          <w:lang w:val="fr-CH"/>
        </w:rPr>
      </w:pPr>
      <w:r w:rsidRPr="002640D8">
        <w:rPr>
          <w:lang w:val="fr-CH"/>
        </w:rPr>
        <w:t xml:space="preserve">Dans un contexte marqué par la croissance rapide du marché des TIC, </w:t>
      </w:r>
      <w:r w:rsidR="00245E97">
        <w:rPr>
          <w:lang w:val="fr-CH"/>
        </w:rPr>
        <w:t xml:space="preserve">les problèmes liés à la vente et à la diffusion de dispositifs de contrefaçon deviennent de plus en plus importants pour les opérateurs, les régulateurs et les utilisateurs </w:t>
      </w:r>
      <w:r w:rsidR="00B236DB">
        <w:rPr>
          <w:lang w:val="fr-CH"/>
        </w:rPr>
        <w:t xml:space="preserve">finals </w:t>
      </w:r>
      <w:r w:rsidR="00245E97">
        <w:rPr>
          <w:lang w:val="fr-CH"/>
        </w:rPr>
        <w:t xml:space="preserve">du monde entier. </w:t>
      </w:r>
      <w:r w:rsidR="00612B50">
        <w:rPr>
          <w:lang w:val="fr-CH"/>
        </w:rPr>
        <w:t xml:space="preserve">L'utilisation de dispositifs de contrefaçon peut avoir une incidence préjudiciable sur les réseaux de télécommunication, en </w:t>
      </w:r>
      <w:r w:rsidR="00B236DB">
        <w:rPr>
          <w:lang w:val="fr-CH"/>
        </w:rPr>
        <w:t>nuisant</w:t>
      </w:r>
      <w:r w:rsidR="00612B50">
        <w:rPr>
          <w:lang w:val="fr-CH"/>
        </w:rPr>
        <w:t xml:space="preserve"> à leur stabilité,</w:t>
      </w:r>
      <w:r w:rsidR="00B236DB">
        <w:rPr>
          <w:lang w:val="fr-CH"/>
        </w:rPr>
        <w:t xml:space="preserve"> ainsi que sur les utilisateurs</w:t>
      </w:r>
      <w:r w:rsidR="00612B50">
        <w:rPr>
          <w:lang w:val="fr-CH"/>
        </w:rPr>
        <w:t xml:space="preserve">, en </w:t>
      </w:r>
      <w:r w:rsidR="00B236DB">
        <w:rPr>
          <w:lang w:val="fr-CH"/>
        </w:rPr>
        <w:t>portant atteinte</w:t>
      </w:r>
      <w:r w:rsidR="00612B50">
        <w:rPr>
          <w:lang w:val="fr-CH"/>
        </w:rPr>
        <w:t xml:space="preserve"> à leur santé.</w:t>
      </w:r>
    </w:p>
    <w:p w:rsidR="00612B50" w:rsidRPr="002640D8" w:rsidRDefault="00612B50" w:rsidP="000505BC">
      <w:pPr>
        <w:rPr>
          <w:lang w:val="fr-CH"/>
        </w:rPr>
      </w:pPr>
      <w:r>
        <w:rPr>
          <w:lang w:val="fr-CH"/>
        </w:rPr>
        <w:t>A cet égard, il importe de mettre au point des mesure</w:t>
      </w:r>
      <w:r w:rsidR="00B456E0">
        <w:rPr>
          <w:lang w:val="fr-CH"/>
        </w:rPr>
        <w:t xml:space="preserve">s </w:t>
      </w:r>
      <w:r w:rsidR="00B236DB">
        <w:rPr>
          <w:lang w:val="fr-CH"/>
        </w:rPr>
        <w:t>pertinentes</w:t>
      </w:r>
      <w:r w:rsidR="00B456E0">
        <w:rPr>
          <w:lang w:val="fr-CH"/>
        </w:rPr>
        <w:t xml:space="preserve"> pour déceler les produits de contrefaçon et de créer des moyens de lutter contre cette pratique, grâce à l'application de procédés d'identification universelle des produits originaux </w:t>
      </w:r>
      <w:r w:rsidR="003340DF">
        <w:rPr>
          <w:lang w:val="fr-CH"/>
        </w:rPr>
        <w:t>utilisant</w:t>
      </w:r>
      <w:r w:rsidR="00B456E0">
        <w:rPr>
          <w:lang w:val="fr-CH"/>
        </w:rPr>
        <w:t xml:space="preserve"> des TIC prometteuses qui garantissent un niveau élevé de sécurité.</w:t>
      </w:r>
    </w:p>
    <w:p w:rsidR="00F6125D" w:rsidRPr="00FF6E6E" w:rsidRDefault="00F6125D" w:rsidP="000505BC">
      <w:pPr>
        <w:pStyle w:val="Headingb"/>
      </w:pPr>
      <w:r w:rsidRPr="00FF6E6E">
        <w:t>Propos</w:t>
      </w:r>
      <w:r w:rsidR="00FF6E6E">
        <w:t>ition</w:t>
      </w:r>
    </w:p>
    <w:p w:rsidR="00FF6E6E" w:rsidRPr="00FF6E6E" w:rsidRDefault="00FF6E6E" w:rsidP="000505BC">
      <w:pPr>
        <w:rPr>
          <w:lang w:val="fr-CH"/>
        </w:rPr>
      </w:pPr>
      <w:r w:rsidRPr="00FF6E6E">
        <w:rPr>
          <w:lang w:val="fr-CH"/>
        </w:rPr>
        <w:t xml:space="preserve">Il est proposé d'adopter une nouvelle Résolution de l'AMNT </w:t>
      </w:r>
      <w:r>
        <w:rPr>
          <w:lang w:val="fr-CH"/>
        </w:rPr>
        <w:t>sur</w:t>
      </w:r>
      <w:r w:rsidRPr="00FF6E6E">
        <w:rPr>
          <w:lang w:val="fr-CH"/>
        </w:rPr>
        <w:t xml:space="preserve"> les études </w:t>
      </w:r>
      <w:r w:rsidR="00B236DB">
        <w:rPr>
          <w:lang w:val="fr-CH"/>
        </w:rPr>
        <w:t>relatives à la lutte</w:t>
      </w:r>
      <w:r w:rsidRPr="00FF6E6E">
        <w:rPr>
          <w:lang w:val="fr-CH"/>
        </w:rPr>
        <w:t xml:space="preserve"> contre la contrefaçon de produits, y compris de dispositifs de télécommunication/TIC, comme indiqué ci</w:t>
      </w:r>
      <w:r>
        <w:rPr>
          <w:lang w:val="fr-CH"/>
        </w:rPr>
        <w:noBreakHyphen/>
      </w:r>
      <w:r w:rsidRPr="00FF6E6E">
        <w:rPr>
          <w:lang w:val="fr-CH"/>
        </w:rPr>
        <w:t>après.</w:t>
      </w:r>
    </w:p>
    <w:p w:rsidR="00F6125D" w:rsidRPr="00FF6E6E" w:rsidRDefault="00F6125D" w:rsidP="000505BC">
      <w:pPr>
        <w:tabs>
          <w:tab w:val="clear" w:pos="1134"/>
          <w:tab w:val="clear" w:pos="1871"/>
          <w:tab w:val="clear" w:pos="2268"/>
        </w:tabs>
        <w:overflowPunct/>
        <w:autoSpaceDE/>
        <w:autoSpaceDN/>
        <w:adjustRightInd/>
        <w:spacing w:before="0"/>
        <w:textAlignment w:val="auto"/>
        <w:rPr>
          <w:lang w:val="fr-CH"/>
        </w:rPr>
      </w:pPr>
      <w:r w:rsidRPr="00FF6E6E">
        <w:rPr>
          <w:lang w:val="fr-CH"/>
        </w:rPr>
        <w:br w:type="page"/>
      </w:r>
    </w:p>
    <w:p w:rsidR="00F6125D" w:rsidRPr="000A1EA3" w:rsidRDefault="00F6125D" w:rsidP="000505BC">
      <w:pPr>
        <w:pStyle w:val="Proposal"/>
        <w:rPr>
          <w:lang w:val="fr-CH"/>
        </w:rPr>
      </w:pPr>
      <w:r w:rsidRPr="000A1EA3">
        <w:rPr>
          <w:lang w:val="fr-CH"/>
        </w:rPr>
        <w:lastRenderedPageBreak/>
        <w:t>ADD</w:t>
      </w:r>
      <w:r w:rsidRPr="000A1EA3">
        <w:rPr>
          <w:lang w:val="fr-CH"/>
        </w:rPr>
        <w:tab/>
        <w:t>RCC/47A11/1</w:t>
      </w:r>
    </w:p>
    <w:p w:rsidR="00F6125D" w:rsidRPr="00FF6E6E" w:rsidRDefault="00FF6E6E" w:rsidP="000505BC">
      <w:pPr>
        <w:pStyle w:val="ResNo"/>
        <w:rPr>
          <w:lang w:val="fr-CH"/>
        </w:rPr>
      </w:pPr>
      <w:r w:rsidRPr="00FF6E6E">
        <w:rPr>
          <w:lang w:val="fr-CH"/>
        </w:rPr>
        <w:t>projet de nouvelle résolution</w:t>
      </w:r>
      <w:r w:rsidR="00F6125D" w:rsidRPr="00FF6E6E">
        <w:rPr>
          <w:lang w:val="fr-CH"/>
        </w:rPr>
        <w:t xml:space="preserve"> [RCC-2]</w:t>
      </w:r>
    </w:p>
    <w:p w:rsidR="00FF6E6E" w:rsidRPr="00FF6E6E" w:rsidRDefault="00FF6E6E" w:rsidP="000505BC">
      <w:pPr>
        <w:pStyle w:val="Restitle"/>
        <w:rPr>
          <w:lang w:val="fr-CH"/>
        </w:rPr>
      </w:pPr>
      <w:r w:rsidRPr="00FF6E6E">
        <w:rPr>
          <w:lang w:val="fr-CH"/>
        </w:rPr>
        <w:t xml:space="preserve">Etudes </w:t>
      </w:r>
      <w:r w:rsidR="00CD651E">
        <w:rPr>
          <w:lang w:val="fr-CH"/>
        </w:rPr>
        <w:t xml:space="preserve">relatives </w:t>
      </w:r>
      <w:r w:rsidR="00CD651E">
        <w:rPr>
          <w:lang w:val="fr-CH"/>
        </w:rPr>
        <w:t>à</w:t>
      </w:r>
      <w:r w:rsidR="00CD651E">
        <w:rPr>
          <w:lang w:val="fr-CH"/>
        </w:rPr>
        <w:t xml:space="preserve"> lutte</w:t>
      </w:r>
      <w:r w:rsidRPr="00FF6E6E">
        <w:rPr>
          <w:lang w:val="fr-CH"/>
        </w:rPr>
        <w:t xml:space="preserve"> contre la contrefa</w:t>
      </w:r>
      <w:r w:rsidRPr="00FF6E6E">
        <w:rPr>
          <w:lang w:val="fr-CH"/>
        </w:rPr>
        <w:t>ç</w:t>
      </w:r>
      <w:r w:rsidRPr="00FF6E6E">
        <w:rPr>
          <w:lang w:val="fr-CH"/>
        </w:rPr>
        <w:t xml:space="preserve">on de produits, y compris </w:t>
      </w:r>
      <w:r>
        <w:rPr>
          <w:lang w:val="fr-CH"/>
        </w:rPr>
        <w:br/>
      </w:r>
      <w:r w:rsidRPr="00FF6E6E">
        <w:rPr>
          <w:lang w:val="fr-CH"/>
        </w:rPr>
        <w:t>de dispositifs de t</w:t>
      </w:r>
      <w:r w:rsidRPr="00FF6E6E">
        <w:rPr>
          <w:lang w:val="fr-CH"/>
        </w:rPr>
        <w:t>é</w:t>
      </w:r>
      <w:r w:rsidRPr="00FF6E6E">
        <w:rPr>
          <w:lang w:val="fr-CH"/>
        </w:rPr>
        <w:t>l</w:t>
      </w:r>
      <w:r w:rsidRPr="00FF6E6E">
        <w:rPr>
          <w:lang w:val="fr-CH"/>
        </w:rPr>
        <w:t>é</w:t>
      </w:r>
      <w:r w:rsidRPr="00FF6E6E">
        <w:rPr>
          <w:lang w:val="fr-CH"/>
        </w:rPr>
        <w:t>communication/TIC</w:t>
      </w:r>
    </w:p>
    <w:p w:rsidR="00F6125D" w:rsidRPr="000A1EA3" w:rsidRDefault="00F6125D" w:rsidP="000505BC">
      <w:pPr>
        <w:pStyle w:val="Restitle"/>
        <w:rPr>
          <w:b w:val="0"/>
          <w:bCs w:val="0"/>
          <w:sz w:val="24"/>
          <w:szCs w:val="18"/>
          <w:lang w:val="fr-CH"/>
        </w:rPr>
      </w:pPr>
      <w:r w:rsidRPr="000A1EA3">
        <w:rPr>
          <w:b w:val="0"/>
          <w:bCs w:val="0"/>
          <w:sz w:val="24"/>
          <w:szCs w:val="18"/>
          <w:lang w:val="fr-CH"/>
        </w:rPr>
        <w:t>(</w:t>
      </w:r>
      <w:r w:rsidRPr="000A1EA3">
        <w:rPr>
          <w:b w:val="0"/>
          <w:bCs w:val="0"/>
          <w:i/>
          <w:iCs/>
          <w:sz w:val="24"/>
          <w:szCs w:val="18"/>
          <w:lang w:val="fr-CH"/>
        </w:rPr>
        <w:t>Hammamet, 2016</w:t>
      </w:r>
      <w:r w:rsidRPr="000A1EA3">
        <w:rPr>
          <w:b w:val="0"/>
          <w:bCs w:val="0"/>
          <w:sz w:val="24"/>
          <w:szCs w:val="18"/>
          <w:lang w:val="fr-CH"/>
        </w:rPr>
        <w:t>)</w:t>
      </w:r>
    </w:p>
    <w:p w:rsidR="000A1EA3" w:rsidRPr="000A1EA3" w:rsidRDefault="000A1EA3" w:rsidP="000505BC">
      <w:pPr>
        <w:rPr>
          <w:lang w:val="fr-CH"/>
        </w:rPr>
      </w:pPr>
      <w:r>
        <w:rPr>
          <w:lang w:val="fr-CH"/>
        </w:rPr>
        <w:t>L'Assemblée mondiale de normalisation des télécommunications (Hammamet, 2016),</w:t>
      </w:r>
    </w:p>
    <w:p w:rsidR="00F6125D" w:rsidRPr="000A1EA3" w:rsidRDefault="00F6125D" w:rsidP="000505BC">
      <w:pPr>
        <w:pStyle w:val="Call"/>
        <w:rPr>
          <w:lang w:val="fr-CH"/>
        </w:rPr>
      </w:pPr>
      <w:r w:rsidRPr="000A1EA3">
        <w:rPr>
          <w:lang w:val="fr-CH"/>
        </w:rPr>
        <w:t>rappelant</w:t>
      </w:r>
    </w:p>
    <w:p w:rsidR="00FF6E6E" w:rsidRPr="00FF6E6E" w:rsidRDefault="00FF6E6E" w:rsidP="000505BC">
      <w:pPr>
        <w:rPr>
          <w:lang w:val="fr-CH"/>
        </w:rPr>
      </w:pPr>
      <w:r w:rsidRPr="00FF6E6E">
        <w:rPr>
          <w:i/>
          <w:iCs/>
          <w:lang w:val="fr-CH"/>
        </w:rPr>
        <w:t>a)</w:t>
      </w:r>
      <w:r w:rsidRPr="00FF6E6E">
        <w:rPr>
          <w:lang w:val="fr-CH"/>
        </w:rPr>
        <w:tab/>
        <w:t xml:space="preserve">la </w:t>
      </w:r>
      <w:r w:rsidR="00870541" w:rsidRPr="00FF6E6E">
        <w:rPr>
          <w:lang w:val="fr-CH"/>
        </w:rPr>
        <w:t>R</w:t>
      </w:r>
      <w:r w:rsidRPr="00FF6E6E">
        <w:rPr>
          <w:lang w:val="fr-CH"/>
        </w:rPr>
        <w:t>é</w:t>
      </w:r>
      <w:r w:rsidR="00870541" w:rsidRPr="00FF6E6E">
        <w:rPr>
          <w:lang w:val="fr-CH"/>
        </w:rPr>
        <w:t>solution 176 (R</w:t>
      </w:r>
      <w:r w:rsidRPr="00FF6E6E">
        <w:rPr>
          <w:lang w:val="fr-CH"/>
        </w:rPr>
        <w:t>é</w:t>
      </w:r>
      <w:r w:rsidR="00870541" w:rsidRPr="00FF6E6E">
        <w:rPr>
          <w:lang w:val="fr-CH"/>
        </w:rPr>
        <w:t xml:space="preserve">v. Busan, 2014) </w:t>
      </w:r>
      <w:r w:rsidRPr="00FF6E6E">
        <w:rPr>
          <w:lang w:val="fr-CH"/>
        </w:rPr>
        <w:t>de la Conférence de plénipotentiaires</w:t>
      </w:r>
      <w:r>
        <w:rPr>
          <w:lang w:val="fr-CH"/>
        </w:rPr>
        <w:t xml:space="preserve"> sur l'exposition des personnes aux champs électromagnétiques et la mesure de ces champs;</w:t>
      </w:r>
    </w:p>
    <w:p w:rsidR="005127F6" w:rsidRPr="00637842" w:rsidRDefault="005127F6" w:rsidP="000505BC">
      <w:pPr>
        <w:rPr>
          <w:lang w:val="fr-CH"/>
        </w:rPr>
      </w:pPr>
      <w:r w:rsidRPr="00637842">
        <w:rPr>
          <w:rFonts w:asciiTheme="majorBidi" w:hAnsiTheme="majorBidi" w:cstheme="majorBidi"/>
          <w:i/>
          <w:iCs/>
          <w:sz w:val="25"/>
          <w:szCs w:val="25"/>
          <w:lang w:val="fr-CH" w:eastAsia="zh-CN"/>
        </w:rPr>
        <w:t>b)</w:t>
      </w:r>
      <w:r w:rsidRPr="00637842">
        <w:rPr>
          <w:rFonts w:asciiTheme="majorBidi" w:hAnsiTheme="majorBidi" w:cstheme="majorBidi"/>
          <w:sz w:val="25"/>
          <w:szCs w:val="25"/>
          <w:lang w:val="fr-CH" w:eastAsia="zh-CN"/>
        </w:rPr>
        <w:tab/>
      </w:r>
      <w:r w:rsidR="00637842" w:rsidRPr="00637842">
        <w:rPr>
          <w:rFonts w:asciiTheme="majorBidi" w:hAnsiTheme="majorBidi" w:cstheme="majorBidi"/>
          <w:sz w:val="25"/>
          <w:szCs w:val="25"/>
          <w:lang w:val="fr-CH" w:eastAsia="zh-CN"/>
        </w:rPr>
        <w:t xml:space="preserve">la </w:t>
      </w:r>
      <w:r w:rsidR="008C3C5C" w:rsidRPr="00637842">
        <w:rPr>
          <w:lang w:val="fr-CH"/>
        </w:rPr>
        <w:t>R</w:t>
      </w:r>
      <w:r w:rsidR="00637842" w:rsidRPr="00637842">
        <w:rPr>
          <w:lang w:val="fr-CH"/>
        </w:rPr>
        <w:t>é</w:t>
      </w:r>
      <w:r w:rsidR="008C3C5C" w:rsidRPr="00637842">
        <w:rPr>
          <w:lang w:val="fr-CH"/>
        </w:rPr>
        <w:t>solution 177 (R</w:t>
      </w:r>
      <w:r w:rsidR="00637842" w:rsidRPr="00637842">
        <w:rPr>
          <w:lang w:val="fr-CH"/>
        </w:rPr>
        <w:t>é</w:t>
      </w:r>
      <w:r w:rsidR="008C3C5C" w:rsidRPr="00637842">
        <w:rPr>
          <w:lang w:val="fr-CH"/>
        </w:rPr>
        <w:t xml:space="preserve">v. Busan, 2014) </w:t>
      </w:r>
      <w:r w:rsidR="00637842" w:rsidRPr="00FF6E6E">
        <w:rPr>
          <w:lang w:val="fr-CH"/>
        </w:rPr>
        <w:t>de la Conférence de plénipotentiaires</w:t>
      </w:r>
      <w:r w:rsidR="008C3C5C" w:rsidRPr="00637842">
        <w:rPr>
          <w:lang w:val="fr-CH"/>
        </w:rPr>
        <w:t xml:space="preserve"> </w:t>
      </w:r>
      <w:r w:rsidR="00637842">
        <w:rPr>
          <w:lang w:val="fr-CH"/>
        </w:rPr>
        <w:t>sur la conformité et l'interopérabilité</w:t>
      </w:r>
      <w:r w:rsidR="008C3C5C" w:rsidRPr="00637842">
        <w:rPr>
          <w:lang w:val="fr-CH"/>
        </w:rPr>
        <w:t>;</w:t>
      </w:r>
    </w:p>
    <w:p w:rsidR="00637842" w:rsidRPr="00637842" w:rsidRDefault="005127F6" w:rsidP="000505BC">
      <w:pPr>
        <w:rPr>
          <w:lang w:val="fr-CH"/>
        </w:rPr>
      </w:pPr>
      <w:r w:rsidRPr="00637842">
        <w:rPr>
          <w:i/>
          <w:iCs/>
          <w:lang w:val="fr-CH"/>
        </w:rPr>
        <w:t>c)</w:t>
      </w:r>
      <w:r w:rsidRPr="00637842">
        <w:rPr>
          <w:lang w:val="fr-CH"/>
        </w:rPr>
        <w:tab/>
      </w:r>
      <w:r w:rsidR="00637842" w:rsidRPr="00637842">
        <w:rPr>
          <w:lang w:val="fr-CH"/>
        </w:rPr>
        <w:t xml:space="preserve">la </w:t>
      </w:r>
      <w:r w:rsidR="00870541" w:rsidRPr="00637842">
        <w:rPr>
          <w:lang w:val="fr-CH"/>
        </w:rPr>
        <w:t>R</w:t>
      </w:r>
      <w:r w:rsidR="00637842" w:rsidRPr="00637842">
        <w:rPr>
          <w:lang w:val="fr-CH"/>
        </w:rPr>
        <w:t>é</w:t>
      </w:r>
      <w:r w:rsidR="00637842">
        <w:rPr>
          <w:lang w:val="fr-CH"/>
        </w:rPr>
        <w:t>solution 182 (Ré</w:t>
      </w:r>
      <w:r w:rsidR="00870541" w:rsidRPr="00637842">
        <w:rPr>
          <w:lang w:val="fr-CH"/>
        </w:rPr>
        <w:t xml:space="preserve">v. Busan, 2014) </w:t>
      </w:r>
      <w:r w:rsidR="00637842" w:rsidRPr="00FF6E6E">
        <w:rPr>
          <w:lang w:val="fr-CH"/>
        </w:rPr>
        <w:t>de la Conférence de plénipotentiaires</w:t>
      </w:r>
      <w:r w:rsidR="00637842">
        <w:rPr>
          <w:lang w:val="fr-CH"/>
        </w:rPr>
        <w:t xml:space="preserve"> sur le </w:t>
      </w:r>
      <w:r w:rsidR="00637842" w:rsidRPr="00637842">
        <w:rPr>
          <w:lang w:val="fr-CH"/>
        </w:rPr>
        <w:t xml:space="preserve">rôle des </w:t>
      </w:r>
      <w:r w:rsidR="000A1EA3">
        <w:rPr>
          <w:lang w:val="fr-CH"/>
        </w:rPr>
        <w:t>télécommunications/</w:t>
      </w:r>
      <w:r w:rsidR="00637842" w:rsidRPr="00637842">
        <w:rPr>
          <w:lang w:val="fr-CH"/>
        </w:rPr>
        <w:t>technologies de l'information et de la communication en ce qui concerne les changements climatiques et la protection de l'environnement</w:t>
      </w:r>
      <w:r w:rsidR="00637842">
        <w:rPr>
          <w:lang w:val="fr-CH"/>
        </w:rPr>
        <w:t>;</w:t>
      </w:r>
    </w:p>
    <w:p w:rsidR="00637842" w:rsidRPr="00637842" w:rsidRDefault="005127F6" w:rsidP="000505BC">
      <w:pPr>
        <w:rPr>
          <w:lang w:val="fr-CH"/>
        </w:rPr>
      </w:pPr>
      <w:r w:rsidRPr="00637842">
        <w:rPr>
          <w:rFonts w:asciiTheme="majorBidi" w:hAnsiTheme="majorBidi" w:cstheme="majorBidi"/>
          <w:i/>
          <w:iCs/>
          <w:sz w:val="25"/>
          <w:szCs w:val="25"/>
          <w:lang w:val="fr-CH" w:eastAsia="zh-CN"/>
        </w:rPr>
        <w:t>d)</w:t>
      </w:r>
      <w:r w:rsidRPr="00637842">
        <w:rPr>
          <w:rFonts w:asciiTheme="majorBidi" w:hAnsiTheme="majorBidi" w:cstheme="majorBidi"/>
          <w:sz w:val="25"/>
          <w:szCs w:val="25"/>
          <w:lang w:val="fr-CH" w:eastAsia="zh-CN"/>
        </w:rPr>
        <w:tab/>
      </w:r>
      <w:r w:rsidR="00637842" w:rsidRPr="00637842">
        <w:rPr>
          <w:rFonts w:asciiTheme="majorBidi" w:hAnsiTheme="majorBidi" w:cstheme="majorBidi"/>
          <w:sz w:val="25"/>
          <w:szCs w:val="25"/>
          <w:lang w:val="fr-CH" w:eastAsia="zh-CN"/>
        </w:rPr>
        <w:t xml:space="preserve">la </w:t>
      </w:r>
      <w:r w:rsidR="00870541" w:rsidRPr="00637842">
        <w:rPr>
          <w:lang w:val="fr-CH"/>
        </w:rPr>
        <w:t>R</w:t>
      </w:r>
      <w:r w:rsidR="00637842" w:rsidRPr="00637842">
        <w:rPr>
          <w:lang w:val="fr-CH"/>
        </w:rPr>
        <w:t>é</w:t>
      </w:r>
      <w:r w:rsidR="00870541" w:rsidRPr="00637842">
        <w:rPr>
          <w:lang w:val="fr-CH"/>
        </w:rPr>
        <w:t>solution 188 (R</w:t>
      </w:r>
      <w:r w:rsidR="00637842" w:rsidRPr="00637842">
        <w:rPr>
          <w:lang w:val="fr-CH"/>
        </w:rPr>
        <w:t>é</w:t>
      </w:r>
      <w:r w:rsidR="00870541" w:rsidRPr="00637842">
        <w:rPr>
          <w:lang w:val="fr-CH"/>
        </w:rPr>
        <w:t xml:space="preserve">v. Busan, 2014) </w:t>
      </w:r>
      <w:r w:rsidR="00637842" w:rsidRPr="00FF6E6E">
        <w:rPr>
          <w:lang w:val="fr-CH"/>
        </w:rPr>
        <w:t>de la Conférence de plénipotentiaires</w:t>
      </w:r>
      <w:r w:rsidR="00637842">
        <w:rPr>
          <w:lang w:val="fr-CH"/>
        </w:rPr>
        <w:t xml:space="preserve"> visant à l</w:t>
      </w:r>
      <w:r w:rsidR="00637842" w:rsidRPr="00637842">
        <w:rPr>
          <w:lang w:val="fr-CH"/>
        </w:rPr>
        <w:t>utter contre la contrefaçon de dispositifs de télécommunication fondés sur les technologies de l'information et de la communication</w:t>
      </w:r>
      <w:r w:rsidR="00637842">
        <w:rPr>
          <w:lang w:val="fr-CH"/>
        </w:rPr>
        <w:t>;</w:t>
      </w:r>
    </w:p>
    <w:p w:rsidR="00637842" w:rsidRPr="00637842" w:rsidRDefault="005127F6" w:rsidP="000505BC">
      <w:pPr>
        <w:rPr>
          <w:lang w:val="fr-CH"/>
        </w:rPr>
      </w:pPr>
      <w:r w:rsidRPr="00637842">
        <w:rPr>
          <w:rFonts w:asciiTheme="majorBidi" w:hAnsiTheme="majorBidi" w:cstheme="majorBidi"/>
          <w:i/>
          <w:iCs/>
          <w:szCs w:val="24"/>
          <w:lang w:val="fr-CH" w:eastAsia="zh-CN"/>
        </w:rPr>
        <w:t>e)</w:t>
      </w:r>
      <w:r w:rsidRPr="00637842">
        <w:rPr>
          <w:rFonts w:asciiTheme="majorBidi" w:hAnsiTheme="majorBidi" w:cstheme="majorBidi"/>
          <w:szCs w:val="24"/>
          <w:lang w:val="fr-CH" w:eastAsia="zh-CN"/>
        </w:rPr>
        <w:tab/>
      </w:r>
      <w:r w:rsidR="00637842" w:rsidRPr="00637842">
        <w:rPr>
          <w:rFonts w:asciiTheme="majorBidi" w:hAnsiTheme="majorBidi" w:cstheme="majorBidi"/>
          <w:szCs w:val="24"/>
          <w:lang w:val="fr-CH" w:eastAsia="zh-CN"/>
        </w:rPr>
        <w:t xml:space="preserve">la </w:t>
      </w:r>
      <w:r w:rsidR="00870541" w:rsidRPr="00637842">
        <w:rPr>
          <w:lang w:val="fr-CH"/>
        </w:rPr>
        <w:t>R</w:t>
      </w:r>
      <w:r w:rsidR="00637842" w:rsidRPr="00637842">
        <w:rPr>
          <w:lang w:val="fr-CH"/>
        </w:rPr>
        <w:t>é</w:t>
      </w:r>
      <w:r w:rsidR="00870541" w:rsidRPr="00637842">
        <w:rPr>
          <w:lang w:val="fr-CH"/>
        </w:rPr>
        <w:t>solution 72 (R</w:t>
      </w:r>
      <w:r w:rsidR="00637842" w:rsidRPr="00637842">
        <w:rPr>
          <w:lang w:val="fr-CH"/>
        </w:rPr>
        <w:t>é</w:t>
      </w:r>
      <w:r w:rsidR="00870541" w:rsidRPr="00637842">
        <w:rPr>
          <w:lang w:val="fr-CH"/>
        </w:rPr>
        <w:t xml:space="preserve">v. </w:t>
      </w:r>
      <w:r w:rsidR="00637842" w:rsidRPr="00637842">
        <w:rPr>
          <w:lang w:val="fr-CH"/>
        </w:rPr>
        <w:t>Dubaï</w:t>
      </w:r>
      <w:r w:rsidR="00870541" w:rsidRPr="00637842">
        <w:rPr>
          <w:lang w:val="fr-CH"/>
        </w:rPr>
        <w:t xml:space="preserve">, 2012) </w:t>
      </w:r>
      <w:r w:rsidR="00637842" w:rsidRPr="00637842">
        <w:rPr>
          <w:lang w:val="fr-CH"/>
        </w:rPr>
        <w:t>de l'Assemblée mondiale de normalisation des télécommunications (AMNT) sur les problèmes de mesure liés à l'exposition des personnes aux champs électromagnétiques</w:t>
      </w:r>
      <w:r w:rsidR="00637842">
        <w:rPr>
          <w:lang w:val="fr-CH"/>
        </w:rPr>
        <w:t>;</w:t>
      </w:r>
    </w:p>
    <w:p w:rsidR="00637842" w:rsidRPr="00637842" w:rsidRDefault="005127F6" w:rsidP="000505BC">
      <w:pPr>
        <w:rPr>
          <w:lang w:val="fr-CH"/>
        </w:rPr>
      </w:pPr>
      <w:r w:rsidRPr="00637842">
        <w:rPr>
          <w:rFonts w:asciiTheme="majorBidi" w:hAnsiTheme="majorBidi" w:cstheme="majorBidi"/>
          <w:i/>
          <w:iCs/>
          <w:szCs w:val="24"/>
          <w:lang w:val="fr-CH"/>
        </w:rPr>
        <w:t>f)</w:t>
      </w:r>
      <w:r w:rsidRPr="00637842">
        <w:rPr>
          <w:rFonts w:asciiTheme="majorBidi" w:hAnsiTheme="majorBidi" w:cstheme="majorBidi"/>
          <w:szCs w:val="24"/>
          <w:lang w:val="fr-CH"/>
        </w:rPr>
        <w:tab/>
      </w:r>
      <w:r w:rsidR="00637842" w:rsidRPr="00637842">
        <w:rPr>
          <w:rFonts w:asciiTheme="majorBidi" w:hAnsiTheme="majorBidi" w:cstheme="majorBidi"/>
          <w:szCs w:val="24"/>
          <w:lang w:val="fr-CH"/>
        </w:rPr>
        <w:t xml:space="preserve">la </w:t>
      </w:r>
      <w:r w:rsidR="00870541" w:rsidRPr="00637842">
        <w:rPr>
          <w:lang w:val="fr-CH"/>
        </w:rPr>
        <w:t>R</w:t>
      </w:r>
      <w:r w:rsidR="00637842" w:rsidRPr="00637842">
        <w:rPr>
          <w:lang w:val="fr-CH"/>
        </w:rPr>
        <w:t>é</w:t>
      </w:r>
      <w:r w:rsidR="00870541" w:rsidRPr="00637842">
        <w:rPr>
          <w:lang w:val="fr-CH"/>
        </w:rPr>
        <w:t>solution 79 (Duba</w:t>
      </w:r>
      <w:r w:rsidR="00637842" w:rsidRPr="00637842">
        <w:rPr>
          <w:lang w:val="fr-CH"/>
        </w:rPr>
        <w:t>ï</w:t>
      </w:r>
      <w:r w:rsidR="00870541" w:rsidRPr="00637842">
        <w:rPr>
          <w:lang w:val="fr-CH"/>
        </w:rPr>
        <w:t xml:space="preserve">, 2012) </w:t>
      </w:r>
      <w:r w:rsidR="00637842" w:rsidRPr="00637842">
        <w:rPr>
          <w:lang w:val="fr-CH"/>
        </w:rPr>
        <w:t>de l'AMNT</w:t>
      </w:r>
      <w:r w:rsidR="00637842">
        <w:rPr>
          <w:lang w:val="fr-CH"/>
        </w:rPr>
        <w:t xml:space="preserve"> sur le r</w:t>
      </w:r>
      <w:r w:rsidR="00637842" w:rsidRPr="00637842">
        <w:rPr>
          <w:lang w:val="fr-CH"/>
        </w:rPr>
        <w:t xml:space="preserve">ôle des télécommunications/technologies de l'information et de la communication dans la gestion et le contrôle des déchets électriques et électroniques provenant d'équipements de télécommunication et des technologies de l'information et </w:t>
      </w:r>
      <w:r w:rsidR="00756363">
        <w:rPr>
          <w:lang w:val="fr-CH"/>
        </w:rPr>
        <w:t xml:space="preserve">les </w:t>
      </w:r>
      <w:r w:rsidR="00637842" w:rsidRPr="00637842">
        <w:rPr>
          <w:lang w:val="fr-CH"/>
        </w:rPr>
        <w:t>méthodes de traitement associées</w:t>
      </w:r>
      <w:r w:rsidR="00637842">
        <w:rPr>
          <w:lang w:val="fr-CH"/>
        </w:rPr>
        <w:t>;</w:t>
      </w:r>
    </w:p>
    <w:p w:rsidR="0051266D" w:rsidRPr="00637842" w:rsidRDefault="005127F6" w:rsidP="000505BC">
      <w:pPr>
        <w:rPr>
          <w:rFonts w:asciiTheme="majorBidi" w:eastAsia="MS Mincho" w:hAnsiTheme="majorBidi" w:cstheme="majorBidi"/>
          <w:szCs w:val="24"/>
          <w:lang w:val="fr-FR" w:eastAsia="ja-JP"/>
        </w:rPr>
      </w:pPr>
      <w:r w:rsidRPr="00637842">
        <w:rPr>
          <w:rFonts w:asciiTheme="majorBidi" w:hAnsiTheme="majorBidi" w:cstheme="majorBidi"/>
          <w:i/>
          <w:iCs/>
          <w:lang w:val="fr-FR"/>
        </w:rPr>
        <w:t>g)</w:t>
      </w:r>
      <w:r w:rsidRPr="00637842">
        <w:rPr>
          <w:rFonts w:asciiTheme="majorBidi" w:hAnsiTheme="majorBidi" w:cstheme="majorBidi"/>
          <w:lang w:val="fr-FR"/>
        </w:rPr>
        <w:tab/>
      </w:r>
      <w:r w:rsidR="0051266D" w:rsidRPr="00637842">
        <w:rPr>
          <w:rFonts w:asciiTheme="majorBidi" w:hAnsiTheme="majorBidi" w:cstheme="majorBidi"/>
          <w:color w:val="000000"/>
          <w:lang w:val="fr-FR"/>
        </w:rPr>
        <w:t>la Résolution 47 (Rév.</w:t>
      </w:r>
      <w:r w:rsidR="0051266D" w:rsidRPr="00637842">
        <w:rPr>
          <w:rFonts w:asciiTheme="majorBidi" w:hAnsiTheme="majorBidi" w:cstheme="majorBidi"/>
          <w:lang w:val="fr-FR"/>
        </w:rPr>
        <w:t> </w:t>
      </w:r>
      <w:r w:rsidR="0051266D" w:rsidRPr="00637842">
        <w:rPr>
          <w:rFonts w:asciiTheme="majorBidi" w:hAnsiTheme="majorBidi" w:cstheme="majorBidi"/>
          <w:color w:val="000000"/>
          <w:lang w:val="fr-FR"/>
        </w:rPr>
        <w:t xml:space="preserve">Dubaï, 2014) de la Conférence mondiale de développement des télécommunications (CMDT), </w:t>
      </w:r>
      <w:r w:rsidR="00637842" w:rsidRPr="00637842">
        <w:rPr>
          <w:rFonts w:asciiTheme="majorBidi" w:hAnsiTheme="majorBidi" w:cstheme="majorBidi"/>
          <w:color w:val="000000"/>
          <w:lang w:val="fr-FR"/>
        </w:rPr>
        <w:t>dont l'objet est de m</w:t>
      </w:r>
      <w:r w:rsidR="0051266D" w:rsidRPr="00637842">
        <w:rPr>
          <w:rFonts w:asciiTheme="majorBidi" w:hAnsiTheme="majorBidi" w:cstheme="majorBidi"/>
          <w:color w:val="000000"/>
          <w:lang w:val="fr-FR"/>
        </w:rPr>
        <w:t>ieux faire connaître et appliquer les Recommandations de l'UIT dans les pays en développement</w:t>
      </w:r>
      <w:r w:rsidR="0051266D" w:rsidRPr="00E50A0C">
        <w:rPr>
          <w:rStyle w:val="FootnoteReference"/>
          <w:rFonts w:asciiTheme="majorBidi" w:hAnsiTheme="majorBidi" w:cstheme="majorBidi"/>
          <w:color w:val="000000"/>
          <w:vertAlign w:val="superscript"/>
          <w:lang w:val="fr-FR"/>
        </w:rPr>
        <w:footnoteReference w:customMarkFollows="1" w:id="1"/>
        <w:t>1</w:t>
      </w:r>
      <w:r w:rsidR="0051266D" w:rsidRPr="00637842">
        <w:rPr>
          <w:rFonts w:asciiTheme="majorBidi" w:hAnsiTheme="majorBidi" w:cstheme="majorBidi"/>
          <w:color w:val="000000"/>
          <w:lang w:val="fr-FR"/>
        </w:rPr>
        <w:t>, y compris les essais de conformité et d'interopérabilité des systèmes produits sur la base de Recommandations de l'UIT</w:t>
      </w:r>
      <w:r w:rsidR="0051266D" w:rsidRPr="00637842">
        <w:rPr>
          <w:rFonts w:asciiTheme="majorBidi" w:eastAsia="MS Mincho" w:hAnsiTheme="majorBidi" w:cstheme="majorBidi"/>
          <w:szCs w:val="24"/>
          <w:lang w:val="fr-FR" w:eastAsia="ja-JP"/>
        </w:rPr>
        <w:t>;</w:t>
      </w:r>
    </w:p>
    <w:p w:rsidR="00637842" w:rsidRPr="00637842" w:rsidRDefault="005127F6" w:rsidP="000505BC">
      <w:pPr>
        <w:rPr>
          <w:lang w:val="fr-FR"/>
        </w:rPr>
      </w:pPr>
      <w:r w:rsidRPr="00637842">
        <w:rPr>
          <w:i/>
          <w:iCs/>
          <w:lang w:val="fr-FR"/>
        </w:rPr>
        <w:t>h)</w:t>
      </w:r>
      <w:r w:rsidRPr="00637842">
        <w:rPr>
          <w:lang w:val="fr-FR"/>
        </w:rPr>
        <w:tab/>
      </w:r>
      <w:r w:rsidR="00637842" w:rsidRPr="00637842">
        <w:rPr>
          <w:lang w:val="fr-FR"/>
        </w:rPr>
        <w:t xml:space="preserve">la </w:t>
      </w:r>
      <w:r w:rsidR="00870541" w:rsidRPr="00637842">
        <w:rPr>
          <w:lang w:val="fr-FR"/>
        </w:rPr>
        <w:t>R</w:t>
      </w:r>
      <w:r w:rsidR="00637842" w:rsidRPr="00637842">
        <w:rPr>
          <w:lang w:val="fr-FR"/>
        </w:rPr>
        <w:t>é</w:t>
      </w:r>
      <w:r w:rsidR="00870541" w:rsidRPr="00637842">
        <w:rPr>
          <w:lang w:val="fr-FR"/>
        </w:rPr>
        <w:t>solution 62 (R</w:t>
      </w:r>
      <w:r w:rsidR="00637842" w:rsidRPr="00637842">
        <w:rPr>
          <w:lang w:val="fr-FR"/>
        </w:rPr>
        <w:t>é</w:t>
      </w:r>
      <w:r w:rsidR="00870541" w:rsidRPr="00637842">
        <w:rPr>
          <w:lang w:val="fr-FR"/>
        </w:rPr>
        <w:t>v. Duba</w:t>
      </w:r>
      <w:r w:rsidR="00637842" w:rsidRPr="00637842">
        <w:rPr>
          <w:lang w:val="fr-FR"/>
        </w:rPr>
        <w:t>ï</w:t>
      </w:r>
      <w:r w:rsidR="00870541" w:rsidRPr="00637842">
        <w:rPr>
          <w:lang w:val="fr-FR"/>
        </w:rPr>
        <w:t xml:space="preserve">, 2014) </w:t>
      </w:r>
      <w:r w:rsidR="00637842" w:rsidRPr="00637842">
        <w:rPr>
          <w:lang w:val="fr-FR"/>
        </w:rPr>
        <w:t>de la CMDT sur les problèmes de mesure liés à l'exposition des personnes aux champs électromagnétiques;</w:t>
      </w:r>
    </w:p>
    <w:p w:rsidR="0051266D" w:rsidRDefault="005127F6" w:rsidP="000505BC">
      <w:pPr>
        <w:rPr>
          <w:color w:val="000000"/>
          <w:lang w:val="fr-FR"/>
        </w:rPr>
      </w:pPr>
      <w:r w:rsidRPr="0051266D">
        <w:rPr>
          <w:rFonts w:asciiTheme="majorBidi" w:hAnsiTheme="majorBidi" w:cstheme="majorBidi"/>
          <w:i/>
          <w:iCs/>
          <w:szCs w:val="24"/>
          <w:lang w:val="fr-FR" w:eastAsia="zh-CN"/>
        </w:rPr>
        <w:t>i)</w:t>
      </w:r>
      <w:r w:rsidRPr="0051266D">
        <w:rPr>
          <w:rFonts w:asciiTheme="majorBidi" w:hAnsiTheme="majorBidi" w:cstheme="majorBidi"/>
          <w:szCs w:val="24"/>
          <w:lang w:val="fr-FR" w:eastAsia="zh-CN"/>
        </w:rPr>
        <w:tab/>
      </w:r>
      <w:r w:rsidR="0051266D" w:rsidRPr="0051266D">
        <w:rPr>
          <w:color w:val="000000"/>
          <w:lang w:val="fr-FR"/>
        </w:rPr>
        <w:t>la Résolution 79 (Dubaï, 2014) de la CMDT sur le rôle des</w:t>
      </w:r>
      <w:r w:rsidR="00D74F25">
        <w:rPr>
          <w:color w:val="000000"/>
          <w:lang w:val="fr-FR"/>
        </w:rPr>
        <w:t xml:space="preserve"> </w:t>
      </w:r>
      <w:r w:rsidR="0051266D" w:rsidRPr="0051266D">
        <w:rPr>
          <w:lang w:val="fr-FR"/>
        </w:rPr>
        <w:t>télécommunications/technologies de l'information et de la communication dans la lutte contre la contrefaçon de dispositifs de télécommunication/</w:t>
      </w:r>
      <w:r w:rsidR="00B236DB">
        <w:rPr>
          <w:lang w:val="fr-FR"/>
        </w:rPr>
        <w:t>d'information et de communication</w:t>
      </w:r>
      <w:r w:rsidR="0051266D" w:rsidRPr="0051266D">
        <w:rPr>
          <w:lang w:val="fr-FR"/>
        </w:rPr>
        <w:t xml:space="preserve"> et le traitement de ce problème</w:t>
      </w:r>
      <w:r w:rsidR="0051266D" w:rsidRPr="0051266D">
        <w:rPr>
          <w:color w:val="000000"/>
          <w:lang w:val="fr-FR"/>
        </w:rPr>
        <w:t>,</w:t>
      </w:r>
    </w:p>
    <w:p w:rsidR="00F6125D" w:rsidRPr="0051266D" w:rsidRDefault="00870541" w:rsidP="000505BC">
      <w:pPr>
        <w:pStyle w:val="Call"/>
        <w:rPr>
          <w:lang w:val="fr-FR"/>
        </w:rPr>
      </w:pPr>
      <w:r w:rsidRPr="0051266D">
        <w:rPr>
          <w:lang w:val="fr-FR"/>
        </w:rPr>
        <w:t>reconnaissant</w:t>
      </w:r>
    </w:p>
    <w:p w:rsidR="0051266D" w:rsidRPr="00EA155C" w:rsidRDefault="0051266D" w:rsidP="000505BC">
      <w:pPr>
        <w:rPr>
          <w:lang w:val="fr-FR"/>
        </w:rPr>
      </w:pPr>
      <w:r w:rsidRPr="00EA155C">
        <w:rPr>
          <w:i/>
          <w:iCs/>
          <w:lang w:val="fr-FR"/>
        </w:rPr>
        <w:t>a)</w:t>
      </w:r>
      <w:r w:rsidRPr="0051266D">
        <w:rPr>
          <w:rFonts w:eastAsia="MS Mincho"/>
          <w:lang w:val="fr-FR" w:eastAsia="ja-JP"/>
        </w:rPr>
        <w:tab/>
      </w:r>
      <w:r w:rsidRPr="00EA155C">
        <w:rPr>
          <w:lang w:val="fr-CH"/>
        </w:rPr>
        <w:t>que la vente et la circulation de dispositifs de contrefaçon sur le marché est un problème de plus en plus préoccupant, qui a des conséquences négatives pour les utilisateurs, les pouvoirs publics et le secteur privé</w:t>
      </w:r>
      <w:r w:rsidRPr="00EA155C">
        <w:rPr>
          <w:lang w:val="fr-FR"/>
        </w:rPr>
        <w:t>;</w:t>
      </w:r>
    </w:p>
    <w:p w:rsidR="0051266D" w:rsidRPr="0051266D" w:rsidRDefault="0051266D" w:rsidP="000505BC">
      <w:pPr>
        <w:rPr>
          <w:lang w:val="fr-FR"/>
        </w:rPr>
      </w:pPr>
      <w:r w:rsidRPr="0051266D">
        <w:rPr>
          <w:rFonts w:eastAsia="MS Mincho"/>
          <w:i/>
          <w:lang w:val="fr-FR" w:eastAsia="ja-JP"/>
        </w:rPr>
        <w:t>b)</w:t>
      </w:r>
      <w:r w:rsidRPr="0051266D">
        <w:rPr>
          <w:rFonts w:eastAsia="MS Mincho"/>
          <w:lang w:val="fr-FR" w:eastAsia="ja-JP"/>
        </w:rPr>
        <w:tab/>
      </w:r>
      <w:r w:rsidRPr="006A7C2E">
        <w:rPr>
          <w:lang w:val="fr-CH"/>
        </w:rPr>
        <w:t>que</w:t>
      </w:r>
      <w:r w:rsidRPr="00EA155C">
        <w:rPr>
          <w:lang w:val="fr-CH"/>
        </w:rPr>
        <w:t xml:space="preserve"> les dispositifs de télécommunication/TIC de contrefaçon risquent de nuire à la sécurité et à la qualité</w:t>
      </w:r>
      <w:r w:rsidRPr="0051266D">
        <w:rPr>
          <w:lang w:val="fr-FR"/>
        </w:rPr>
        <w:t xml:space="preserve"> de service pour les utilisateurs;</w:t>
      </w:r>
    </w:p>
    <w:p w:rsidR="0051266D" w:rsidRPr="0051266D" w:rsidRDefault="0051266D" w:rsidP="000505BC">
      <w:pPr>
        <w:rPr>
          <w:rFonts w:eastAsia="MS Mincho"/>
          <w:lang w:val="fr-FR" w:eastAsia="ja-JP"/>
        </w:rPr>
      </w:pPr>
      <w:r w:rsidRPr="0051266D">
        <w:rPr>
          <w:rFonts w:eastAsia="MS Mincho"/>
          <w:i/>
          <w:lang w:val="fr-FR" w:eastAsia="ja-JP"/>
        </w:rPr>
        <w:t>c)</w:t>
      </w:r>
      <w:r w:rsidRPr="0051266D">
        <w:rPr>
          <w:rFonts w:eastAsia="MS Mincho"/>
          <w:lang w:val="fr-FR" w:eastAsia="ja-JP"/>
        </w:rPr>
        <w:tab/>
      </w:r>
      <w:r w:rsidRPr="006A7C2E">
        <w:rPr>
          <w:lang w:val="fr-CH"/>
        </w:rPr>
        <w:t>que</w:t>
      </w:r>
      <w:r w:rsidRPr="0051266D">
        <w:rPr>
          <w:rFonts w:eastAsia="MS Mincho"/>
          <w:lang w:val="fr-FR" w:eastAsia="ja-JP"/>
        </w:rPr>
        <w:t xml:space="preserve"> </w:t>
      </w:r>
      <w:r w:rsidRPr="00EA155C">
        <w:rPr>
          <w:lang w:val="fr-CH"/>
        </w:rPr>
        <w:t>les dispositifs de télécommunication/TIC de contrefaçon présentent souvent une teneur en substances dangereuses supérieure à la limite autorisée ou inacceptable, ce qui représente une menace pour les</w:t>
      </w:r>
      <w:r w:rsidRPr="0051266D">
        <w:rPr>
          <w:rFonts w:eastAsia="MS Mincho"/>
          <w:lang w:val="fr-FR" w:eastAsia="ja-JP"/>
        </w:rPr>
        <w:t xml:space="preserve"> consommateurs et l'environnement;</w:t>
      </w:r>
    </w:p>
    <w:p w:rsidR="0051266D" w:rsidRPr="0051266D" w:rsidRDefault="0051266D" w:rsidP="000505BC">
      <w:pPr>
        <w:rPr>
          <w:rFonts w:eastAsia="MS Mincho"/>
          <w:lang w:val="fr-FR" w:eastAsia="ja-JP"/>
        </w:rPr>
      </w:pPr>
      <w:r w:rsidRPr="0051266D">
        <w:rPr>
          <w:rFonts w:eastAsia="MS Mincho"/>
          <w:i/>
          <w:lang w:val="fr-FR" w:eastAsia="ja-JP"/>
        </w:rPr>
        <w:t>d)</w:t>
      </w:r>
      <w:r w:rsidRPr="0051266D">
        <w:rPr>
          <w:rFonts w:eastAsia="MS Mincho"/>
          <w:lang w:val="fr-FR" w:eastAsia="ja-JP"/>
        </w:rPr>
        <w:tab/>
      </w:r>
      <w:r w:rsidRPr="006A7C2E">
        <w:rPr>
          <w:lang w:val="fr-CH"/>
        </w:rPr>
        <w:t xml:space="preserve">que certains pays ont adopté des mesures de sensibilisation </w:t>
      </w:r>
      <w:r w:rsidR="00E268A9" w:rsidRPr="006A7C2E">
        <w:rPr>
          <w:lang w:val="fr-CH"/>
        </w:rPr>
        <w:t xml:space="preserve">à ce problème </w:t>
      </w:r>
      <w:r w:rsidRPr="006A7C2E">
        <w:rPr>
          <w:lang w:val="fr-CH"/>
        </w:rPr>
        <w:t>et mis en place, avec succès, des solutions visant à prévenir la multiplication des dispositifs de télécommunication/TIC de contrefaçon</w:t>
      </w:r>
      <w:r w:rsidR="00E268A9" w:rsidRPr="006A7C2E">
        <w:rPr>
          <w:lang w:val="fr-CH"/>
        </w:rPr>
        <w:t>,</w:t>
      </w:r>
      <w:r w:rsidRPr="006A7C2E">
        <w:rPr>
          <w:lang w:val="fr-CH"/>
        </w:rPr>
        <w:t xml:space="preserve"> et que les pays en développement </w:t>
      </w:r>
      <w:r w:rsidR="00B236DB" w:rsidRPr="006A7C2E">
        <w:rPr>
          <w:lang w:val="fr-CH"/>
        </w:rPr>
        <w:t>ainsi que</w:t>
      </w:r>
      <w:r w:rsidR="00E268A9" w:rsidRPr="006A7C2E">
        <w:rPr>
          <w:lang w:val="fr-CH"/>
        </w:rPr>
        <w:t xml:space="preserve"> les pays développés </w:t>
      </w:r>
      <w:r w:rsidRPr="006A7C2E">
        <w:rPr>
          <w:lang w:val="fr-CH"/>
        </w:rPr>
        <w:t>pourraient</w:t>
      </w:r>
      <w:r w:rsidRPr="0051266D">
        <w:rPr>
          <w:lang w:val="fr-FR"/>
        </w:rPr>
        <w:t xml:space="preserve"> tirer parti de ces données d'expérience;</w:t>
      </w:r>
    </w:p>
    <w:p w:rsidR="0051266D" w:rsidRPr="006A7C2E" w:rsidRDefault="005127F6" w:rsidP="000505BC">
      <w:pPr>
        <w:rPr>
          <w:lang w:val="fr-CH"/>
        </w:rPr>
      </w:pPr>
      <w:r w:rsidRPr="0051266D">
        <w:rPr>
          <w:i/>
          <w:iCs/>
          <w:lang w:val="fr-FR"/>
        </w:rPr>
        <w:t>e)</w:t>
      </w:r>
      <w:r w:rsidRPr="0051266D">
        <w:rPr>
          <w:lang w:val="fr-FR"/>
        </w:rPr>
        <w:tab/>
      </w:r>
      <w:r w:rsidR="0051266D" w:rsidRPr="006A7C2E">
        <w:rPr>
          <w:lang w:val="fr-CH"/>
        </w:rPr>
        <w:t>que la Recommandation UIT</w:t>
      </w:r>
      <w:r w:rsidR="0051266D" w:rsidRPr="006A7C2E">
        <w:rPr>
          <w:lang w:val="fr-CH"/>
        </w:rPr>
        <w:noBreakHyphen/>
        <w:t>T X.1255, qui est fondée sur l'architecture des objets numériques</w:t>
      </w:r>
      <w:r w:rsidR="00910F33" w:rsidRPr="006A7C2E">
        <w:rPr>
          <w:lang w:val="fr-CH"/>
        </w:rPr>
        <w:t xml:space="preserve"> (DOA)</w:t>
      </w:r>
      <w:r w:rsidR="0051266D" w:rsidRPr="006A7C2E">
        <w:rPr>
          <w:lang w:val="fr-CH"/>
        </w:rPr>
        <w:t>, établit un cadre pour la découverte des informations relatives à la gestion d'identité;</w:t>
      </w:r>
    </w:p>
    <w:p w:rsidR="00910F33" w:rsidRPr="00910F33" w:rsidRDefault="005127F6" w:rsidP="000505BC">
      <w:pPr>
        <w:rPr>
          <w:lang w:val="fr-FR"/>
        </w:rPr>
      </w:pPr>
      <w:r w:rsidRPr="00910F33">
        <w:rPr>
          <w:i/>
          <w:iCs/>
          <w:lang w:val="fr-FR"/>
        </w:rPr>
        <w:t>f)</w:t>
      </w:r>
      <w:r w:rsidRPr="00910F33">
        <w:rPr>
          <w:lang w:val="fr-FR"/>
        </w:rPr>
        <w:tab/>
      </w:r>
      <w:r w:rsidR="00910F33" w:rsidRPr="00910F33">
        <w:rPr>
          <w:lang w:val="fr-FR"/>
        </w:rPr>
        <w:t xml:space="preserve">que l'accord-cadre général </w:t>
      </w:r>
      <w:r w:rsidR="00910F33">
        <w:rPr>
          <w:lang w:val="fr-FR"/>
        </w:rPr>
        <w:t>conclu entre l'UIT et la Fondation DONA vise à offrir une base solide pour l'élaboration et la mise en oeuvre de l'architecture DOA, notamment aux fins de la lutte contre la contrefaçon de produits et de dispositifs;</w:t>
      </w:r>
    </w:p>
    <w:p w:rsidR="00910F33" w:rsidRPr="00EA155C" w:rsidRDefault="0051266D" w:rsidP="000505BC">
      <w:pPr>
        <w:rPr>
          <w:lang w:val="fr-FR"/>
        </w:rPr>
      </w:pPr>
      <w:r w:rsidRPr="00EA155C">
        <w:rPr>
          <w:lang w:val="fr-FR"/>
        </w:rPr>
        <w:t>g)</w:t>
      </w:r>
      <w:r w:rsidRPr="00EA155C">
        <w:rPr>
          <w:lang w:val="fr-FR"/>
        </w:rPr>
        <w:tab/>
      </w:r>
      <w:r w:rsidR="004E4363" w:rsidRPr="00EA155C">
        <w:rPr>
          <w:lang w:val="fr-FR"/>
        </w:rPr>
        <w:t>que certaines des mesures prises par les pays reposent sur l'utilisation d'identificateurs de dispositifs de télécommunication/TIC</w:t>
      </w:r>
      <w:r w:rsidR="002F6965" w:rsidRPr="00EA155C">
        <w:rPr>
          <w:lang w:val="fr-FR"/>
        </w:rPr>
        <w:t xml:space="preserve"> uniques</w:t>
      </w:r>
      <w:r w:rsidR="004E4363" w:rsidRPr="00EA155C">
        <w:rPr>
          <w:lang w:val="fr-FR"/>
        </w:rPr>
        <w:t xml:space="preserve">, tels que l'identité </w:t>
      </w:r>
      <w:r w:rsidR="00E268A9" w:rsidRPr="00EA155C">
        <w:rPr>
          <w:lang w:val="fr-FR"/>
        </w:rPr>
        <w:t xml:space="preserve">internationale </w:t>
      </w:r>
      <w:r w:rsidR="004E4363" w:rsidRPr="00EA155C">
        <w:rPr>
          <w:lang w:val="fr-FR"/>
        </w:rPr>
        <w:t>d'équipement mobile (IMEI), afin de limiter et de prévenir la diffusion des dispositifs mobiles de contrefaçon;</w:t>
      </w:r>
    </w:p>
    <w:p w:rsidR="00F25617" w:rsidRPr="00EA155C" w:rsidRDefault="00F25617" w:rsidP="000505BC">
      <w:pPr>
        <w:rPr>
          <w:lang w:val="fr-FR"/>
        </w:rPr>
      </w:pPr>
      <w:r w:rsidRPr="00083854">
        <w:rPr>
          <w:rFonts w:asciiTheme="majorBidi" w:hAnsiTheme="majorBidi" w:cstheme="majorBidi"/>
          <w:i/>
          <w:iCs/>
          <w:lang w:val="fr-FR"/>
        </w:rPr>
        <w:t>h)</w:t>
      </w:r>
      <w:r w:rsidRPr="00083854">
        <w:rPr>
          <w:rFonts w:asciiTheme="majorBidi" w:hAnsiTheme="majorBidi" w:cstheme="majorBidi"/>
          <w:i/>
          <w:iCs/>
          <w:lang w:val="fr-FR"/>
        </w:rPr>
        <w:tab/>
      </w:r>
      <w:r w:rsidRPr="00EA155C">
        <w:rPr>
          <w:lang w:val="fr-FR"/>
        </w:rPr>
        <w:t>que des initiatives ont été prises par le secteur privé pour coordonner les activités entre les opérateurs, les fabricants et les consommateurs;</w:t>
      </w:r>
    </w:p>
    <w:p w:rsidR="0051266D" w:rsidRPr="00EA155C" w:rsidRDefault="00F25617" w:rsidP="000505BC">
      <w:pPr>
        <w:rPr>
          <w:lang w:val="fr-FR"/>
        </w:rPr>
      </w:pPr>
      <w:r w:rsidRPr="00083854">
        <w:rPr>
          <w:rFonts w:asciiTheme="majorBidi" w:eastAsia="MS Mincho" w:hAnsiTheme="majorBidi" w:cstheme="majorBidi"/>
          <w:i/>
          <w:szCs w:val="24"/>
          <w:lang w:val="fr-FR" w:eastAsia="ja-JP"/>
        </w:rPr>
        <w:t>i</w:t>
      </w:r>
      <w:r w:rsidR="0051266D" w:rsidRPr="00083854">
        <w:rPr>
          <w:rFonts w:asciiTheme="majorBidi" w:eastAsia="MS Mincho" w:hAnsiTheme="majorBidi" w:cstheme="majorBidi"/>
          <w:i/>
          <w:szCs w:val="24"/>
          <w:lang w:val="fr-FR" w:eastAsia="ja-JP"/>
        </w:rPr>
        <w:t>)</w:t>
      </w:r>
      <w:r w:rsidR="0051266D" w:rsidRPr="00083854">
        <w:rPr>
          <w:rFonts w:asciiTheme="majorBidi" w:eastAsia="MS Mincho" w:hAnsiTheme="majorBidi" w:cstheme="majorBidi"/>
          <w:szCs w:val="24"/>
          <w:lang w:val="fr-FR" w:eastAsia="ja-JP"/>
        </w:rPr>
        <w:tab/>
      </w:r>
      <w:r w:rsidR="0051266D" w:rsidRPr="00EA155C">
        <w:rPr>
          <w:lang w:val="fr-FR"/>
        </w:rPr>
        <w:t>que les Etats Membres rencontrent d'importantes difficultés pour trouver des solutions efficaces au problème de la contrefaçon de dispositifs, étant donné que les personnes qui se livrent à cette activité illicite ont recours à des méthodes novatrices et innovantes pour se soustraire aux mesures d'exécution ou aux mesures prévues par la loi;</w:t>
      </w:r>
    </w:p>
    <w:p w:rsidR="00F25617" w:rsidRPr="00EA155C" w:rsidRDefault="00F25617" w:rsidP="00EA155C">
      <w:pPr>
        <w:rPr>
          <w:lang w:val="fr-FR"/>
        </w:rPr>
      </w:pPr>
      <w:r w:rsidRPr="00083854">
        <w:rPr>
          <w:rFonts w:asciiTheme="majorBidi" w:eastAsia="MS Mincho" w:hAnsiTheme="majorBidi" w:cstheme="majorBidi"/>
          <w:i/>
          <w:szCs w:val="24"/>
          <w:lang w:val="fr-FR" w:eastAsia="ja-JP"/>
        </w:rPr>
        <w:t>j</w:t>
      </w:r>
      <w:r w:rsidR="0051266D" w:rsidRPr="00083854">
        <w:rPr>
          <w:rFonts w:asciiTheme="majorBidi" w:eastAsia="MS Mincho" w:hAnsiTheme="majorBidi" w:cstheme="majorBidi"/>
          <w:i/>
          <w:szCs w:val="24"/>
          <w:lang w:val="fr-FR" w:eastAsia="ja-JP"/>
        </w:rPr>
        <w:t>)</w:t>
      </w:r>
      <w:r w:rsidR="0051266D" w:rsidRPr="00083854">
        <w:rPr>
          <w:rFonts w:asciiTheme="majorBidi" w:eastAsia="MS Mincho" w:hAnsiTheme="majorBidi" w:cstheme="majorBidi"/>
          <w:szCs w:val="24"/>
          <w:lang w:val="fr-FR" w:eastAsia="ja-JP"/>
        </w:rPr>
        <w:tab/>
      </w:r>
      <w:r w:rsidR="0051266D" w:rsidRPr="00EA155C">
        <w:rPr>
          <w:lang w:val="fr-FR"/>
        </w:rPr>
        <w:t xml:space="preserve">que les </w:t>
      </w:r>
      <w:r w:rsidR="00E268A9" w:rsidRPr="00EA155C">
        <w:rPr>
          <w:lang w:val="fr-FR"/>
        </w:rPr>
        <w:t>p</w:t>
      </w:r>
      <w:r w:rsidR="0051266D" w:rsidRPr="00EA155C">
        <w:rPr>
          <w:lang w:val="fr-FR"/>
        </w:rPr>
        <w:t xml:space="preserve">rogrammes de l'UIT sur la conformité et l'interopérabilité ainsi que sur la réduction de l'écart en matière de normalisation visent à contribuer à clarifier les processus de normalisation et la conformité des produits </w:t>
      </w:r>
      <w:r w:rsidR="002F6965" w:rsidRPr="00EA155C">
        <w:rPr>
          <w:lang w:val="fr-FR"/>
        </w:rPr>
        <w:t>avec les</w:t>
      </w:r>
      <w:r w:rsidR="0051266D" w:rsidRPr="00EA155C">
        <w:rPr>
          <w:lang w:val="fr-FR"/>
        </w:rPr>
        <w:t xml:space="preserve"> normes internationales;</w:t>
      </w:r>
    </w:p>
    <w:p w:rsidR="00870541" w:rsidRPr="00EA155C" w:rsidRDefault="00F25617" w:rsidP="00EA155C">
      <w:pPr>
        <w:rPr>
          <w:lang w:val="fr-FR"/>
        </w:rPr>
      </w:pPr>
      <w:r w:rsidRPr="00EA155C">
        <w:rPr>
          <w:i/>
          <w:iCs/>
          <w:lang w:val="fr-FR"/>
        </w:rPr>
        <w:t>k</w:t>
      </w:r>
      <w:r w:rsidR="0051266D" w:rsidRPr="00EA155C">
        <w:rPr>
          <w:i/>
          <w:iCs/>
          <w:lang w:val="fr-FR"/>
        </w:rPr>
        <w:t>)</w:t>
      </w:r>
      <w:r w:rsidR="0051266D" w:rsidRPr="00EA155C">
        <w:rPr>
          <w:lang w:val="fr-FR"/>
        </w:rPr>
        <w:tab/>
        <w:t>que l'un des principaux objectifs des recommandations de l'UIT devrait être d'assurer l'interopérabilité, la sécurité et la fiabilité,</w:t>
      </w:r>
    </w:p>
    <w:p w:rsidR="00870541" w:rsidRPr="0000141C" w:rsidRDefault="00870541" w:rsidP="000505BC">
      <w:pPr>
        <w:pStyle w:val="Call"/>
        <w:rPr>
          <w:lang w:val="fr-FR"/>
        </w:rPr>
      </w:pPr>
      <w:r w:rsidRPr="0000141C">
        <w:rPr>
          <w:lang w:val="fr-FR"/>
        </w:rPr>
        <w:t>considérant</w:t>
      </w:r>
    </w:p>
    <w:p w:rsidR="0000141C" w:rsidRPr="006A7C2E" w:rsidRDefault="0000141C" w:rsidP="006A7C2E">
      <w:pPr>
        <w:rPr>
          <w:lang w:val="fr-CH"/>
        </w:rPr>
      </w:pPr>
      <w:r w:rsidRPr="0000141C">
        <w:rPr>
          <w:rFonts w:asciiTheme="majorBidi" w:eastAsia="MS Mincho" w:hAnsiTheme="majorBidi" w:cstheme="majorBidi"/>
          <w:i/>
          <w:szCs w:val="24"/>
          <w:lang w:val="fr-FR" w:eastAsia="ja-JP"/>
        </w:rPr>
        <w:t>a)</w:t>
      </w:r>
      <w:r w:rsidRPr="0000141C">
        <w:rPr>
          <w:rFonts w:asciiTheme="majorBidi" w:eastAsia="MS Mincho" w:hAnsiTheme="majorBidi" w:cstheme="majorBidi"/>
          <w:szCs w:val="24"/>
          <w:lang w:val="fr-FR" w:eastAsia="ja-JP"/>
        </w:rPr>
        <w:tab/>
      </w:r>
      <w:r w:rsidRPr="006A7C2E">
        <w:rPr>
          <w:lang w:val="fr-CH"/>
        </w:rPr>
        <w:t>que, d'une manière générale, les dispositifs de télécommunication/TIC qui ne sont pas conformes aux processus de conformité nationaux applicables, aux prescriptions réglementaires nationales ou aux autres dispositions juridiques applicables</w:t>
      </w:r>
      <w:r w:rsidR="002F6965" w:rsidRPr="006A7C2E">
        <w:rPr>
          <w:lang w:val="fr-CH"/>
        </w:rPr>
        <w:t xml:space="preserve"> d'un pays</w:t>
      </w:r>
      <w:r w:rsidRPr="006A7C2E">
        <w:rPr>
          <w:lang w:val="fr-CH"/>
        </w:rPr>
        <w:t>, devraient être considérés comme non autorisés à la vente ou en vue de leur utilisation sur les</w:t>
      </w:r>
      <w:r w:rsidR="002F6965" w:rsidRPr="006A7C2E">
        <w:rPr>
          <w:lang w:val="fr-CH"/>
        </w:rPr>
        <w:t xml:space="preserve"> réseaux de télécommunication de ce</w:t>
      </w:r>
      <w:r w:rsidRPr="006A7C2E">
        <w:rPr>
          <w:lang w:val="fr-CH"/>
        </w:rPr>
        <w:t xml:space="preserve"> pays;</w:t>
      </w:r>
    </w:p>
    <w:p w:rsidR="0000141C" w:rsidRPr="00EA155C" w:rsidRDefault="0000141C" w:rsidP="000505BC">
      <w:pPr>
        <w:tabs>
          <w:tab w:val="left" w:pos="720"/>
        </w:tabs>
        <w:rPr>
          <w:lang w:val="fr-CH"/>
        </w:rPr>
      </w:pPr>
      <w:r w:rsidRPr="0000141C">
        <w:rPr>
          <w:rFonts w:asciiTheme="majorBidi" w:hAnsiTheme="majorBidi" w:cstheme="majorBidi"/>
          <w:i/>
          <w:color w:val="000000"/>
          <w:szCs w:val="24"/>
          <w:lang w:val="fr-FR" w:eastAsia="zh-CN"/>
        </w:rPr>
        <w:t>b)</w:t>
      </w:r>
      <w:r w:rsidRPr="0000141C">
        <w:rPr>
          <w:rFonts w:asciiTheme="majorBidi" w:hAnsiTheme="majorBidi" w:cstheme="majorBidi"/>
          <w:color w:val="000000"/>
          <w:szCs w:val="24"/>
          <w:lang w:val="fr-FR" w:eastAsia="zh-CN"/>
        </w:rPr>
        <w:tab/>
      </w:r>
      <w:r w:rsidRPr="00EA155C">
        <w:rPr>
          <w:lang w:val="fr-CH"/>
        </w:rPr>
        <w:t>que l'UIT et les autres parties prenantes intéressées ont un rôle déterminant à jouer en encourageant la coordination entre les parties concernées pour étudier les conséquences de la contrefaçon de dispositifs et le mécanisme à mettre en place afin d'en limiter l'utilisation</w:t>
      </w:r>
      <w:r w:rsidR="00D5748E" w:rsidRPr="00EA155C">
        <w:rPr>
          <w:lang w:val="fr-CH"/>
        </w:rPr>
        <w:t>,</w:t>
      </w:r>
      <w:r w:rsidRPr="00EA155C">
        <w:rPr>
          <w:lang w:val="fr-CH"/>
        </w:rPr>
        <w:t xml:space="preserve"> et pour définir des moyens de traiter cette question aux niveaux international et régional;</w:t>
      </w:r>
    </w:p>
    <w:p w:rsidR="0000141C" w:rsidRPr="0000141C" w:rsidRDefault="0000141C" w:rsidP="000505BC">
      <w:pPr>
        <w:tabs>
          <w:tab w:val="left" w:pos="720"/>
        </w:tabs>
        <w:rPr>
          <w:rFonts w:asciiTheme="majorBidi" w:hAnsiTheme="majorBidi" w:cstheme="majorBidi"/>
          <w:lang w:val="fr-FR"/>
        </w:rPr>
      </w:pPr>
      <w:r w:rsidRPr="0000141C">
        <w:rPr>
          <w:rFonts w:asciiTheme="majorBidi" w:hAnsiTheme="majorBidi" w:cstheme="majorBidi"/>
          <w:i/>
          <w:iCs/>
          <w:lang w:val="fr-FR"/>
        </w:rPr>
        <w:t>c)</w:t>
      </w:r>
      <w:r w:rsidRPr="0000141C">
        <w:rPr>
          <w:rFonts w:asciiTheme="majorBidi" w:hAnsiTheme="majorBidi" w:cstheme="majorBidi"/>
          <w:lang w:val="fr-FR"/>
        </w:rPr>
        <w:tab/>
        <w:t>qu'il est important que les utilisateurs puissent bénéficier e</w:t>
      </w:r>
      <w:r>
        <w:rPr>
          <w:rFonts w:asciiTheme="majorBidi" w:hAnsiTheme="majorBidi" w:cstheme="majorBidi"/>
          <w:lang w:val="fr-FR"/>
        </w:rPr>
        <w:t>n permanence d'une connectivité;</w:t>
      </w:r>
    </w:p>
    <w:p w:rsidR="00083854" w:rsidRPr="00083854" w:rsidRDefault="005127F6" w:rsidP="000505BC">
      <w:pPr>
        <w:tabs>
          <w:tab w:val="left" w:pos="720"/>
        </w:tabs>
        <w:rPr>
          <w:rFonts w:asciiTheme="majorBidi" w:hAnsiTheme="majorBidi" w:cstheme="majorBidi"/>
          <w:lang w:val="fr-FR"/>
        </w:rPr>
      </w:pPr>
      <w:r w:rsidRPr="00083854">
        <w:rPr>
          <w:rFonts w:asciiTheme="majorBidi" w:hAnsiTheme="majorBidi" w:cstheme="majorBidi"/>
          <w:i/>
          <w:iCs/>
          <w:lang w:val="fr-FR"/>
        </w:rPr>
        <w:t>d)</w:t>
      </w:r>
      <w:r w:rsidRPr="00083854">
        <w:rPr>
          <w:rFonts w:asciiTheme="majorBidi" w:hAnsiTheme="majorBidi" w:cstheme="majorBidi"/>
          <w:i/>
          <w:iCs/>
          <w:lang w:val="fr-FR"/>
        </w:rPr>
        <w:tab/>
      </w:r>
      <w:r w:rsidR="00083854">
        <w:rPr>
          <w:rFonts w:asciiTheme="majorBidi" w:hAnsiTheme="majorBidi" w:cstheme="majorBidi"/>
          <w:lang w:val="fr-FR"/>
        </w:rPr>
        <w:t xml:space="preserve">les conclusions de la manifestation organisée par l'UIT sur le thème "Lutter </w:t>
      </w:r>
      <w:r w:rsidR="00EF1293">
        <w:rPr>
          <w:rFonts w:asciiTheme="majorBidi" w:hAnsiTheme="majorBidi" w:cstheme="majorBidi"/>
          <w:lang w:val="fr-FR"/>
        </w:rPr>
        <w:t>contre les dispositifs TIC de contrefaçon et de qualité</w:t>
      </w:r>
      <w:r w:rsidR="00E268A9">
        <w:rPr>
          <w:rFonts w:asciiTheme="majorBidi" w:hAnsiTheme="majorBidi" w:cstheme="majorBidi"/>
          <w:lang w:val="fr-FR"/>
        </w:rPr>
        <w:t xml:space="preserve"> médiocre</w:t>
      </w:r>
      <w:r w:rsidR="00EF1293">
        <w:rPr>
          <w:rFonts w:asciiTheme="majorBidi" w:hAnsiTheme="majorBidi" w:cstheme="majorBidi"/>
          <w:lang w:val="fr-FR"/>
        </w:rPr>
        <w:t>", les 17 et 18 novembre 2014 à Genève</w:t>
      </w:r>
      <w:r w:rsidR="00B236DB">
        <w:rPr>
          <w:rFonts w:asciiTheme="majorBidi" w:hAnsiTheme="majorBidi" w:cstheme="majorBidi"/>
          <w:lang w:val="fr-FR"/>
        </w:rPr>
        <w:t xml:space="preserve"> (Suisse)</w:t>
      </w:r>
      <w:r w:rsidR="00EF1293">
        <w:rPr>
          <w:rFonts w:asciiTheme="majorBidi" w:hAnsiTheme="majorBidi" w:cstheme="majorBidi"/>
          <w:lang w:val="fr-FR"/>
        </w:rPr>
        <w:t>;</w:t>
      </w:r>
    </w:p>
    <w:p w:rsidR="00EF1293" w:rsidRPr="00EF1293" w:rsidRDefault="005127F6" w:rsidP="000505BC">
      <w:pPr>
        <w:tabs>
          <w:tab w:val="left" w:pos="720"/>
        </w:tabs>
        <w:rPr>
          <w:rFonts w:asciiTheme="majorBidi" w:hAnsiTheme="majorBidi" w:cstheme="majorBidi"/>
          <w:lang w:val="fr-CH"/>
        </w:rPr>
      </w:pPr>
      <w:r w:rsidRPr="00EF1293">
        <w:rPr>
          <w:rFonts w:asciiTheme="majorBidi" w:hAnsiTheme="majorBidi" w:cstheme="majorBidi"/>
          <w:i/>
          <w:iCs/>
          <w:lang w:val="fr-CH"/>
        </w:rPr>
        <w:t>e)</w:t>
      </w:r>
      <w:r w:rsidRPr="00EF1293">
        <w:rPr>
          <w:rFonts w:asciiTheme="majorBidi" w:hAnsiTheme="majorBidi" w:cstheme="majorBidi"/>
          <w:i/>
          <w:iCs/>
          <w:lang w:val="fr-CH"/>
        </w:rPr>
        <w:tab/>
      </w:r>
      <w:r w:rsidR="00EF1293" w:rsidRPr="00EF1293">
        <w:rPr>
          <w:rFonts w:asciiTheme="majorBidi" w:hAnsiTheme="majorBidi" w:cstheme="majorBidi"/>
          <w:lang w:val="fr-CH"/>
        </w:rPr>
        <w:t>les conclusions formulées dans</w:t>
      </w:r>
      <w:r w:rsidR="00EF1293">
        <w:rPr>
          <w:rFonts w:asciiTheme="majorBidi" w:hAnsiTheme="majorBidi" w:cstheme="majorBidi"/>
          <w:lang w:val="fr-CH"/>
        </w:rPr>
        <w:t xml:space="preserve"> le rapport technique de l'UIT</w:t>
      </w:r>
      <w:r w:rsidR="00394A31">
        <w:rPr>
          <w:rFonts w:asciiTheme="majorBidi" w:hAnsiTheme="majorBidi" w:cstheme="majorBidi"/>
          <w:lang w:val="fr-CH"/>
        </w:rPr>
        <w:noBreakHyphen/>
        <w:t>T</w:t>
      </w:r>
      <w:r w:rsidR="00EF1293">
        <w:rPr>
          <w:rFonts w:asciiTheme="majorBidi" w:hAnsiTheme="majorBidi" w:cstheme="majorBidi"/>
          <w:lang w:val="fr-CH"/>
        </w:rPr>
        <w:t xml:space="preserve"> sur la "Contrefaçon des équipements TIC", approuvé par la Commission d'études 11 de l'UIT</w:t>
      </w:r>
      <w:r w:rsidR="00EF1293">
        <w:rPr>
          <w:rFonts w:asciiTheme="majorBidi" w:hAnsiTheme="majorBidi" w:cstheme="majorBidi"/>
          <w:lang w:val="fr-CH"/>
        </w:rPr>
        <w:noBreakHyphen/>
        <w:t>T lors de la réunion qu'elle a tenue à Genève du 2 au 11 décembre 2015,</w:t>
      </w:r>
    </w:p>
    <w:p w:rsidR="00870541" w:rsidRPr="00EF1293" w:rsidRDefault="00870541" w:rsidP="000505BC">
      <w:pPr>
        <w:pStyle w:val="Call"/>
        <w:rPr>
          <w:lang w:val="fr-CH"/>
        </w:rPr>
      </w:pPr>
      <w:r w:rsidRPr="00EF1293">
        <w:rPr>
          <w:lang w:val="fr-CH"/>
        </w:rPr>
        <w:t>consciente</w:t>
      </w:r>
    </w:p>
    <w:p w:rsidR="00EF1293" w:rsidRPr="00EF1293" w:rsidRDefault="00870541" w:rsidP="000505BC">
      <w:pPr>
        <w:rPr>
          <w:lang w:val="fr-CH"/>
        </w:rPr>
      </w:pPr>
      <w:r w:rsidRPr="00EF1293">
        <w:rPr>
          <w:i/>
          <w:iCs/>
          <w:lang w:val="fr-CH"/>
        </w:rPr>
        <w:t>a)</w:t>
      </w:r>
      <w:r w:rsidR="005127F6" w:rsidRPr="00EF1293">
        <w:rPr>
          <w:lang w:val="fr-CH"/>
        </w:rPr>
        <w:tab/>
      </w:r>
      <w:r w:rsidR="00E268A9">
        <w:rPr>
          <w:lang w:val="fr-CH"/>
        </w:rPr>
        <w:t xml:space="preserve">du fait </w:t>
      </w:r>
      <w:r w:rsidR="00EF1293" w:rsidRPr="00EF1293">
        <w:rPr>
          <w:lang w:val="fr-CH"/>
        </w:rPr>
        <w:t xml:space="preserve">que les gouvernements jouent un rôle important dans la lutte contre la </w:t>
      </w:r>
      <w:r w:rsidR="00EF1293">
        <w:rPr>
          <w:lang w:val="fr-CH"/>
        </w:rPr>
        <w:t>fabrication</w:t>
      </w:r>
      <w:r w:rsidR="00EF1293" w:rsidRPr="00EF1293">
        <w:rPr>
          <w:lang w:val="fr-CH"/>
        </w:rPr>
        <w:t xml:space="preserve"> et le commerce international de </w:t>
      </w:r>
      <w:r w:rsidR="00EF1293">
        <w:rPr>
          <w:lang w:val="fr-CH"/>
        </w:rPr>
        <w:t>produits</w:t>
      </w:r>
      <w:r w:rsidR="00425F10">
        <w:rPr>
          <w:lang w:val="fr-CH"/>
        </w:rPr>
        <w:t xml:space="preserve"> de contrefaçon,</w:t>
      </w:r>
      <w:r w:rsidR="00EF1293" w:rsidRPr="00EF1293">
        <w:rPr>
          <w:lang w:val="fr-CH"/>
        </w:rPr>
        <w:t xml:space="preserve"> </w:t>
      </w:r>
      <w:r w:rsidR="00EF1293">
        <w:rPr>
          <w:lang w:val="fr-CH"/>
        </w:rPr>
        <w:t xml:space="preserve">y compris </w:t>
      </w:r>
      <w:r w:rsidR="00B236DB">
        <w:rPr>
          <w:lang w:val="fr-CH"/>
        </w:rPr>
        <w:t>de</w:t>
      </w:r>
      <w:r w:rsidR="00EF1293">
        <w:rPr>
          <w:lang w:val="fr-CH"/>
        </w:rPr>
        <w:t xml:space="preserve"> </w:t>
      </w:r>
      <w:r w:rsidR="00EF1293" w:rsidRPr="00EF1293">
        <w:rPr>
          <w:lang w:val="fr-CH"/>
        </w:rPr>
        <w:t>dispositifs de télécommunication/TIC</w:t>
      </w:r>
      <w:r w:rsidR="00EF1293">
        <w:rPr>
          <w:lang w:val="fr-CH"/>
        </w:rPr>
        <w:t>,</w:t>
      </w:r>
      <w:r w:rsidR="00EF1293" w:rsidRPr="00EF1293">
        <w:rPr>
          <w:lang w:val="fr-CH"/>
        </w:rPr>
        <w:t xml:space="preserve"> en élaborant des stratégies, des politiques et des législations appropriées</w:t>
      </w:r>
      <w:r w:rsidR="00EF1293">
        <w:rPr>
          <w:lang w:val="fr-CH"/>
        </w:rPr>
        <w:t>;</w:t>
      </w:r>
    </w:p>
    <w:p w:rsidR="0000141C" w:rsidRDefault="005127F6" w:rsidP="000505BC">
      <w:pPr>
        <w:rPr>
          <w:lang w:val="fr-FR"/>
        </w:rPr>
      </w:pPr>
      <w:r w:rsidRPr="0000141C">
        <w:rPr>
          <w:i/>
          <w:iCs/>
          <w:lang w:val="fr-FR"/>
        </w:rPr>
        <w:t>b)</w:t>
      </w:r>
      <w:r w:rsidRPr="0000141C">
        <w:rPr>
          <w:lang w:val="fr-FR"/>
        </w:rPr>
        <w:tab/>
      </w:r>
      <w:r w:rsidR="0000141C" w:rsidRPr="0000141C">
        <w:rPr>
          <w:lang w:val="fr-FR"/>
        </w:rPr>
        <w:t xml:space="preserve">des travaux et études actuellement effectués par les commissions d'études de l'UIT, en particulier la Commission d'études 11 </w:t>
      </w:r>
      <w:r w:rsidR="00B236DB">
        <w:rPr>
          <w:lang w:val="fr-FR"/>
        </w:rPr>
        <w:t xml:space="preserve">du Secteur de la normalisation des télécommunications </w:t>
      </w:r>
      <w:r w:rsidR="0000141C" w:rsidRPr="0000141C">
        <w:rPr>
          <w:lang w:val="fr-FR"/>
        </w:rPr>
        <w:t>de l'UIT</w:t>
      </w:r>
      <w:r w:rsidR="00B236DB">
        <w:rPr>
          <w:lang w:val="fr-FR"/>
        </w:rPr>
        <w:t xml:space="preserve"> (UIT</w:t>
      </w:r>
      <w:r w:rsidR="0000141C" w:rsidRPr="0000141C">
        <w:rPr>
          <w:lang w:val="fr-FR"/>
        </w:rPr>
        <w:t>-T</w:t>
      </w:r>
      <w:r w:rsidR="00B236DB">
        <w:rPr>
          <w:lang w:val="fr-FR"/>
        </w:rPr>
        <w:t>)</w:t>
      </w:r>
      <w:r w:rsidR="0000141C" w:rsidRPr="0000141C">
        <w:rPr>
          <w:lang w:val="fr-FR"/>
        </w:rPr>
        <w:t xml:space="preserve">, qui étudie les méthodes et les cas d'utilisation pour lutter contre les produits TIC de contrefaçon ou </w:t>
      </w:r>
      <w:r w:rsidR="00E268A9">
        <w:rPr>
          <w:lang w:val="fr-FR"/>
        </w:rPr>
        <w:t xml:space="preserve">de </w:t>
      </w:r>
      <w:r w:rsidR="0000141C" w:rsidRPr="0000141C">
        <w:rPr>
          <w:lang w:val="fr-FR"/>
        </w:rPr>
        <w:t>qualité</w:t>
      </w:r>
      <w:r w:rsidR="00E268A9">
        <w:rPr>
          <w:lang w:val="fr-FR"/>
        </w:rPr>
        <w:t xml:space="preserve"> médiocre</w:t>
      </w:r>
      <w:r w:rsidR="0000141C" w:rsidRPr="0000141C">
        <w:rPr>
          <w:lang w:val="fr-FR"/>
        </w:rPr>
        <w:t xml:space="preserve">, et des activités menées </w:t>
      </w:r>
      <w:r w:rsidR="00D5748E">
        <w:rPr>
          <w:lang w:val="fr-FR"/>
        </w:rPr>
        <w:t xml:space="preserve">en ce domaine </w:t>
      </w:r>
      <w:r w:rsidR="0000141C" w:rsidRPr="0000141C">
        <w:rPr>
          <w:lang w:val="fr-FR"/>
        </w:rPr>
        <w:t>par d'autres instances compétentes;</w:t>
      </w:r>
    </w:p>
    <w:p w:rsidR="0000141C" w:rsidRPr="0000141C" w:rsidRDefault="0000141C" w:rsidP="000505BC">
      <w:pPr>
        <w:rPr>
          <w:lang w:val="fr-FR"/>
        </w:rPr>
      </w:pPr>
      <w:r w:rsidRPr="0000141C">
        <w:rPr>
          <w:i/>
          <w:iCs/>
          <w:lang w:val="fr-FR"/>
        </w:rPr>
        <w:t>c)</w:t>
      </w:r>
      <w:r w:rsidRPr="0000141C">
        <w:rPr>
          <w:lang w:val="fr-FR"/>
        </w:rPr>
        <w:tab/>
        <w:t>du fait que l'altération volontaire des identificateurs de dispositifs uniques limite l'efficac</w:t>
      </w:r>
      <w:r w:rsidR="00E268A9">
        <w:rPr>
          <w:lang w:val="fr-FR"/>
        </w:rPr>
        <w:t>ité des solutions adoptées par l</w:t>
      </w:r>
      <w:r w:rsidRPr="0000141C">
        <w:rPr>
          <w:lang w:val="fr-FR"/>
        </w:rPr>
        <w:t>es pays;</w:t>
      </w:r>
    </w:p>
    <w:p w:rsidR="0000141C" w:rsidRPr="0000141C" w:rsidRDefault="0000141C" w:rsidP="000505BC">
      <w:pPr>
        <w:rPr>
          <w:lang w:val="fr-FR"/>
        </w:rPr>
      </w:pPr>
      <w:r w:rsidRPr="0000141C">
        <w:rPr>
          <w:i/>
          <w:iCs/>
          <w:lang w:val="fr-FR"/>
        </w:rPr>
        <w:t>d)</w:t>
      </w:r>
      <w:r w:rsidRPr="0000141C">
        <w:rPr>
          <w:lang w:val="fr-FR"/>
        </w:rPr>
        <w:tab/>
        <w:t>qu'il existe une coopération continue avec l'Organisation mondiale du commerce</w:t>
      </w:r>
      <w:r w:rsidR="00E268A9">
        <w:rPr>
          <w:lang w:val="fr-FR"/>
        </w:rPr>
        <w:t xml:space="preserve"> (OMC)</w:t>
      </w:r>
      <w:r w:rsidRPr="0000141C">
        <w:rPr>
          <w:lang w:val="fr-FR"/>
        </w:rPr>
        <w:t xml:space="preserve"> et l'Organisation</w:t>
      </w:r>
      <w:r w:rsidRPr="0000141C">
        <w:rPr>
          <w:rFonts w:eastAsia="Calibri"/>
          <w:lang w:val="fr-FR" w:eastAsia="ru-RU"/>
        </w:rPr>
        <w:t xml:space="preserve"> </w:t>
      </w:r>
      <w:r w:rsidRPr="0000141C">
        <w:rPr>
          <w:lang w:val="fr-FR"/>
        </w:rPr>
        <w:t xml:space="preserve">mondiale de la propriété intellectuelle </w:t>
      </w:r>
      <w:r w:rsidR="00E268A9">
        <w:rPr>
          <w:lang w:val="fr-FR"/>
        </w:rPr>
        <w:t xml:space="preserve">(OMPI) </w:t>
      </w:r>
      <w:r w:rsidRPr="0000141C">
        <w:rPr>
          <w:lang w:val="fr-FR"/>
        </w:rPr>
        <w:t>sur les questions relatives à la contrefaçon de produits,</w:t>
      </w:r>
    </w:p>
    <w:p w:rsidR="002753F5" w:rsidRPr="00E71A21" w:rsidRDefault="0011348C" w:rsidP="000505BC">
      <w:pPr>
        <w:pStyle w:val="Call"/>
        <w:rPr>
          <w:lang w:val="fr-CH"/>
        </w:rPr>
      </w:pPr>
      <w:r w:rsidRPr="00E71A21">
        <w:rPr>
          <w:lang w:val="fr-CH"/>
        </w:rPr>
        <w:t>charge le Directeur du Bureau de la normalisation des télécommunications</w:t>
      </w:r>
      <w:r w:rsidR="002753F5" w:rsidRPr="00E71A21">
        <w:rPr>
          <w:lang w:val="fr-CH"/>
        </w:rPr>
        <w:t xml:space="preserve"> </w:t>
      </w:r>
    </w:p>
    <w:p w:rsidR="00E71A21" w:rsidRPr="003D66DF" w:rsidRDefault="003D66DF" w:rsidP="000505BC">
      <w:pPr>
        <w:rPr>
          <w:lang w:val="fr-CH" w:eastAsia="zh-CN"/>
        </w:rPr>
      </w:pPr>
      <w:r w:rsidRPr="003D66DF">
        <w:rPr>
          <w:lang w:val="fr-CH" w:eastAsia="zh-CN"/>
        </w:rPr>
        <w:t>1</w:t>
      </w:r>
      <w:r>
        <w:rPr>
          <w:lang w:val="fr-CH" w:eastAsia="zh-CN"/>
        </w:rPr>
        <w:tab/>
      </w:r>
      <w:r w:rsidR="00E71A21" w:rsidRPr="003D66DF">
        <w:rPr>
          <w:lang w:val="fr-CH" w:eastAsia="zh-CN"/>
        </w:rPr>
        <w:t xml:space="preserve">de continuer, en coopération avec le Bureau des radiocommunications </w:t>
      </w:r>
      <w:r w:rsidR="00B236DB">
        <w:rPr>
          <w:lang w:val="fr-CH" w:eastAsia="zh-CN"/>
        </w:rPr>
        <w:t xml:space="preserve">(BR) </w:t>
      </w:r>
      <w:r w:rsidR="00E71A21" w:rsidRPr="003D66DF">
        <w:rPr>
          <w:lang w:val="fr-CH" w:eastAsia="zh-CN"/>
        </w:rPr>
        <w:t>et le Bureau de développement des télécommunications (BDT), à mener les activités préliminaires nécessa</w:t>
      </w:r>
      <w:r w:rsidR="003D3842" w:rsidRPr="003D66DF">
        <w:rPr>
          <w:lang w:val="fr-CH" w:eastAsia="zh-CN"/>
        </w:rPr>
        <w:t>ires dans chaque région,</w:t>
      </w:r>
      <w:r w:rsidR="00E71A21" w:rsidRPr="003D66DF">
        <w:rPr>
          <w:lang w:val="fr-CH" w:eastAsia="zh-CN"/>
        </w:rPr>
        <w:t xml:space="preserve"> afin de recenser, par ordre de priorité, </w:t>
      </w:r>
      <w:r w:rsidR="003D3842" w:rsidRPr="003D66DF">
        <w:rPr>
          <w:lang w:val="fr-CH" w:eastAsia="zh-CN"/>
        </w:rPr>
        <w:t xml:space="preserve">les problèmes </w:t>
      </w:r>
      <w:r w:rsidR="00BD709A" w:rsidRPr="003D66DF">
        <w:rPr>
          <w:lang w:val="fr-CH" w:eastAsia="zh-CN"/>
        </w:rPr>
        <w:t xml:space="preserve">essentiels </w:t>
      </w:r>
      <w:r w:rsidR="003D3842" w:rsidRPr="003D66DF">
        <w:rPr>
          <w:lang w:val="fr-CH" w:eastAsia="zh-CN"/>
        </w:rPr>
        <w:t>rencontrés dans la l</w:t>
      </w:r>
      <w:r w:rsidR="00E71A21" w:rsidRPr="003D66DF">
        <w:rPr>
          <w:lang w:val="fr-CH" w:eastAsia="zh-CN"/>
        </w:rPr>
        <w:t xml:space="preserve">utte contre la contrefaçon de produits, </w:t>
      </w:r>
      <w:r w:rsidR="003D3842" w:rsidRPr="003D66DF">
        <w:rPr>
          <w:lang w:val="fr-CH" w:eastAsia="zh-CN"/>
        </w:rPr>
        <w:t xml:space="preserve">ainsi que les </w:t>
      </w:r>
      <w:r w:rsidR="00BD709A" w:rsidRPr="003D66DF">
        <w:rPr>
          <w:lang w:val="fr-CH" w:eastAsia="zh-CN"/>
        </w:rPr>
        <w:t xml:space="preserve">principaux </w:t>
      </w:r>
      <w:r w:rsidR="003D3842" w:rsidRPr="003D66DF">
        <w:rPr>
          <w:lang w:val="fr-CH" w:eastAsia="zh-CN"/>
        </w:rPr>
        <w:t xml:space="preserve">moyens de mener cette lutte, </w:t>
      </w:r>
      <w:r w:rsidR="00E71A21" w:rsidRPr="003D66DF">
        <w:rPr>
          <w:lang w:val="fr-CH" w:eastAsia="zh-CN"/>
        </w:rPr>
        <w:t>notamment à l'aide de systèmes d'évaluation de la conformité;</w:t>
      </w:r>
    </w:p>
    <w:p w:rsidR="003D66DF" w:rsidRDefault="003D66DF" w:rsidP="000505BC">
      <w:pPr>
        <w:rPr>
          <w:lang w:val="fr-CH" w:eastAsia="zh-CN"/>
        </w:rPr>
      </w:pPr>
      <w:r>
        <w:rPr>
          <w:lang w:val="fr-CH" w:eastAsia="zh-CN"/>
        </w:rPr>
        <w:t>2</w:t>
      </w:r>
      <w:r>
        <w:rPr>
          <w:lang w:val="fr-CH" w:eastAsia="zh-CN"/>
        </w:rPr>
        <w:tab/>
        <w:t>de mener, en utilisant des mécanismes et technologies normalisés par l'UIT et d'autres organis</w:t>
      </w:r>
      <w:r w:rsidR="00D5748E">
        <w:rPr>
          <w:lang w:val="fr-CH" w:eastAsia="zh-CN"/>
        </w:rPr>
        <w:t>ation</w:t>
      </w:r>
      <w:r>
        <w:rPr>
          <w:lang w:val="fr-CH" w:eastAsia="zh-CN"/>
        </w:rPr>
        <w:t xml:space="preserve">s de normalisation, ainsi que l'accord-cadre conclu par l'UIT et la Fondation DONA, un projet pilote </w:t>
      </w:r>
      <w:r w:rsidR="00C144D6">
        <w:rPr>
          <w:lang w:val="fr-CH" w:eastAsia="zh-CN"/>
        </w:rPr>
        <w:t xml:space="preserve">portant sur la création d'un système universel [modèle de base] visant à lutter contre la contrefaçon de produits à l'aide de différents types d'identificateurs de produits, </w:t>
      </w:r>
      <w:r w:rsidR="0088024E">
        <w:rPr>
          <w:lang w:val="fr-CH" w:eastAsia="zh-CN"/>
        </w:rPr>
        <w:t xml:space="preserve">dont l'utilisation </w:t>
      </w:r>
      <w:r w:rsidR="00277B52">
        <w:rPr>
          <w:lang w:val="fr-CH" w:eastAsia="zh-CN"/>
        </w:rPr>
        <w:t xml:space="preserve">soit </w:t>
      </w:r>
      <w:r w:rsidR="0088024E">
        <w:rPr>
          <w:lang w:val="fr-CH" w:eastAsia="zh-CN"/>
        </w:rPr>
        <w:t>possible dans différents secteurs et ne se limite pas au secteur des TIC;</w:t>
      </w:r>
    </w:p>
    <w:p w:rsidR="0088024E" w:rsidRDefault="00A67821" w:rsidP="000505BC">
      <w:pPr>
        <w:rPr>
          <w:lang w:val="fr-CH"/>
        </w:rPr>
      </w:pPr>
      <w:r w:rsidRPr="0088024E">
        <w:rPr>
          <w:lang w:val="fr-CH"/>
        </w:rPr>
        <w:t>3</w:t>
      </w:r>
      <w:r w:rsidRPr="0088024E">
        <w:rPr>
          <w:lang w:val="fr-CH"/>
        </w:rPr>
        <w:tab/>
      </w:r>
      <w:r w:rsidR="0088024E" w:rsidRPr="0088024E">
        <w:rPr>
          <w:lang w:val="fr-CH"/>
        </w:rPr>
        <w:t>d'instaurer une coopération avec des organisations internationales, telles que l'O</w:t>
      </w:r>
      <w:r w:rsidR="009120E6">
        <w:rPr>
          <w:lang w:val="fr-CH"/>
        </w:rPr>
        <w:t>rganisation mondiale de la Santé (OMS)</w:t>
      </w:r>
      <w:r w:rsidR="0088024E" w:rsidRPr="0088024E">
        <w:rPr>
          <w:lang w:val="fr-CH"/>
        </w:rPr>
        <w:t>, l'OMC et l'OMPI, entre autres, en vue de les faire participer au projet pilote visant à lutter contre la contrefaçon de produits;</w:t>
      </w:r>
    </w:p>
    <w:p w:rsidR="0088024E" w:rsidRPr="0088024E" w:rsidRDefault="005B2302" w:rsidP="000505BC">
      <w:pPr>
        <w:rPr>
          <w:lang w:val="fr-CH"/>
        </w:rPr>
      </w:pPr>
      <w:r>
        <w:rPr>
          <w:lang w:val="fr-CH"/>
        </w:rPr>
        <w:t>4</w:t>
      </w:r>
      <w:r>
        <w:rPr>
          <w:lang w:val="fr-CH"/>
        </w:rPr>
        <w:tab/>
        <w:t xml:space="preserve">d'aider tous les membres de l'UIT, </w:t>
      </w:r>
      <w:r w:rsidR="00B236DB">
        <w:rPr>
          <w:lang w:val="fr-CH"/>
        </w:rPr>
        <w:t>compte tenu</w:t>
      </w:r>
      <w:r>
        <w:rPr>
          <w:lang w:val="fr-CH"/>
        </w:rPr>
        <w:t xml:space="preserve"> des Recommandations UIT</w:t>
      </w:r>
      <w:r>
        <w:rPr>
          <w:lang w:val="fr-CH"/>
        </w:rPr>
        <w:noBreakHyphen/>
        <w:t xml:space="preserve">T pertinentes, à prendre les mesures nécessaires pour appliquer </w:t>
      </w:r>
      <w:r w:rsidR="00394A31">
        <w:rPr>
          <w:lang w:val="fr-CH"/>
        </w:rPr>
        <w:t>ces</w:t>
      </w:r>
      <w:r>
        <w:rPr>
          <w:lang w:val="fr-CH"/>
        </w:rPr>
        <w:t xml:space="preserve"> Recommandations afin de lutter contre la contrefaçon de produits, </w:t>
      </w:r>
      <w:r w:rsidR="008B7A86">
        <w:rPr>
          <w:lang w:val="fr-CH"/>
        </w:rPr>
        <w:t>et à</w:t>
      </w:r>
      <w:r>
        <w:rPr>
          <w:lang w:val="fr-CH"/>
        </w:rPr>
        <w:t xml:space="preserve"> collabor</w:t>
      </w:r>
      <w:r w:rsidR="00D5748E">
        <w:rPr>
          <w:lang w:val="fr-CH"/>
        </w:rPr>
        <w:t>er</w:t>
      </w:r>
      <w:r>
        <w:rPr>
          <w:lang w:val="fr-CH"/>
        </w:rPr>
        <w:t xml:space="preserve"> avec les autres organisations de normalisation des télécommunications concernées par ce problème;</w:t>
      </w:r>
    </w:p>
    <w:p w:rsidR="004C333E" w:rsidRPr="00F14CFB" w:rsidRDefault="00A67821" w:rsidP="000505BC">
      <w:pPr>
        <w:rPr>
          <w:lang w:val="fr-CH"/>
        </w:rPr>
      </w:pPr>
      <w:r>
        <w:rPr>
          <w:lang w:val="fr-CH"/>
        </w:rPr>
        <w:t>5</w:t>
      </w:r>
      <w:r>
        <w:rPr>
          <w:lang w:val="fr-CH"/>
        </w:rPr>
        <w:tab/>
      </w:r>
      <w:r w:rsidR="004C333E" w:rsidRPr="00F14CFB">
        <w:rPr>
          <w:lang w:val="fr-CH"/>
        </w:rPr>
        <w:t xml:space="preserve">de faire appel à des experts et </w:t>
      </w:r>
      <w:r w:rsidR="009120E6">
        <w:rPr>
          <w:lang w:val="fr-CH"/>
        </w:rPr>
        <w:t xml:space="preserve">à </w:t>
      </w:r>
      <w:r w:rsidR="004C333E" w:rsidRPr="00F14CFB">
        <w:rPr>
          <w:lang w:val="fr-CH"/>
        </w:rPr>
        <w:t>des entités extérieures</w:t>
      </w:r>
      <w:r w:rsidR="004C333E">
        <w:rPr>
          <w:lang w:val="fr-CH"/>
        </w:rPr>
        <w:t>,</w:t>
      </w:r>
      <w:r w:rsidR="004C333E" w:rsidRPr="00F14CFB">
        <w:rPr>
          <w:lang w:val="fr-CH"/>
        </w:rPr>
        <w:t xml:space="preserve"> le cas échéant;</w:t>
      </w:r>
    </w:p>
    <w:p w:rsidR="004C333E" w:rsidRDefault="00A67821" w:rsidP="000505BC">
      <w:pPr>
        <w:rPr>
          <w:lang w:val="fr-CH"/>
        </w:rPr>
      </w:pPr>
      <w:r>
        <w:rPr>
          <w:lang w:val="fr-CH"/>
        </w:rPr>
        <w:t>6</w:t>
      </w:r>
      <w:r>
        <w:rPr>
          <w:lang w:val="fr-CH"/>
        </w:rPr>
        <w:tab/>
      </w:r>
      <w:r w:rsidR="004C333E" w:rsidRPr="00F14CFB">
        <w:rPr>
          <w:lang w:val="fr-CH"/>
        </w:rPr>
        <w:t xml:space="preserve">de soumettre les résultats de ces </w:t>
      </w:r>
      <w:r w:rsidR="004C333E">
        <w:rPr>
          <w:lang w:val="fr-CH"/>
        </w:rPr>
        <w:t xml:space="preserve">activités </w:t>
      </w:r>
      <w:r w:rsidR="004C333E" w:rsidRPr="00F14CFB">
        <w:rPr>
          <w:lang w:val="fr-CH"/>
        </w:rPr>
        <w:t>au Conseil pour examen et suite à donner,</w:t>
      </w:r>
    </w:p>
    <w:p w:rsidR="005B2302" w:rsidRPr="005B2302" w:rsidRDefault="005B2302" w:rsidP="000505BC">
      <w:pPr>
        <w:pStyle w:val="Call"/>
        <w:rPr>
          <w:lang w:val="fr-CH"/>
        </w:rPr>
      </w:pPr>
      <w:r w:rsidRPr="005B2302">
        <w:rPr>
          <w:lang w:val="fr-CH"/>
        </w:rPr>
        <w:t xml:space="preserve">charge la Commission d'études 11 du Secteur de la normalisation des télécommunications, en collaboration avec les autres commissions d'études concernées, </w:t>
      </w:r>
      <w:r w:rsidR="004663C5">
        <w:rPr>
          <w:lang w:val="fr-CH"/>
        </w:rPr>
        <w:t>en particulier</w:t>
      </w:r>
    </w:p>
    <w:p w:rsidR="004663C5" w:rsidRPr="004663C5" w:rsidRDefault="004663C5" w:rsidP="000505BC">
      <w:pPr>
        <w:rPr>
          <w:lang w:val="fr-CH"/>
        </w:rPr>
      </w:pPr>
      <w:r>
        <w:rPr>
          <w:lang w:val="fr-CH"/>
        </w:rPr>
        <w:t>1</w:t>
      </w:r>
      <w:r w:rsidRPr="004663C5">
        <w:rPr>
          <w:lang w:val="fr-CH"/>
        </w:rPr>
        <w:tab/>
      </w:r>
      <w:r w:rsidR="005B2302" w:rsidRPr="004663C5">
        <w:rPr>
          <w:lang w:val="fr-CH"/>
        </w:rPr>
        <w:t>d'établir une liste</w:t>
      </w:r>
      <w:r w:rsidRPr="004663C5">
        <w:rPr>
          <w:lang w:val="fr-CH"/>
        </w:rPr>
        <w:t xml:space="preserve"> d</w:t>
      </w:r>
      <w:r>
        <w:rPr>
          <w:lang w:val="fr-CH"/>
        </w:rPr>
        <w:t xml:space="preserve">es </w:t>
      </w:r>
      <w:r w:rsidRPr="004663C5">
        <w:rPr>
          <w:lang w:val="fr-CH"/>
        </w:rPr>
        <w:t>identificateurs utilisés afin de lutter contre la contrefaçon de produits</w:t>
      </w:r>
      <w:r>
        <w:rPr>
          <w:lang w:val="fr-CH"/>
        </w:rPr>
        <w:t>,</w:t>
      </w:r>
      <w:r w:rsidRPr="004663C5">
        <w:rPr>
          <w:lang w:val="fr-CH"/>
        </w:rPr>
        <w:t xml:space="preserve"> </w:t>
      </w:r>
      <w:r>
        <w:rPr>
          <w:lang w:val="fr-CH"/>
        </w:rPr>
        <w:t xml:space="preserve">en </w:t>
      </w:r>
      <w:r w:rsidR="00D5748E">
        <w:rPr>
          <w:lang w:val="fr-CH"/>
        </w:rPr>
        <w:t>précis</w:t>
      </w:r>
      <w:r>
        <w:rPr>
          <w:lang w:val="fr-CH"/>
        </w:rPr>
        <w:t>ant leur</w:t>
      </w:r>
      <w:r w:rsidR="00B236DB">
        <w:rPr>
          <w:lang w:val="fr-CH"/>
        </w:rPr>
        <w:t>s</w:t>
      </w:r>
      <w:r>
        <w:rPr>
          <w:lang w:val="fr-CH"/>
        </w:rPr>
        <w:t xml:space="preserve"> </w:t>
      </w:r>
      <w:r w:rsidR="00B236DB">
        <w:rPr>
          <w:lang w:val="fr-CH"/>
        </w:rPr>
        <w:t>domaines</w:t>
      </w:r>
      <w:r>
        <w:rPr>
          <w:lang w:val="fr-CH"/>
        </w:rPr>
        <w:t xml:space="preserve"> d'application et leur niveau de sécurité dans l'optique de leur duplication ou clonage éventuels;</w:t>
      </w:r>
    </w:p>
    <w:p w:rsidR="00151AB6" w:rsidRPr="00151AB6" w:rsidRDefault="001B1C40" w:rsidP="000505BC">
      <w:pPr>
        <w:rPr>
          <w:lang w:val="fr-CH"/>
        </w:rPr>
      </w:pPr>
      <w:r w:rsidRPr="00151AB6">
        <w:rPr>
          <w:lang w:val="fr-CH"/>
        </w:rPr>
        <w:t>2</w:t>
      </w:r>
      <w:r w:rsidRPr="00151AB6">
        <w:rPr>
          <w:lang w:val="fr-CH"/>
        </w:rPr>
        <w:tab/>
      </w:r>
      <w:r w:rsidR="00151AB6" w:rsidRPr="00151AB6">
        <w:rPr>
          <w:lang w:val="fr-CH"/>
        </w:rPr>
        <w:t xml:space="preserve">d'établir, avec la participation des organisations de normalisation concernées, des mécanismes appropriés pour déceler </w:t>
      </w:r>
      <w:r w:rsidR="00151AB6">
        <w:rPr>
          <w:lang w:val="fr-CH"/>
        </w:rPr>
        <w:t xml:space="preserve">les produits de contrefaçon, au moyen d'identificateurs uniques </w:t>
      </w:r>
      <w:r w:rsidR="00D956B3">
        <w:rPr>
          <w:lang w:val="fr-CH"/>
        </w:rPr>
        <w:t>non duplicables</w:t>
      </w:r>
      <w:r w:rsidR="00277B52">
        <w:rPr>
          <w:lang w:val="fr-CH"/>
        </w:rPr>
        <w:t xml:space="preserve"> et </w:t>
      </w:r>
      <w:r w:rsidR="00D956B3">
        <w:rPr>
          <w:lang w:val="fr-CH"/>
        </w:rPr>
        <w:t>conformes</w:t>
      </w:r>
      <w:r w:rsidR="00151AB6">
        <w:rPr>
          <w:lang w:val="fr-CH"/>
        </w:rPr>
        <w:t xml:space="preserve"> aux exigences de confidentialité et de sécurité;</w:t>
      </w:r>
    </w:p>
    <w:p w:rsidR="00277B52" w:rsidRPr="00277B52" w:rsidRDefault="001B1C40" w:rsidP="000505BC">
      <w:pPr>
        <w:rPr>
          <w:lang w:val="fr-CH"/>
        </w:rPr>
      </w:pPr>
      <w:r w:rsidRPr="00277B52">
        <w:rPr>
          <w:lang w:val="fr-CH"/>
        </w:rPr>
        <w:t>3</w:t>
      </w:r>
      <w:r w:rsidRPr="00277B52">
        <w:rPr>
          <w:lang w:val="fr-CH"/>
        </w:rPr>
        <w:tab/>
      </w:r>
      <w:r w:rsidR="00277B52" w:rsidRPr="00277B52">
        <w:rPr>
          <w:lang w:val="fr-CH"/>
        </w:rPr>
        <w:t xml:space="preserve">d'étudier les questions relatives </w:t>
      </w:r>
      <w:r w:rsidR="00277B52">
        <w:rPr>
          <w:lang w:val="fr-CH"/>
        </w:rPr>
        <w:t>à la mise en oeuvre du projet pi</w:t>
      </w:r>
      <w:r w:rsidR="00277B52" w:rsidRPr="00277B52">
        <w:rPr>
          <w:lang w:val="fr-CH"/>
        </w:rPr>
        <w:t>l</w:t>
      </w:r>
      <w:r w:rsidR="00277B52">
        <w:rPr>
          <w:lang w:val="fr-CH"/>
        </w:rPr>
        <w:t>o</w:t>
      </w:r>
      <w:r w:rsidR="00277B52" w:rsidRPr="00277B52">
        <w:rPr>
          <w:lang w:val="fr-CH"/>
        </w:rPr>
        <w:t xml:space="preserve">te sur la lutte contre la contrefaçon de produits visé au point </w:t>
      </w:r>
      <w:r w:rsidR="00277B52">
        <w:rPr>
          <w:lang w:val="fr-CH"/>
        </w:rPr>
        <w:t>2</w:t>
      </w:r>
      <w:r w:rsidR="00277B52" w:rsidRPr="00277B52">
        <w:rPr>
          <w:lang w:val="fr-CH"/>
        </w:rPr>
        <w:t xml:space="preserve"> du </w:t>
      </w:r>
      <w:r w:rsidR="00277B52" w:rsidRPr="009120E6">
        <w:rPr>
          <w:i/>
          <w:iCs/>
          <w:lang w:val="fr-CH"/>
        </w:rPr>
        <w:t>charge le Directeur du Bureau de la normalisation des télécommunications</w:t>
      </w:r>
      <w:r w:rsidR="00277B52" w:rsidRPr="00277B52">
        <w:rPr>
          <w:lang w:val="fr-CH"/>
        </w:rPr>
        <w:t xml:space="preserve"> </w:t>
      </w:r>
      <w:r w:rsidR="00277B52">
        <w:rPr>
          <w:lang w:val="fr-CH"/>
        </w:rPr>
        <w:t>ci-dessus;</w:t>
      </w:r>
    </w:p>
    <w:p w:rsidR="00277B52" w:rsidRDefault="001B1C40" w:rsidP="000505BC">
      <w:pPr>
        <w:rPr>
          <w:lang w:val="fr-CH"/>
        </w:rPr>
      </w:pPr>
      <w:r w:rsidRPr="00277B52">
        <w:rPr>
          <w:lang w:val="fr-CH"/>
        </w:rPr>
        <w:t>4</w:t>
      </w:r>
      <w:r w:rsidRPr="00277B52">
        <w:rPr>
          <w:lang w:val="fr-CH"/>
        </w:rPr>
        <w:tab/>
      </w:r>
      <w:r w:rsidR="00277B52" w:rsidRPr="00277B52">
        <w:rPr>
          <w:lang w:val="fr-CH"/>
        </w:rPr>
        <w:t xml:space="preserve">d'établir une liste de technologies et de produits dont il pourrait </w:t>
      </w:r>
      <w:r w:rsidR="00277B52">
        <w:rPr>
          <w:lang w:val="fr-CH"/>
        </w:rPr>
        <w:t>être utile de tester la conformité avec les Recommandations UIT</w:t>
      </w:r>
      <w:r w:rsidR="00277B52">
        <w:rPr>
          <w:lang w:val="fr-CH"/>
        </w:rPr>
        <w:noBreakHyphen/>
        <w:t>T en vue d'appuyer les efforts visant à lutter contre la contrefaçon de produits TIC;</w:t>
      </w:r>
    </w:p>
    <w:p w:rsidR="00277B52" w:rsidRPr="00277B52" w:rsidRDefault="00277B52" w:rsidP="000505BC">
      <w:pPr>
        <w:rPr>
          <w:lang w:val="fr-CH"/>
        </w:rPr>
      </w:pPr>
      <w:r>
        <w:rPr>
          <w:lang w:val="fr-CH"/>
        </w:rPr>
        <w:t>5</w:t>
      </w:r>
      <w:r>
        <w:rPr>
          <w:lang w:val="fr-CH"/>
        </w:rPr>
        <w:tab/>
        <w:t>d'élaborer des méthodes d'évaluation et de vérification des identificateurs utilisés aux fins de la lutte contre la contrefaçon de produits,</w:t>
      </w:r>
    </w:p>
    <w:p w:rsidR="001B1C40" w:rsidRPr="00151AB6" w:rsidRDefault="004C333E" w:rsidP="000505BC">
      <w:pPr>
        <w:pStyle w:val="Call"/>
        <w:rPr>
          <w:lang w:val="fr-FR"/>
        </w:rPr>
      </w:pPr>
      <w:r w:rsidRPr="00151AB6">
        <w:rPr>
          <w:lang w:val="fr-FR"/>
        </w:rPr>
        <w:t>invite le Conseil</w:t>
      </w:r>
    </w:p>
    <w:p w:rsidR="00151AB6" w:rsidRPr="00151AB6" w:rsidRDefault="00151AB6" w:rsidP="000505BC">
      <w:pPr>
        <w:rPr>
          <w:rFonts w:asciiTheme="majorBidi" w:hAnsiTheme="majorBidi" w:cstheme="majorBidi"/>
          <w:szCs w:val="24"/>
          <w:lang w:val="fr-CH"/>
        </w:rPr>
      </w:pPr>
      <w:r w:rsidRPr="00151AB6">
        <w:rPr>
          <w:rFonts w:asciiTheme="majorBidi" w:hAnsiTheme="majorBidi" w:cstheme="majorBidi"/>
          <w:szCs w:val="24"/>
          <w:lang w:val="fr-CH"/>
        </w:rPr>
        <w:t>à examiner le rapport du Directeur sur la mise en oeuvre de la présente Résolution,</w:t>
      </w:r>
    </w:p>
    <w:p w:rsidR="001B1C40" w:rsidRPr="00FB50F7" w:rsidRDefault="004C333E" w:rsidP="000505BC">
      <w:pPr>
        <w:pStyle w:val="Call"/>
        <w:rPr>
          <w:lang w:val="fr-FR"/>
        </w:rPr>
      </w:pPr>
      <w:r w:rsidRPr="00FB50F7">
        <w:rPr>
          <w:lang w:val="fr-FR"/>
        </w:rPr>
        <w:t>invite les Etats Membres</w:t>
      </w:r>
    </w:p>
    <w:p w:rsidR="00FB50F7" w:rsidRPr="00F14CFB" w:rsidRDefault="00846C17" w:rsidP="000505BC">
      <w:pPr>
        <w:rPr>
          <w:lang w:val="fr-CH"/>
        </w:rPr>
      </w:pPr>
      <w:r>
        <w:rPr>
          <w:lang w:val="fr-CH"/>
        </w:rPr>
        <w:t>1</w:t>
      </w:r>
      <w:r>
        <w:rPr>
          <w:lang w:val="fr-CH"/>
        </w:rPr>
        <w:tab/>
      </w:r>
      <w:r w:rsidR="00FB50F7" w:rsidRPr="00F14CFB">
        <w:rPr>
          <w:lang w:val="fr-CH"/>
        </w:rPr>
        <w:t xml:space="preserve">à contribuer à la mise en </w:t>
      </w:r>
      <w:r w:rsidR="00FB50F7">
        <w:rPr>
          <w:lang w:val="fr-CH"/>
        </w:rPr>
        <w:t>œuvre</w:t>
      </w:r>
      <w:r w:rsidR="00FB50F7" w:rsidRPr="00F14CFB">
        <w:rPr>
          <w:lang w:val="fr-CH"/>
        </w:rPr>
        <w:t xml:space="preserve"> de la présente Résolution;</w:t>
      </w:r>
    </w:p>
    <w:p w:rsidR="00FB50F7" w:rsidRDefault="00846C17" w:rsidP="000505BC">
      <w:pPr>
        <w:rPr>
          <w:lang w:val="fr-CH"/>
        </w:rPr>
      </w:pPr>
      <w:r>
        <w:rPr>
          <w:lang w:val="fr-CH"/>
        </w:rPr>
        <w:t>2</w:t>
      </w:r>
      <w:r>
        <w:rPr>
          <w:lang w:val="fr-CH"/>
        </w:rPr>
        <w:tab/>
      </w:r>
      <w:r w:rsidR="00FB50F7" w:rsidRPr="00F14CFB">
        <w:rPr>
          <w:lang w:val="fr-CH"/>
        </w:rPr>
        <w:t xml:space="preserve">à encourager les </w:t>
      </w:r>
      <w:r w:rsidR="00D5748E">
        <w:rPr>
          <w:lang w:val="fr-CH"/>
        </w:rPr>
        <w:t>centr</w:t>
      </w:r>
      <w:r w:rsidR="00FB50F7" w:rsidRPr="00F14CFB">
        <w:rPr>
          <w:lang w:val="fr-CH"/>
        </w:rPr>
        <w:t xml:space="preserve">es de test nationaux </w:t>
      </w:r>
      <w:r w:rsidR="00151AB6">
        <w:rPr>
          <w:lang w:val="fr-CH"/>
        </w:rPr>
        <w:t>et</w:t>
      </w:r>
      <w:r w:rsidR="00FB50F7" w:rsidRPr="00F14CFB">
        <w:rPr>
          <w:lang w:val="fr-CH"/>
        </w:rPr>
        <w:t xml:space="preserve"> régionaux à aider l</w:t>
      </w:r>
      <w:r w:rsidR="00FB50F7">
        <w:rPr>
          <w:lang w:val="fr-CH"/>
        </w:rPr>
        <w:t>'</w:t>
      </w:r>
      <w:r w:rsidR="00FB50F7" w:rsidRPr="00F14CFB">
        <w:rPr>
          <w:lang w:val="fr-CH"/>
        </w:rPr>
        <w:t xml:space="preserve">UIT-T à mettre en </w:t>
      </w:r>
      <w:r w:rsidR="00FB50F7">
        <w:rPr>
          <w:lang w:val="fr-CH"/>
        </w:rPr>
        <w:t>œuvre</w:t>
      </w:r>
      <w:r w:rsidR="006C661D">
        <w:rPr>
          <w:lang w:val="fr-CH"/>
        </w:rPr>
        <w:t xml:space="preserve"> la présente Résolution;</w:t>
      </w:r>
    </w:p>
    <w:p w:rsidR="00151AB6" w:rsidRPr="00151AB6" w:rsidRDefault="00846C17" w:rsidP="000505BC">
      <w:pPr>
        <w:rPr>
          <w:lang w:val="fr-CH" w:eastAsia="zh-CN"/>
        </w:rPr>
      </w:pPr>
      <w:r w:rsidRPr="00151AB6">
        <w:rPr>
          <w:lang w:val="fr-CH" w:eastAsia="zh-CN"/>
        </w:rPr>
        <w:t>3</w:t>
      </w:r>
      <w:r w:rsidRPr="00151AB6">
        <w:rPr>
          <w:lang w:val="fr-CH" w:eastAsia="zh-CN"/>
        </w:rPr>
        <w:tab/>
      </w:r>
      <w:r w:rsidR="00151AB6" w:rsidRPr="00151AB6">
        <w:rPr>
          <w:lang w:val="fr-CH" w:eastAsia="zh-CN"/>
        </w:rPr>
        <w:t xml:space="preserve">à prendre toutes les mesures nécessaires pour lutter contre la contrefaçon de produits </w:t>
      </w:r>
      <w:r w:rsidR="008B7A86">
        <w:rPr>
          <w:lang w:val="fr-CH" w:eastAsia="zh-CN"/>
        </w:rPr>
        <w:t>aux niveaux national et régional</w:t>
      </w:r>
      <w:r w:rsidR="00151AB6" w:rsidRPr="00151AB6">
        <w:rPr>
          <w:lang w:val="fr-CH" w:eastAsia="zh-CN"/>
        </w:rPr>
        <w:t>;</w:t>
      </w:r>
    </w:p>
    <w:p w:rsidR="00833D2F" w:rsidRDefault="00846C17" w:rsidP="000505BC">
      <w:pPr>
        <w:rPr>
          <w:lang w:val="fr-FR"/>
        </w:rPr>
      </w:pPr>
      <w:r>
        <w:rPr>
          <w:lang w:val="fr-FR"/>
        </w:rPr>
        <w:t>4</w:t>
      </w:r>
      <w:r>
        <w:rPr>
          <w:lang w:val="fr-FR"/>
        </w:rPr>
        <w:tab/>
      </w:r>
      <w:r w:rsidR="00833D2F" w:rsidRPr="00833D2F">
        <w:rPr>
          <w:lang w:val="fr-FR"/>
        </w:rPr>
        <w:t>à coopérer et à échanger des avis spécialisés entre eux dans ce domaine;</w:t>
      </w:r>
    </w:p>
    <w:p w:rsidR="00833D2F" w:rsidRDefault="00846C17" w:rsidP="000505BC">
      <w:pPr>
        <w:rPr>
          <w:lang w:val="fr-FR"/>
        </w:rPr>
      </w:pPr>
      <w:r>
        <w:rPr>
          <w:lang w:val="fr-FR"/>
        </w:rPr>
        <w:t>5</w:t>
      </w:r>
      <w:r>
        <w:rPr>
          <w:lang w:val="fr-FR"/>
        </w:rPr>
        <w:tab/>
      </w:r>
      <w:r w:rsidR="00833D2F" w:rsidRPr="00833D2F">
        <w:rPr>
          <w:lang w:val="fr-FR"/>
        </w:rPr>
        <w:t>à encourager la participation aux programmes de lutte contre la contrefaçon de dispositifs de télécommunication/TIC menés par le secteur privé,</w:t>
      </w:r>
    </w:p>
    <w:p w:rsidR="00833D2F" w:rsidRPr="002640D8" w:rsidRDefault="00833D2F" w:rsidP="000505BC">
      <w:pPr>
        <w:pStyle w:val="Call"/>
        <w:rPr>
          <w:sz w:val="30"/>
          <w:lang w:val="fr-CH"/>
        </w:rPr>
      </w:pPr>
      <w:r w:rsidRPr="002640D8">
        <w:rPr>
          <w:lang w:val="fr-CH"/>
        </w:rPr>
        <w:t>invite tous les membres</w:t>
      </w:r>
      <w:r w:rsidR="00151AB6">
        <w:rPr>
          <w:lang w:val="fr-CH"/>
        </w:rPr>
        <w:t xml:space="preserve"> de l'UIT</w:t>
      </w:r>
    </w:p>
    <w:p w:rsidR="001B1C40" w:rsidRPr="00833D2F" w:rsidRDefault="00846C17" w:rsidP="000505BC">
      <w:pPr>
        <w:rPr>
          <w:rFonts w:asciiTheme="majorBidi" w:hAnsiTheme="majorBidi"/>
          <w:lang w:val="fr-FR" w:eastAsia="zh-CN"/>
        </w:rPr>
      </w:pPr>
      <w:r>
        <w:rPr>
          <w:lang w:val="fr-FR"/>
        </w:rPr>
        <w:t>1</w:t>
      </w:r>
      <w:r>
        <w:rPr>
          <w:lang w:val="fr-FR"/>
        </w:rPr>
        <w:tab/>
      </w:r>
      <w:r w:rsidR="00833D2F" w:rsidRPr="00833D2F">
        <w:rPr>
          <w:lang w:val="fr-FR"/>
        </w:rPr>
        <w:t xml:space="preserve">à participer activement aux études de l'UIT relatives à la lutte contre la contrefaçon de </w:t>
      </w:r>
      <w:r w:rsidR="00B236DB">
        <w:rPr>
          <w:lang w:val="fr-FR"/>
        </w:rPr>
        <w:t>produits</w:t>
      </w:r>
      <w:r w:rsidR="00833D2F" w:rsidRPr="00833D2F">
        <w:rPr>
          <w:lang w:val="fr-FR"/>
        </w:rPr>
        <w:t>, en soumettant des contributions;</w:t>
      </w:r>
    </w:p>
    <w:p w:rsidR="00833D2F" w:rsidRDefault="00846C17" w:rsidP="000505BC">
      <w:pPr>
        <w:rPr>
          <w:lang w:val="fr-FR"/>
        </w:rPr>
      </w:pPr>
      <w:r>
        <w:rPr>
          <w:lang w:val="fr-FR"/>
        </w:rPr>
        <w:t>2</w:t>
      </w:r>
      <w:r>
        <w:rPr>
          <w:lang w:val="fr-FR"/>
        </w:rPr>
        <w:tab/>
      </w:r>
      <w:r w:rsidR="00833D2F" w:rsidRPr="00833D2F">
        <w:rPr>
          <w:lang w:val="fr-FR"/>
        </w:rPr>
        <w:t xml:space="preserve">à prendre les mesures nécessaires pour prévenir ou </w:t>
      </w:r>
      <w:r w:rsidR="009120E6">
        <w:rPr>
          <w:lang w:val="fr-FR"/>
        </w:rPr>
        <w:t>déceler</w:t>
      </w:r>
      <w:r w:rsidR="00833D2F" w:rsidRPr="00833D2F">
        <w:rPr>
          <w:lang w:val="fr-FR"/>
        </w:rPr>
        <w:t xml:space="preserve"> l'altération volontaire des identificateurs de dispositifs de télécommunication/TIC uniques,</w:t>
      </w:r>
    </w:p>
    <w:p w:rsidR="00833D2F" w:rsidRDefault="00833D2F" w:rsidP="000505BC">
      <w:pPr>
        <w:pStyle w:val="Call"/>
        <w:rPr>
          <w:sz w:val="30"/>
          <w:lang w:val="fr-FR"/>
        </w:rPr>
      </w:pPr>
      <w:r w:rsidRPr="00833D2F">
        <w:rPr>
          <w:lang w:val="fr-FR"/>
        </w:rPr>
        <w:t>invite en outre les Etats Membres et les Membres de Secteur</w:t>
      </w:r>
    </w:p>
    <w:p w:rsidR="00833D2F" w:rsidRDefault="00833D2F" w:rsidP="000505BC">
      <w:pPr>
        <w:rPr>
          <w:lang w:val="fr-FR"/>
        </w:rPr>
      </w:pPr>
      <w:r w:rsidRPr="00833D2F">
        <w:rPr>
          <w:lang w:val="fr-FR"/>
        </w:rPr>
        <w:t>à tenir compte des cadres juridiques et réglementaires d'autres pays concernant les équipements qui nuisent à la qualité de l'infrastructure et des services de télécommunication de ces pays, en prenant notamment en considération les préoccupations des pays en développement en matière de contrefaçon d'équipements.</w:t>
      </w:r>
    </w:p>
    <w:p w:rsidR="00765047" w:rsidRPr="00127E42" w:rsidRDefault="00765047" w:rsidP="0032202E">
      <w:pPr>
        <w:pStyle w:val="Reasons"/>
        <w:rPr>
          <w:lang w:val="fr-CH"/>
        </w:rPr>
      </w:pPr>
    </w:p>
    <w:p w:rsidR="00765047" w:rsidRPr="00F405C6" w:rsidRDefault="00765047" w:rsidP="00F405C6">
      <w:pPr>
        <w:jc w:val="center"/>
      </w:pPr>
      <w:r>
        <w:t>______________</w:t>
      </w:r>
    </w:p>
    <w:sectPr w:rsidR="00765047" w:rsidRPr="00F405C6" w:rsidSect="0039169B">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DD0DE5" w:rsidRDefault="00E45D05">
    <w:pPr>
      <w:ind w:right="360"/>
      <w:rPr>
        <w:lang w:val="fr-FR"/>
      </w:rPr>
    </w:pPr>
    <w:r>
      <w:fldChar w:fldCharType="begin"/>
    </w:r>
    <w:r w:rsidRPr="00DD0DE5">
      <w:rPr>
        <w:lang w:val="fr-FR"/>
      </w:rPr>
      <w:instrText xml:space="preserve"> FILENAME \p  \* MERGEFORMAT </w:instrText>
    </w:r>
    <w:r>
      <w:fldChar w:fldCharType="separate"/>
    </w:r>
    <w:r w:rsidR="00EA155C">
      <w:rPr>
        <w:noProof/>
        <w:lang w:val="fr-FR"/>
      </w:rPr>
      <w:t>P:\FRA\ITU-T\CONF-T\WTSA16\000\047ADD11F.docx</w:t>
    </w:r>
    <w:r>
      <w:fldChar w:fldCharType="end"/>
    </w:r>
    <w:r w:rsidRPr="00DD0DE5">
      <w:rPr>
        <w:lang w:val="fr-FR"/>
      </w:rPr>
      <w:tab/>
    </w:r>
    <w:r>
      <w:fldChar w:fldCharType="begin"/>
    </w:r>
    <w:r>
      <w:instrText xml:space="preserve"> SAVEDATE \@ DD.MM.YY </w:instrText>
    </w:r>
    <w:r>
      <w:fldChar w:fldCharType="separate"/>
    </w:r>
    <w:r w:rsidR="0078045F">
      <w:rPr>
        <w:noProof/>
      </w:rPr>
      <w:t>11.10.16</w:t>
    </w:r>
    <w:r>
      <w:fldChar w:fldCharType="end"/>
    </w:r>
    <w:r w:rsidRPr="00DD0DE5">
      <w:rPr>
        <w:lang w:val="fr-FR"/>
      </w:rPr>
      <w:tab/>
    </w:r>
    <w:r>
      <w:fldChar w:fldCharType="begin"/>
    </w:r>
    <w:r>
      <w:instrText xml:space="preserve"> PRINTDATE \@ DD.MM.YY </w:instrText>
    </w:r>
    <w:r>
      <w:fldChar w:fldCharType="separate"/>
    </w:r>
    <w:r w:rsidR="00EA155C">
      <w:rPr>
        <w:noProof/>
      </w:rPr>
      <w:t>11.10.16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DD0DE5" w:rsidRDefault="00E45D05" w:rsidP="00526703">
    <w:pPr>
      <w:pStyle w:val="Footer"/>
      <w:rPr>
        <w:lang w:val="fr-FR"/>
      </w:rPr>
    </w:pPr>
    <w:r>
      <w:fldChar w:fldCharType="begin"/>
    </w:r>
    <w:r w:rsidRPr="00DD0DE5">
      <w:rPr>
        <w:lang w:val="fr-FR"/>
      </w:rPr>
      <w:instrText xml:space="preserve"> FILENAME \p  \* MERGEFORMAT </w:instrText>
    </w:r>
    <w:r>
      <w:fldChar w:fldCharType="separate"/>
    </w:r>
    <w:r w:rsidR="00EA155C">
      <w:rPr>
        <w:lang w:val="fr-FR"/>
      </w:rPr>
      <w:t>P:\FRA\ITU-T\CONF-T\WTSA16\000\047ADD11F.docx</w:t>
    </w:r>
    <w:r>
      <w:fldChar w:fldCharType="end"/>
    </w:r>
    <w:r w:rsidR="00DD0DE5" w:rsidRPr="00DD0DE5">
      <w:rPr>
        <w:lang w:val="fr-FR"/>
      </w:rPr>
      <w:t xml:space="preserve"> (405608)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0B38F4" w:rsidRDefault="00987C1F" w:rsidP="00526703">
    <w:pPr>
      <w:pStyle w:val="Footer"/>
      <w:rPr>
        <w:lang w:val="fr-FR"/>
      </w:rPr>
    </w:pPr>
    <w:r>
      <w:fldChar w:fldCharType="begin"/>
    </w:r>
    <w:r w:rsidRPr="00DD0DE5">
      <w:rPr>
        <w:lang w:val="fr-FR"/>
      </w:rPr>
      <w:instrText xml:space="preserve"> FILENAME \p  \* MERGEFORMAT </w:instrText>
    </w:r>
    <w:r>
      <w:fldChar w:fldCharType="separate"/>
    </w:r>
    <w:r w:rsidR="00EA155C">
      <w:rPr>
        <w:lang w:val="fr-FR"/>
      </w:rPr>
      <w:t>P:\FRA\ITU-T\CONF-T\WTSA16\000\047ADD11F.docx</w:t>
    </w:r>
    <w:r>
      <w:fldChar w:fldCharType="end"/>
    </w:r>
    <w:r w:rsidR="000B38F4" w:rsidRPr="000B38F4">
      <w:rPr>
        <w:lang w:val="fr-FR"/>
      </w:rPr>
      <w:t xml:space="preserve"> (405608)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51266D" w:rsidRPr="00450DE7" w:rsidRDefault="0051266D" w:rsidP="0051266D">
      <w:pPr>
        <w:pStyle w:val="FootnoteText"/>
        <w:rPr>
          <w:lang w:val="fr-CH"/>
        </w:rPr>
      </w:pPr>
      <w:r w:rsidRPr="00E50A0C">
        <w:rPr>
          <w:rStyle w:val="FootnoteReference"/>
          <w:vertAlign w:val="superscript"/>
          <w:lang w:val="fr-FR"/>
        </w:rPr>
        <w:t>1</w:t>
      </w:r>
      <w:r w:rsidRPr="0051266D">
        <w:rPr>
          <w:lang w:val="fr-FR"/>
        </w:rPr>
        <w:tab/>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78045F">
      <w:rPr>
        <w:noProof/>
      </w:rPr>
      <w:t>5</w:t>
    </w:r>
    <w:r>
      <w:fldChar w:fldCharType="end"/>
    </w:r>
  </w:p>
  <w:p w:rsidR="00987C1F" w:rsidRDefault="00E07AF5" w:rsidP="00987C1F">
    <w:pPr>
      <w:pStyle w:val="Header"/>
    </w:pPr>
    <w:r>
      <w:t>AMNT16</w:t>
    </w:r>
    <w:r w:rsidR="00987C1F">
      <w:t>/47(Add.11)-</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F745BBF"/>
    <w:multiLevelType w:val="hybridMultilevel"/>
    <w:tmpl w:val="6732614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8507973"/>
    <w:multiLevelType w:val="hybridMultilevel"/>
    <w:tmpl w:val="A1B42044"/>
    <w:lvl w:ilvl="0" w:tplc="57AA7882">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CA6829"/>
    <w:multiLevelType w:val="hybridMultilevel"/>
    <w:tmpl w:val="21A64816"/>
    <w:lvl w:ilvl="0" w:tplc="61544EE6">
      <w:start w:val="1"/>
      <w:numFmt w:val="lowerLetter"/>
      <w:lvlText w:val="%1)"/>
      <w:lvlJc w:val="left"/>
      <w:pPr>
        <w:ind w:left="1500" w:hanging="114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C75DEB"/>
    <w:multiLevelType w:val="hybridMultilevel"/>
    <w:tmpl w:val="F0D00232"/>
    <w:lvl w:ilvl="0" w:tplc="F2A8C44A">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141C"/>
    <w:rsid w:val="000032AD"/>
    <w:rsid w:val="000041EA"/>
    <w:rsid w:val="00022A29"/>
    <w:rsid w:val="000355FD"/>
    <w:rsid w:val="000505BC"/>
    <w:rsid w:val="00051E39"/>
    <w:rsid w:val="000563DF"/>
    <w:rsid w:val="00070422"/>
    <w:rsid w:val="00077239"/>
    <w:rsid w:val="00083854"/>
    <w:rsid w:val="00086491"/>
    <w:rsid w:val="00091346"/>
    <w:rsid w:val="0009706C"/>
    <w:rsid w:val="000A14AF"/>
    <w:rsid w:val="000A1EA3"/>
    <w:rsid w:val="000B38F4"/>
    <w:rsid w:val="000C0664"/>
    <w:rsid w:val="000F73FF"/>
    <w:rsid w:val="00103B28"/>
    <w:rsid w:val="00110437"/>
    <w:rsid w:val="0011348C"/>
    <w:rsid w:val="00114CF7"/>
    <w:rsid w:val="00123B68"/>
    <w:rsid w:val="00126F2E"/>
    <w:rsid w:val="00127E42"/>
    <w:rsid w:val="00146F6F"/>
    <w:rsid w:val="00151AB6"/>
    <w:rsid w:val="00164C14"/>
    <w:rsid w:val="001713ED"/>
    <w:rsid w:val="00187BD9"/>
    <w:rsid w:val="00190B55"/>
    <w:rsid w:val="001978FA"/>
    <w:rsid w:val="001A0F27"/>
    <w:rsid w:val="001B1C40"/>
    <w:rsid w:val="001C3B5F"/>
    <w:rsid w:val="001D058F"/>
    <w:rsid w:val="001D581B"/>
    <w:rsid w:val="001D77E9"/>
    <w:rsid w:val="001E1430"/>
    <w:rsid w:val="002009EA"/>
    <w:rsid w:val="00202CA0"/>
    <w:rsid w:val="0021069B"/>
    <w:rsid w:val="00216B6D"/>
    <w:rsid w:val="002408D8"/>
    <w:rsid w:val="00245E97"/>
    <w:rsid w:val="00250AF4"/>
    <w:rsid w:val="002640D8"/>
    <w:rsid w:val="00266F24"/>
    <w:rsid w:val="00271316"/>
    <w:rsid w:val="002732A9"/>
    <w:rsid w:val="002753F5"/>
    <w:rsid w:val="00277B52"/>
    <w:rsid w:val="002A258B"/>
    <w:rsid w:val="002B2A75"/>
    <w:rsid w:val="002D58BE"/>
    <w:rsid w:val="002E210D"/>
    <w:rsid w:val="002F6965"/>
    <w:rsid w:val="003236A6"/>
    <w:rsid w:val="00332C56"/>
    <w:rsid w:val="003340DF"/>
    <w:rsid w:val="00345A52"/>
    <w:rsid w:val="00377BD3"/>
    <w:rsid w:val="003832C0"/>
    <w:rsid w:val="00384088"/>
    <w:rsid w:val="0039169B"/>
    <w:rsid w:val="00394A31"/>
    <w:rsid w:val="003A7F8C"/>
    <w:rsid w:val="003B532E"/>
    <w:rsid w:val="003D0F8B"/>
    <w:rsid w:val="003D3842"/>
    <w:rsid w:val="003D6630"/>
    <w:rsid w:val="003D66DF"/>
    <w:rsid w:val="003E17FE"/>
    <w:rsid w:val="004054F5"/>
    <w:rsid w:val="004079B0"/>
    <w:rsid w:val="0041348E"/>
    <w:rsid w:val="00417AD4"/>
    <w:rsid w:val="00425F10"/>
    <w:rsid w:val="00444030"/>
    <w:rsid w:val="004508E2"/>
    <w:rsid w:val="004663C5"/>
    <w:rsid w:val="00476533"/>
    <w:rsid w:val="00492075"/>
    <w:rsid w:val="004969AD"/>
    <w:rsid w:val="004A26C4"/>
    <w:rsid w:val="004B13CB"/>
    <w:rsid w:val="004C333E"/>
    <w:rsid w:val="004D5D5C"/>
    <w:rsid w:val="004E42A3"/>
    <w:rsid w:val="004E4363"/>
    <w:rsid w:val="0050139F"/>
    <w:rsid w:val="0051266D"/>
    <w:rsid w:val="005127F6"/>
    <w:rsid w:val="00526703"/>
    <w:rsid w:val="00530525"/>
    <w:rsid w:val="0055140B"/>
    <w:rsid w:val="005826F5"/>
    <w:rsid w:val="00595780"/>
    <w:rsid w:val="005964AB"/>
    <w:rsid w:val="005B2302"/>
    <w:rsid w:val="005C099A"/>
    <w:rsid w:val="005C31A5"/>
    <w:rsid w:val="005E10C9"/>
    <w:rsid w:val="005E61DD"/>
    <w:rsid w:val="006023DF"/>
    <w:rsid w:val="00612B50"/>
    <w:rsid w:val="006265ED"/>
    <w:rsid w:val="00637842"/>
    <w:rsid w:val="00657DE0"/>
    <w:rsid w:val="0067271A"/>
    <w:rsid w:val="0067491F"/>
    <w:rsid w:val="00685313"/>
    <w:rsid w:val="0069092B"/>
    <w:rsid w:val="00692833"/>
    <w:rsid w:val="006A6E9B"/>
    <w:rsid w:val="006A7C2E"/>
    <w:rsid w:val="006B249F"/>
    <w:rsid w:val="006B7C2A"/>
    <w:rsid w:val="006C23DA"/>
    <w:rsid w:val="006C661D"/>
    <w:rsid w:val="006E013B"/>
    <w:rsid w:val="006E3D45"/>
    <w:rsid w:val="006F580E"/>
    <w:rsid w:val="007149F9"/>
    <w:rsid w:val="00733A30"/>
    <w:rsid w:val="00745AEE"/>
    <w:rsid w:val="00750F10"/>
    <w:rsid w:val="00756363"/>
    <w:rsid w:val="00765047"/>
    <w:rsid w:val="007742CA"/>
    <w:rsid w:val="0078045F"/>
    <w:rsid w:val="00790D70"/>
    <w:rsid w:val="007D5320"/>
    <w:rsid w:val="007F1270"/>
    <w:rsid w:val="008006C5"/>
    <w:rsid w:val="00800972"/>
    <w:rsid w:val="00804475"/>
    <w:rsid w:val="00811633"/>
    <w:rsid w:val="00813B79"/>
    <w:rsid w:val="00833D2F"/>
    <w:rsid w:val="00846C17"/>
    <w:rsid w:val="00864CD2"/>
    <w:rsid w:val="00870541"/>
    <w:rsid w:val="00872FC8"/>
    <w:rsid w:val="0088024E"/>
    <w:rsid w:val="008845D0"/>
    <w:rsid w:val="008A69FB"/>
    <w:rsid w:val="008B1AEA"/>
    <w:rsid w:val="008B43F2"/>
    <w:rsid w:val="008B6CFF"/>
    <w:rsid w:val="008B7A86"/>
    <w:rsid w:val="008C27E9"/>
    <w:rsid w:val="008C3C5C"/>
    <w:rsid w:val="008C6BAA"/>
    <w:rsid w:val="00910F33"/>
    <w:rsid w:val="009120E6"/>
    <w:rsid w:val="0092425C"/>
    <w:rsid w:val="009274B4"/>
    <w:rsid w:val="00934EA2"/>
    <w:rsid w:val="00940614"/>
    <w:rsid w:val="00944A5C"/>
    <w:rsid w:val="0094513C"/>
    <w:rsid w:val="00952A66"/>
    <w:rsid w:val="00957670"/>
    <w:rsid w:val="00970E11"/>
    <w:rsid w:val="00987C1F"/>
    <w:rsid w:val="009C3191"/>
    <w:rsid w:val="009C56E5"/>
    <w:rsid w:val="009E5FC8"/>
    <w:rsid w:val="009E687A"/>
    <w:rsid w:val="009F3C46"/>
    <w:rsid w:val="009F63E2"/>
    <w:rsid w:val="00A066F1"/>
    <w:rsid w:val="00A141AF"/>
    <w:rsid w:val="00A16D29"/>
    <w:rsid w:val="00A30305"/>
    <w:rsid w:val="00A31D2D"/>
    <w:rsid w:val="00A4600A"/>
    <w:rsid w:val="00A538A6"/>
    <w:rsid w:val="00A54C25"/>
    <w:rsid w:val="00A67821"/>
    <w:rsid w:val="00A710E7"/>
    <w:rsid w:val="00A7372E"/>
    <w:rsid w:val="00A811DC"/>
    <w:rsid w:val="00A8177A"/>
    <w:rsid w:val="00A90939"/>
    <w:rsid w:val="00A93B85"/>
    <w:rsid w:val="00A94A88"/>
    <w:rsid w:val="00AA0B18"/>
    <w:rsid w:val="00AA666F"/>
    <w:rsid w:val="00AB5A50"/>
    <w:rsid w:val="00AB7C5F"/>
    <w:rsid w:val="00AD44DE"/>
    <w:rsid w:val="00B236DB"/>
    <w:rsid w:val="00B31EF6"/>
    <w:rsid w:val="00B33F92"/>
    <w:rsid w:val="00B456E0"/>
    <w:rsid w:val="00B639E9"/>
    <w:rsid w:val="00B73B97"/>
    <w:rsid w:val="00B817CD"/>
    <w:rsid w:val="00B94AD0"/>
    <w:rsid w:val="00BA5265"/>
    <w:rsid w:val="00BB3A95"/>
    <w:rsid w:val="00BB6D50"/>
    <w:rsid w:val="00BD709A"/>
    <w:rsid w:val="00BE7087"/>
    <w:rsid w:val="00BF747B"/>
    <w:rsid w:val="00C0018F"/>
    <w:rsid w:val="00C11F24"/>
    <w:rsid w:val="00C144D6"/>
    <w:rsid w:val="00C16A5A"/>
    <w:rsid w:val="00C20466"/>
    <w:rsid w:val="00C214ED"/>
    <w:rsid w:val="00C234E6"/>
    <w:rsid w:val="00C26BA2"/>
    <w:rsid w:val="00C324A8"/>
    <w:rsid w:val="00C54517"/>
    <w:rsid w:val="00C64CD8"/>
    <w:rsid w:val="00C97C68"/>
    <w:rsid w:val="00CA1A47"/>
    <w:rsid w:val="00CC247A"/>
    <w:rsid w:val="00CD651E"/>
    <w:rsid w:val="00CD7E08"/>
    <w:rsid w:val="00CE388F"/>
    <w:rsid w:val="00CE5E47"/>
    <w:rsid w:val="00CF020F"/>
    <w:rsid w:val="00CF1E9D"/>
    <w:rsid w:val="00CF2B5B"/>
    <w:rsid w:val="00D14CE0"/>
    <w:rsid w:val="00D153F4"/>
    <w:rsid w:val="00D35D80"/>
    <w:rsid w:val="00D42272"/>
    <w:rsid w:val="00D54009"/>
    <w:rsid w:val="00D5651D"/>
    <w:rsid w:val="00D5748E"/>
    <w:rsid w:val="00D57A34"/>
    <w:rsid w:val="00D6112A"/>
    <w:rsid w:val="00D74898"/>
    <w:rsid w:val="00D74F25"/>
    <w:rsid w:val="00D801ED"/>
    <w:rsid w:val="00D936BC"/>
    <w:rsid w:val="00D956B3"/>
    <w:rsid w:val="00D96530"/>
    <w:rsid w:val="00DD0DE5"/>
    <w:rsid w:val="00DD44AF"/>
    <w:rsid w:val="00DE2AC3"/>
    <w:rsid w:val="00DE5692"/>
    <w:rsid w:val="00E03C94"/>
    <w:rsid w:val="00E07AF5"/>
    <w:rsid w:val="00E11197"/>
    <w:rsid w:val="00E14E2A"/>
    <w:rsid w:val="00E26226"/>
    <w:rsid w:val="00E268A9"/>
    <w:rsid w:val="00E331AB"/>
    <w:rsid w:val="00E44784"/>
    <w:rsid w:val="00E45D05"/>
    <w:rsid w:val="00E50A0C"/>
    <w:rsid w:val="00E513D6"/>
    <w:rsid w:val="00E55816"/>
    <w:rsid w:val="00E55AEF"/>
    <w:rsid w:val="00E71A21"/>
    <w:rsid w:val="00E84ED7"/>
    <w:rsid w:val="00E917FD"/>
    <w:rsid w:val="00E976C1"/>
    <w:rsid w:val="00EA12E5"/>
    <w:rsid w:val="00EA155C"/>
    <w:rsid w:val="00EB55C6"/>
    <w:rsid w:val="00EF1293"/>
    <w:rsid w:val="00EF2B09"/>
    <w:rsid w:val="00F02766"/>
    <w:rsid w:val="00F05BD4"/>
    <w:rsid w:val="00F25617"/>
    <w:rsid w:val="00F25924"/>
    <w:rsid w:val="00F405C6"/>
    <w:rsid w:val="00F6125D"/>
    <w:rsid w:val="00F6155B"/>
    <w:rsid w:val="00F65C19"/>
    <w:rsid w:val="00F7356B"/>
    <w:rsid w:val="00F776DF"/>
    <w:rsid w:val="00F8144F"/>
    <w:rsid w:val="00F840C7"/>
    <w:rsid w:val="00FB50F7"/>
    <w:rsid w:val="00FD2546"/>
    <w:rsid w:val="00FD772E"/>
    <w:rsid w:val="00FE78C7"/>
    <w:rsid w:val="00FF43AC"/>
    <w:rsid w:val="00FF6E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745AEE"/>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styleId="ListParagraph">
    <w:name w:val="List Paragraph"/>
    <w:basedOn w:val="Normal"/>
    <w:uiPriority w:val="34"/>
    <w:rsid w:val="00870541"/>
    <w:pPr>
      <w:ind w:left="720"/>
      <w:contextualSpacing/>
    </w:pPr>
    <w:rPr>
      <w:rFonts w:eastAsia="Times New Roman"/>
    </w:rPr>
  </w:style>
  <w:style w:type="paragraph" w:customStyle="1" w:styleId="cLatinItalic">
    <w:name w:val="c+ (Latin) Italic"/>
    <w:basedOn w:val="Normal"/>
    <w:rsid w:val="00833D2F"/>
    <w:pPr>
      <w:keepNext/>
      <w:keepLines/>
      <w:spacing w:before="160"/>
      <w:ind w:left="567"/>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254134">
      <w:bodyDiv w:val="1"/>
      <w:marLeft w:val="0"/>
      <w:marRight w:val="0"/>
      <w:marTop w:val="0"/>
      <w:marBottom w:val="0"/>
      <w:divBdr>
        <w:top w:val="none" w:sz="0" w:space="0" w:color="auto"/>
        <w:left w:val="none" w:sz="0" w:space="0" w:color="auto"/>
        <w:bottom w:val="none" w:sz="0" w:space="0" w:color="auto"/>
        <w:right w:val="none" w:sz="0" w:space="0" w:color="auto"/>
      </w:divBdr>
    </w:div>
    <w:div w:id="1037046973">
      <w:bodyDiv w:val="1"/>
      <w:marLeft w:val="0"/>
      <w:marRight w:val="0"/>
      <w:marTop w:val="0"/>
      <w:marBottom w:val="0"/>
      <w:divBdr>
        <w:top w:val="none" w:sz="0" w:space="0" w:color="auto"/>
        <w:left w:val="none" w:sz="0" w:space="0" w:color="auto"/>
        <w:bottom w:val="none" w:sz="0" w:space="0" w:color="auto"/>
        <w:right w:val="none" w:sz="0" w:space="0" w:color="auto"/>
      </w:divBdr>
    </w:div>
    <w:div w:id="1305114658">
      <w:bodyDiv w:val="1"/>
      <w:marLeft w:val="0"/>
      <w:marRight w:val="0"/>
      <w:marTop w:val="0"/>
      <w:marBottom w:val="0"/>
      <w:divBdr>
        <w:top w:val="none" w:sz="0" w:space="0" w:color="auto"/>
        <w:left w:val="none" w:sz="0" w:space="0" w:color="auto"/>
        <w:bottom w:val="none" w:sz="0" w:space="0" w:color="auto"/>
        <w:right w:val="none" w:sz="0" w:space="0" w:color="auto"/>
      </w:divBdr>
    </w:div>
    <w:div w:id="1488664591">
      <w:bodyDiv w:val="1"/>
      <w:marLeft w:val="0"/>
      <w:marRight w:val="0"/>
      <w:marTop w:val="0"/>
      <w:marBottom w:val="0"/>
      <w:divBdr>
        <w:top w:val="none" w:sz="0" w:space="0" w:color="auto"/>
        <w:left w:val="none" w:sz="0" w:space="0" w:color="auto"/>
        <w:bottom w:val="none" w:sz="0" w:space="0" w:color="auto"/>
        <w:right w:val="none" w:sz="0" w:space="0" w:color="auto"/>
      </w:divBdr>
    </w:div>
    <w:div w:id="1889800791">
      <w:bodyDiv w:val="1"/>
      <w:marLeft w:val="0"/>
      <w:marRight w:val="0"/>
      <w:marTop w:val="0"/>
      <w:marBottom w:val="0"/>
      <w:divBdr>
        <w:top w:val="none" w:sz="0" w:space="0" w:color="auto"/>
        <w:left w:val="none" w:sz="0" w:space="0" w:color="auto"/>
        <w:bottom w:val="none" w:sz="0" w:space="0" w:color="auto"/>
        <w:right w:val="none" w:sz="0" w:space="0" w:color="auto"/>
      </w:divBdr>
    </w:div>
    <w:div w:id="193836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718902e-5abd-4a2b-b2b6-fc5b330b3e3e" targetNamespace="http://schemas.microsoft.com/office/2006/metadata/properties" ma:root="true" ma:fieldsID="d41af5c836d734370eb92e7ee5f83852" ns2:_="" ns3:_="">
    <xsd:import namespace="996b2e75-67fd-4955-a3b0-5ab9934cb50b"/>
    <xsd:import namespace="0718902e-5abd-4a2b-b2b6-fc5b330b3e3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718902e-5abd-4a2b-b2b6-fc5b330b3e3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718902e-5abd-4a2b-b2b6-fc5b330b3e3e">Documents Proposals Manager (DPM)</DPM_x0020_Author>
    <DPM_x0020_File_x0020_name xmlns="0718902e-5abd-4a2b-b2b6-fc5b330b3e3e">T13-WTSA.16-C-0047!A11!MSW-F</DPM_x0020_File_x0020_name>
    <DPM_x0020_Version xmlns="0718902e-5abd-4a2b-b2b6-fc5b330b3e3e">DPM_v2016.10.3.1_prod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718902e-5abd-4a2b-b2b6-fc5b330b3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0718902e-5abd-4a2b-b2b6-fc5b330b3e3e"/>
    <ds:schemaRef ds:uri="996b2e75-67fd-4955-a3b0-5ab9934cb50b"/>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B1B1013-30FA-4A79-B386-853CD2F9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1962</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T13-WTSA.16-C-0047!A11!MSW-F</vt:lpstr>
    </vt:vector>
  </TitlesOfParts>
  <Manager>General Secretariat - Pool</Manager>
  <Company>International Telecommunication Union (ITU)</Company>
  <LinksUpToDate>false</LinksUpToDate>
  <CharactersWithSpaces>13253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T13-WTSA.16-C-0047!A11!MSW-F</dc:title>
  <dc:subject>World Telecommunication Standardization Assembly</dc:subject>
  <dc:creator>Documents Proposals Manager (DPM)</dc:creator>
  <cp:keywords>DPM_v2016.10.3.1_prod</cp:keywords>
  <dc:description>Template used by DPM and CPI for the WTSA-16</dc:description>
  <cp:lastModifiedBy>Janin</cp:lastModifiedBy>
  <cp:revision>2</cp:revision>
  <cp:lastPrinted>2016-10-11T13:07:00Z</cp:lastPrinted>
  <dcterms:created xsi:type="dcterms:W3CDTF">2016-10-18T05:54:00Z</dcterms:created>
  <dcterms:modified xsi:type="dcterms:W3CDTF">2016-10-18T05:54:00Z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