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1418"/>
        <w:gridCol w:w="2126"/>
      </w:tblGrid>
      <w:tr w:rsidR="00261604" w:rsidRPr="00C824EF" w:rsidTr="00190D8B">
        <w:trPr>
          <w:cantSplit/>
        </w:trPr>
        <w:tc>
          <w:tcPr>
            <w:tcW w:w="1560" w:type="dxa"/>
          </w:tcPr>
          <w:p w:rsidR="00261604" w:rsidRPr="00C824E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824EF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824E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824E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C824E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824E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824E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824EF" w:rsidRDefault="00261604" w:rsidP="00190D8B">
            <w:pPr>
              <w:spacing w:line="240" w:lineRule="atLeast"/>
              <w:jc w:val="right"/>
            </w:pPr>
            <w:r w:rsidRPr="00C824EF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824EF" w:rsidTr="007F53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:rsidR="00D15F4D" w:rsidRPr="00C824E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D15F4D" w:rsidRPr="00C824E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824EF" w:rsidTr="007F533F">
        <w:trPr>
          <w:cantSplit/>
        </w:trPr>
        <w:tc>
          <w:tcPr>
            <w:tcW w:w="6237" w:type="dxa"/>
            <w:gridSpan w:val="2"/>
          </w:tcPr>
          <w:p w:rsidR="00E11080" w:rsidRPr="00C824E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824E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gridSpan w:val="2"/>
          </w:tcPr>
          <w:p w:rsidR="00E11080" w:rsidRPr="00C824E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824E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C824E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C824EF" w:rsidTr="007F533F">
        <w:trPr>
          <w:cantSplit/>
        </w:trPr>
        <w:tc>
          <w:tcPr>
            <w:tcW w:w="6237" w:type="dxa"/>
            <w:gridSpan w:val="2"/>
          </w:tcPr>
          <w:p w:rsidR="00E11080" w:rsidRPr="00C824E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C824E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24EF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C824EF" w:rsidTr="007F533F">
        <w:trPr>
          <w:cantSplit/>
        </w:trPr>
        <w:tc>
          <w:tcPr>
            <w:tcW w:w="6237" w:type="dxa"/>
            <w:gridSpan w:val="2"/>
          </w:tcPr>
          <w:p w:rsidR="00E11080" w:rsidRPr="00C824E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C824E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24EF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C824EF" w:rsidTr="00190D8B">
        <w:trPr>
          <w:cantSplit/>
        </w:trPr>
        <w:tc>
          <w:tcPr>
            <w:tcW w:w="9781" w:type="dxa"/>
            <w:gridSpan w:val="4"/>
          </w:tcPr>
          <w:p w:rsidR="00E11080" w:rsidRPr="00C824E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824EF" w:rsidTr="00190D8B">
        <w:trPr>
          <w:cantSplit/>
        </w:trPr>
        <w:tc>
          <w:tcPr>
            <w:tcW w:w="9781" w:type="dxa"/>
            <w:gridSpan w:val="4"/>
          </w:tcPr>
          <w:p w:rsidR="00E11080" w:rsidRPr="00C824EF" w:rsidRDefault="00E11080" w:rsidP="0028514F">
            <w:pPr>
              <w:pStyle w:val="Source"/>
            </w:pPr>
            <w:r w:rsidRPr="00C824EF">
              <w:t xml:space="preserve">Государства – Члены МСЭ, члены Регионального содружества </w:t>
            </w:r>
            <w:r w:rsidR="007F533F" w:rsidRPr="00C824EF">
              <w:br/>
            </w:r>
            <w:r w:rsidRPr="00C824EF">
              <w:t>в области связи (РСС)</w:t>
            </w:r>
          </w:p>
        </w:tc>
      </w:tr>
      <w:tr w:rsidR="00E11080" w:rsidRPr="00C824EF" w:rsidTr="00190D8B">
        <w:trPr>
          <w:cantSplit/>
        </w:trPr>
        <w:tc>
          <w:tcPr>
            <w:tcW w:w="9781" w:type="dxa"/>
            <w:gridSpan w:val="4"/>
          </w:tcPr>
          <w:p w:rsidR="00732BEF" w:rsidRPr="00D0407C" w:rsidRDefault="00D0407C" w:rsidP="009D3690">
            <w:pPr>
              <w:pStyle w:val="Title1"/>
            </w:pPr>
            <w:r w:rsidRPr="00C824EF">
              <w:t>ПРОЕКТ НОВОЙ РЕЗОЛЮЦИИ [RCC-1]</w:t>
            </w:r>
            <w:r w:rsidRPr="00D0407C">
              <w:t xml:space="preserve"> - </w:t>
            </w:r>
            <w:r w:rsidRPr="00C824EF">
              <w:t>Противодействие хищениям мобильных устройств с использованием передовых информационно-коммуникационных технологий</w:t>
            </w:r>
          </w:p>
        </w:tc>
      </w:tr>
      <w:tr w:rsidR="00F802EE" w:rsidRPr="00C824EF" w:rsidTr="00190D8B">
        <w:trPr>
          <w:cantSplit/>
        </w:trPr>
        <w:tc>
          <w:tcPr>
            <w:tcW w:w="9781" w:type="dxa"/>
            <w:gridSpan w:val="4"/>
          </w:tcPr>
          <w:p w:rsidR="00F802EE" w:rsidRPr="00C824EF" w:rsidRDefault="00F802EE" w:rsidP="009D3690">
            <w:pPr>
              <w:pStyle w:val="Title2"/>
              <w:rPr>
                <w:color w:val="00000A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34F1" w:rsidRPr="00C824E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824EF" w:rsidTr="00193AD1">
        <w:trPr>
          <w:cantSplit/>
        </w:trPr>
        <w:tc>
          <w:tcPr>
            <w:tcW w:w="1560" w:type="dxa"/>
          </w:tcPr>
          <w:p w:rsidR="001434F1" w:rsidRPr="00C824EF" w:rsidRDefault="001434F1" w:rsidP="00193AD1">
            <w:r w:rsidRPr="00C824EF">
              <w:rPr>
                <w:b/>
                <w:bCs/>
                <w:szCs w:val="22"/>
              </w:rPr>
              <w:t>Резюме</w:t>
            </w:r>
            <w:r w:rsidRPr="00C824EF">
              <w:t>:</w:t>
            </w:r>
          </w:p>
        </w:tc>
        <w:tc>
          <w:tcPr>
            <w:tcW w:w="8251" w:type="dxa"/>
          </w:tcPr>
          <w:p w:rsidR="001434F1" w:rsidRPr="00C824EF" w:rsidRDefault="00732BEF" w:rsidP="009D3690">
            <w:pPr>
              <w:rPr>
                <w:color w:val="000000" w:themeColor="text1"/>
              </w:rPr>
            </w:pPr>
            <w:r w:rsidRPr="00C824EF">
              <w:rPr>
                <w:color w:val="000000"/>
              </w:rPr>
              <w:t xml:space="preserve">Данный вклад предлагает проект новой </w:t>
            </w:r>
            <w:r w:rsidR="0028514F" w:rsidRPr="00C824EF">
              <w:rPr>
                <w:color w:val="000000"/>
              </w:rPr>
              <w:t xml:space="preserve">Резолюции </w:t>
            </w:r>
            <w:r w:rsidRPr="00C824EF">
              <w:rPr>
                <w:color w:val="000000"/>
              </w:rPr>
              <w:t>по п</w:t>
            </w:r>
            <w:r w:rsidRPr="00C824EF">
              <w:t>ротиводействию хищениям мобильных устройств с использованием передовых информационно-коммуникационных технологий.</w:t>
            </w:r>
          </w:p>
        </w:tc>
      </w:tr>
    </w:tbl>
    <w:p w:rsidR="00732BEF" w:rsidRPr="00C824EF" w:rsidRDefault="00732BEF" w:rsidP="009D3690">
      <w:pPr>
        <w:pStyle w:val="Headingb"/>
        <w:rPr>
          <w:lang w:val="ru-RU"/>
        </w:rPr>
      </w:pPr>
      <w:r w:rsidRPr="00C824EF">
        <w:rPr>
          <w:lang w:val="ru-RU"/>
        </w:rPr>
        <w:t>Введение</w:t>
      </w:r>
    </w:p>
    <w:p w:rsidR="00732BEF" w:rsidRPr="00C824EF" w:rsidRDefault="00732BEF" w:rsidP="0028514F">
      <w:r w:rsidRPr="00C824EF">
        <w:t>В настоящее время угрозы, возникающие в связи с преступлениями, вызванными хищением мобильных устройств, приобрели всемирный масштаб. Вместе с тем торговля похищенными мобильными устройствами представляет риск для потребителей и потерю доходов для отрасли. Важным аспектом также является то, что хищения мобильных устройств, принадлежащих пользователю, могут повлечь за собой незаконное пользование злоумышленниками услугами и приложениями электросвязи/ИКТ, влекущее за собой экономический ущерб для законного владельца и пользователя.</w:t>
      </w:r>
    </w:p>
    <w:p w:rsidR="00732BEF" w:rsidRPr="00C824EF" w:rsidRDefault="00732BEF" w:rsidP="009D3690">
      <w:r w:rsidRPr="00C824EF">
        <w:t>В этой связи необходимо разработать механизмы и технологии, которые позволят операторам и регуляторам противодействовать распространению краденных ИКТ устройств.</w:t>
      </w:r>
    </w:p>
    <w:p w:rsidR="00732BEF" w:rsidRPr="00C824EF" w:rsidRDefault="00732BEF" w:rsidP="009D3690">
      <w:pPr>
        <w:pStyle w:val="Headingb"/>
        <w:rPr>
          <w:lang w:val="ru-RU"/>
        </w:rPr>
      </w:pPr>
      <w:r w:rsidRPr="00C824EF">
        <w:rPr>
          <w:lang w:val="ru-RU"/>
        </w:rPr>
        <w:t>Предложение</w:t>
      </w:r>
    </w:p>
    <w:p w:rsidR="00732BEF" w:rsidRPr="00C824EF" w:rsidRDefault="00732BEF" w:rsidP="00235F2D">
      <w:r w:rsidRPr="00C824EF">
        <w:t>Предлагаетс</w:t>
      </w:r>
      <w:r w:rsidR="0028514F" w:rsidRPr="00C824EF">
        <w:t>я принять новую Резолюцию "</w:t>
      </w:r>
      <w:r w:rsidRPr="00C824EF">
        <w:t>Противодействие</w:t>
      </w:r>
      <w:r w:rsidR="00235F2D" w:rsidRPr="00C824EF">
        <w:t xml:space="preserve"> хищениям мобильных устройств с </w:t>
      </w:r>
      <w:r w:rsidRPr="00C824EF">
        <w:t>использованием передовых информационно-коммуникационных технологий</w:t>
      </w:r>
      <w:r w:rsidR="0028514F" w:rsidRPr="00C824EF">
        <w:t>"</w:t>
      </w:r>
      <w:r w:rsidRPr="00C824EF">
        <w:t xml:space="preserve"> </w:t>
      </w:r>
      <w:r w:rsidR="00235F2D" w:rsidRPr="00C824EF">
        <w:t xml:space="preserve">ВАСЭ, </w:t>
      </w:r>
      <w:r w:rsidRPr="00C824EF">
        <w:t>как представлено далее.</w:t>
      </w:r>
    </w:p>
    <w:p w:rsidR="0092220F" w:rsidRPr="00C824EF" w:rsidRDefault="0092220F" w:rsidP="009D3690">
      <w:r w:rsidRPr="00C824EF">
        <w:br w:type="page"/>
      </w:r>
    </w:p>
    <w:p w:rsidR="00AE1BDD" w:rsidRPr="00C824EF" w:rsidRDefault="006C616B">
      <w:pPr>
        <w:pStyle w:val="Proposal"/>
      </w:pPr>
      <w:r w:rsidRPr="00C824EF">
        <w:lastRenderedPageBreak/>
        <w:t>ADD</w:t>
      </w:r>
      <w:r w:rsidRPr="00C824EF">
        <w:tab/>
        <w:t>RCC/47A10/1</w:t>
      </w:r>
    </w:p>
    <w:p w:rsidR="00AE1BDD" w:rsidRPr="00D0407C" w:rsidRDefault="006C616B" w:rsidP="00114AAA">
      <w:pPr>
        <w:pStyle w:val="ResNo"/>
      </w:pPr>
      <w:r w:rsidRPr="00C824EF">
        <w:t>ПРОЕКТ НОВОЙ РЕЗОЛЮЦИИ [RCC-1]</w:t>
      </w:r>
    </w:p>
    <w:p w:rsidR="00AE1BDD" w:rsidRPr="00C824EF" w:rsidRDefault="00732BEF" w:rsidP="0028514F">
      <w:pPr>
        <w:pStyle w:val="Restitle"/>
      </w:pPr>
      <w:r w:rsidRPr="00C824EF">
        <w:t xml:space="preserve">Противодействие хищениям мобильных устройств с использованием </w:t>
      </w:r>
      <w:r w:rsidR="003316CE" w:rsidRPr="00C824EF">
        <w:br/>
      </w:r>
      <w:r w:rsidRPr="00C824EF">
        <w:t>передовых информационно-коммуникационных технологий</w:t>
      </w:r>
    </w:p>
    <w:p w:rsidR="00732BEF" w:rsidRPr="00C824EF" w:rsidRDefault="00732BEF" w:rsidP="008D658E">
      <w:pPr>
        <w:pStyle w:val="Resdate"/>
      </w:pPr>
      <w:r w:rsidRPr="00C824EF">
        <w:t>(</w:t>
      </w:r>
      <w:r w:rsidR="008D658E" w:rsidRPr="00C824EF">
        <w:t>Хаммамет</w:t>
      </w:r>
      <w:r w:rsidRPr="00C824EF">
        <w:t>, 2016 г.)</w:t>
      </w:r>
    </w:p>
    <w:p w:rsidR="00732BEF" w:rsidRPr="00C824EF" w:rsidRDefault="00732BEF" w:rsidP="008D658E">
      <w:pPr>
        <w:pStyle w:val="Normalaftertitle"/>
      </w:pPr>
      <w:r w:rsidRPr="00C824EF">
        <w:t>Всемирная ассамблея по стандартизации электросвязи (</w:t>
      </w:r>
      <w:r w:rsidR="008D658E" w:rsidRPr="00C824EF">
        <w:t>Хаммамет, 2016 г.</w:t>
      </w:r>
      <w:r w:rsidRPr="00C824EF">
        <w:t>),</w:t>
      </w:r>
    </w:p>
    <w:p w:rsidR="00732BEF" w:rsidRPr="00C824EF" w:rsidRDefault="00732BEF" w:rsidP="002E1CD2">
      <w:pPr>
        <w:pStyle w:val="Call"/>
      </w:pPr>
      <w:r w:rsidRPr="00C824EF">
        <w:t>напоминая</w:t>
      </w:r>
    </w:p>
    <w:p w:rsidR="00732BEF" w:rsidRPr="00C824EF" w:rsidRDefault="00732BEF" w:rsidP="00235F2D">
      <w:r w:rsidRPr="00C824EF">
        <w:rPr>
          <w:i/>
          <w:iCs/>
        </w:rPr>
        <w:t>a)</w:t>
      </w:r>
      <w:r w:rsidRPr="00C824EF">
        <w:tab/>
      </w:r>
      <w:r w:rsidR="002E1CD2" w:rsidRPr="00C824EF">
        <w:t>Резолюцию</w:t>
      </w:r>
      <w:r w:rsidRPr="00C824EF">
        <w:t xml:space="preserve"> 174 (Пересм. Пусан, 2014 г.) Полномочной конференции (ПК) о </w:t>
      </w:r>
      <w:r w:rsidR="00235F2D" w:rsidRPr="00C824EF">
        <w:t xml:space="preserve">роли </w:t>
      </w:r>
      <w:r w:rsidR="00A049FD" w:rsidRPr="00C824EF">
        <w:t>МСЭ в </w:t>
      </w:r>
      <w:r w:rsidRPr="00C824EF">
        <w:t>связи с вопросами международной государственной политики, касающимися риска незаконного использования информационно-коммуникационных технологий;</w:t>
      </w:r>
    </w:p>
    <w:p w:rsidR="00732BEF" w:rsidRPr="00C824EF" w:rsidRDefault="00732BEF" w:rsidP="00055E3F">
      <w:r w:rsidRPr="00C824EF">
        <w:rPr>
          <w:i/>
          <w:iCs/>
        </w:rPr>
        <w:t>b)</w:t>
      </w:r>
      <w:r w:rsidRPr="00C824EF">
        <w:tab/>
      </w:r>
      <w:r w:rsidR="00055E3F" w:rsidRPr="00CF22FE">
        <w:rPr>
          <w:rFonts w:eastAsiaTheme="minorHAnsi"/>
          <w:color w:val="000000" w:themeColor="text1"/>
        </w:rPr>
        <w:t>Резолюцию 188 (Пусан, 2014 г.) ПК о борьбе с контрафактными устройствами электросвязи/информационно-коммуникационных технологий</w:t>
      </w:r>
      <w:r w:rsidRPr="00C824EF">
        <w:t>;</w:t>
      </w:r>
    </w:p>
    <w:p w:rsidR="00732BEF" w:rsidRPr="00C824EF" w:rsidRDefault="00732BEF" w:rsidP="002E1CD2">
      <w:r w:rsidRPr="00C824EF">
        <w:rPr>
          <w:i/>
          <w:iCs/>
        </w:rPr>
        <w:t>c)</w:t>
      </w:r>
      <w:r w:rsidRPr="00C824EF">
        <w:tab/>
        <w:t>Резолюцию 189 (Пусан, 2014 г.) ПК об оказании Государствам-Членам помощи в борьбе с хищениями мобильных устройств и в предотвращении этого явления;</w:t>
      </w:r>
    </w:p>
    <w:p w:rsidR="005954A0" w:rsidRPr="00C824EF" w:rsidRDefault="005954A0" w:rsidP="002E1CD2">
      <w:r w:rsidRPr="00C824EF">
        <w:rPr>
          <w:i/>
          <w:iCs/>
        </w:rPr>
        <w:t>d)</w:t>
      </w:r>
      <w:r w:rsidRPr="00C824EF">
        <w:tab/>
        <w:t>Резолюцию 196 (Пусан, 2014 г.) ПК о защите пользователей/потребителей услуг электросвязи;</w:t>
      </w:r>
    </w:p>
    <w:p w:rsidR="005954A0" w:rsidRPr="00C824EF" w:rsidRDefault="005954A0" w:rsidP="002E1CD2">
      <w:r w:rsidRPr="00C824EF">
        <w:rPr>
          <w:i/>
          <w:iCs/>
        </w:rPr>
        <w:t>e)</w:t>
      </w:r>
      <w:r w:rsidRPr="00C824EF">
        <w:tab/>
        <w:t>Резолюцию 79 (Дубай, 2014 г.) Всемирной конференции по развитию электросвязи (ВКРЭ) о роли электросвязи/информационно-коммуникационных технологий (ИКТ) в борьбе с контрафактными устройствами электросвязи/ИКТ и в решении этой проблемы,</w:t>
      </w:r>
    </w:p>
    <w:p w:rsidR="0098326A" w:rsidRPr="00C824EF" w:rsidRDefault="005954A0" w:rsidP="002E1CD2">
      <w:r w:rsidRPr="00C824EF">
        <w:rPr>
          <w:i/>
          <w:iCs/>
        </w:rPr>
        <w:t>f)</w:t>
      </w:r>
      <w:r w:rsidRPr="00C824EF">
        <w:tab/>
        <w:t>Резолюцию 64 (Пересм. Дубай, 2014 г.) ВКРЭ о защите и поддержке пользователей/потребителей услуг электросвязи/информационно-коммуникационных технологий (ИКТ);</w:t>
      </w:r>
    </w:p>
    <w:p w:rsidR="00732BEF" w:rsidRPr="00C824EF" w:rsidRDefault="00732BEF" w:rsidP="002E1CD2">
      <w:r w:rsidRPr="00C824EF">
        <w:rPr>
          <w:i/>
          <w:iCs/>
        </w:rPr>
        <w:t>g)</w:t>
      </w:r>
      <w:r w:rsidRPr="00C824EF">
        <w:tab/>
        <w:t>Резолюцию 177 (Пересм. Пусан, 2014 г.) Полномочной конференции (ПК) о соответствии и функциональной совместимости,</w:t>
      </w:r>
    </w:p>
    <w:p w:rsidR="00732BEF" w:rsidRPr="00C824EF" w:rsidRDefault="00732BEF" w:rsidP="00732BEF">
      <w:pPr>
        <w:pStyle w:val="Call"/>
        <w:rPr>
          <w:color w:val="000000" w:themeColor="text1"/>
        </w:rPr>
      </w:pPr>
      <w:r w:rsidRPr="00C824EF">
        <w:rPr>
          <w:color w:val="000000" w:themeColor="text1"/>
        </w:rPr>
        <w:t>признавая</w:t>
      </w:r>
      <w:r w:rsidRPr="00C824EF">
        <w:rPr>
          <w:i w:val="0"/>
          <w:iCs/>
          <w:color w:val="000000" w:themeColor="text1"/>
        </w:rPr>
        <w:t>,</w:t>
      </w:r>
    </w:p>
    <w:p w:rsidR="00732BEF" w:rsidRPr="00C824EF" w:rsidRDefault="00732BEF" w:rsidP="00732BEF">
      <w:r w:rsidRPr="00C824EF">
        <w:rPr>
          <w:i/>
          <w:iCs/>
        </w:rPr>
        <w:t>a)</w:t>
      </w:r>
      <w:r w:rsidRPr="00C824EF">
        <w:tab/>
        <w:t>что мобильные устройства могут представлять разное п</w:t>
      </w:r>
      <w:r w:rsidR="00235F2D" w:rsidRPr="00C824EF">
        <w:t>ользовательское оборудование, и </w:t>
      </w:r>
      <w:r w:rsidRPr="00C824EF">
        <w:t>перечень мобильных устройств не ограничивается мобильными телефонами, а включает в себя ноутбуки, нетбуки, планшеты, смартфоны, мобильные телефоны и пр.;</w:t>
      </w:r>
    </w:p>
    <w:p w:rsidR="00732BEF" w:rsidRPr="00C824EF" w:rsidRDefault="00732BEF" w:rsidP="00732BEF">
      <w:r w:rsidRPr="00C824EF">
        <w:rPr>
          <w:i/>
          <w:iCs/>
        </w:rPr>
        <w:t>b)</w:t>
      </w:r>
      <w:r w:rsidRPr="00C824EF">
        <w:tab/>
        <w:t>что хищения мобильных устройств, принадлежащих пользователю, могут повлечь за собой незаконное пользование злоумышленниками услугами и приложениями электросвязи/ИКТ, влекущее за собой экономический ущерб для законного владельца и пользователя;</w:t>
      </w:r>
    </w:p>
    <w:p w:rsidR="00732BEF" w:rsidRPr="00C824EF" w:rsidRDefault="00732BEF" w:rsidP="00732BEF">
      <w:r w:rsidRPr="00C824EF">
        <w:rPr>
          <w:i/>
          <w:iCs/>
        </w:rPr>
        <w:t>c)</w:t>
      </w:r>
      <w:r w:rsidRPr="00C824EF">
        <w:tab/>
        <w:t>что были разработаны отраслевые инициативы для координации деятельности операторов, производителей и потребителей;</w:t>
      </w:r>
    </w:p>
    <w:p w:rsidR="00732BEF" w:rsidRPr="00C824EF" w:rsidRDefault="00732BEF" w:rsidP="00732BEF">
      <w:r w:rsidRPr="00C824EF">
        <w:rPr>
          <w:i/>
          <w:iCs/>
        </w:rPr>
        <w:t>d)</w:t>
      </w:r>
      <w:r w:rsidRPr="00C824EF">
        <w:tab/>
        <w:t>что меры по поиску и идентификации мобильных телефонов (сотовой и частично мобильной связи), принятые некоторыми странами, основываются на использовании уникальных идентификаторах мобильных устройств электросвязи/ИКТ, таких как Международный идентификатор аппаратуры подвижной связи;</w:t>
      </w:r>
    </w:p>
    <w:p w:rsidR="00732BEF" w:rsidRPr="00C824EF" w:rsidRDefault="00732BEF" w:rsidP="00732BEF">
      <w:r w:rsidRPr="00C824EF">
        <w:rPr>
          <w:i/>
          <w:iCs/>
        </w:rPr>
        <w:t>e)</w:t>
      </w:r>
      <w:r w:rsidRPr="00C824EF">
        <w:tab/>
        <w:t>что подделка уникальных идентификаторов устройств снижает эффективность решений, принятых странами;</w:t>
      </w:r>
    </w:p>
    <w:p w:rsidR="00732BEF" w:rsidRPr="00C824EF" w:rsidRDefault="00732BEF" w:rsidP="00732BEF">
      <w:r w:rsidRPr="00C824EF">
        <w:rPr>
          <w:i/>
          <w:iCs/>
        </w:rPr>
        <w:t>f)</w:t>
      </w:r>
      <w:r w:rsidRPr="00C824EF">
        <w:tab/>
        <w:t>что в Рекомендации МСЭ-Т Х.1255, основанной на архитектуре цифровых объектов, представлена структура обнаружения информации по управлению определением идентичности, что в свою очередь может служить механизмом определения объекта в пространстве;</w:t>
      </w:r>
    </w:p>
    <w:p w:rsidR="00732BEF" w:rsidRPr="00C824EF" w:rsidRDefault="00732BEF" w:rsidP="00732BEF">
      <w:r w:rsidRPr="00C824EF">
        <w:rPr>
          <w:i/>
          <w:iCs/>
        </w:rPr>
        <w:t>g)</w:t>
      </w:r>
      <w:r w:rsidRPr="00C824EF">
        <w:tab/>
        <w:t>что исследования, касающиеся борьбы с контрафактом, в том числе и устройств электросвязи/информационно-коммуникационных технологий, а также принятые на их основе системы могут способствовать обнаружению, блокировки и предотвращению дальнейшего использования краденных устройств,</w:t>
      </w:r>
    </w:p>
    <w:p w:rsidR="00732BEF" w:rsidRPr="00C824EF" w:rsidRDefault="00732BEF" w:rsidP="00732BEF">
      <w:pPr>
        <w:pStyle w:val="Call"/>
        <w:rPr>
          <w:rFonts w:eastAsiaTheme="minorHAnsi"/>
        </w:rPr>
      </w:pPr>
      <w:r w:rsidRPr="00C824EF">
        <w:rPr>
          <w:rFonts w:eastAsiaTheme="minorHAnsi"/>
        </w:rPr>
        <w:t>учитывая</w:t>
      </w:r>
      <w:r w:rsidRPr="00C824EF">
        <w:rPr>
          <w:rFonts w:eastAsiaTheme="minorHAnsi"/>
          <w:i w:val="0"/>
          <w:iCs/>
        </w:rPr>
        <w:t>,</w:t>
      </w:r>
    </w:p>
    <w:p w:rsidR="00732BEF" w:rsidRPr="00C824EF" w:rsidRDefault="00732BEF" w:rsidP="00732BEF">
      <w:r w:rsidRPr="00C824EF">
        <w:rPr>
          <w:i/>
          <w:iCs/>
        </w:rPr>
        <w:t>a)</w:t>
      </w:r>
      <w:r w:rsidRPr="00C824EF">
        <w:tab/>
        <w:t>что положительное воздействие подвижной электросвязи, технологический прогресс, широкий охват и развитие, которые обеспечиваются всеми соответствующими услугами, сделали возможным все более широкое проникновение мобильных устройств в связи с многочисленными предоставляемыми преимуществами;</w:t>
      </w:r>
    </w:p>
    <w:p w:rsidR="00732BEF" w:rsidRPr="00C824EF" w:rsidRDefault="00732BEF" w:rsidP="00732BEF">
      <w:r w:rsidRPr="00C824EF">
        <w:rPr>
          <w:i/>
          <w:iCs/>
        </w:rPr>
        <w:t>b)</w:t>
      </w:r>
      <w:r w:rsidRPr="00C824EF">
        <w:tab/>
        <w:t>что повсеместное использование подвижной электросвязи в мире также сопровождается ростом проблемы хищений мобильных телефонов;</w:t>
      </w:r>
    </w:p>
    <w:p w:rsidR="00732BEF" w:rsidRPr="00C824EF" w:rsidRDefault="00732BEF" w:rsidP="00732BEF">
      <w:r w:rsidRPr="00C824EF">
        <w:rPr>
          <w:i/>
          <w:iCs/>
        </w:rPr>
        <w:t>c)</w:t>
      </w:r>
      <w:r w:rsidRPr="00C824EF">
        <w:tab/>
        <w:t>что сам факт хищения мобильных устройств иногда может оказывать отрицательное воздействие на здоровье и безопасность наших граждан и на их чувство защищенности;</w:t>
      </w:r>
    </w:p>
    <w:p w:rsidR="00732BEF" w:rsidRPr="00C824EF" w:rsidRDefault="00732BEF" w:rsidP="00732BEF">
      <w:r w:rsidRPr="00C824EF">
        <w:rPr>
          <w:i/>
          <w:iCs/>
        </w:rPr>
        <w:t>d)</w:t>
      </w:r>
      <w:r w:rsidRPr="00C824EF"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t>
      </w:r>
    </w:p>
    <w:p w:rsidR="00732BEF" w:rsidRPr="00C824EF" w:rsidRDefault="00732BEF" w:rsidP="00732BEF">
      <w:r w:rsidRPr="00C824EF">
        <w:rPr>
          <w:i/>
          <w:iCs/>
        </w:rPr>
        <w:t>e)</w:t>
      </w:r>
      <w:r w:rsidRPr="00C824EF">
        <w:tab/>
        <w:t>что торговля похищенными мобильными устройствами представляет риск для потребителей и потерю доходов для отрасли;</w:t>
      </w:r>
    </w:p>
    <w:p w:rsidR="00732BEF" w:rsidRPr="00C824EF" w:rsidRDefault="00732BEF" w:rsidP="00732BEF">
      <w:r w:rsidRPr="00C824EF">
        <w:rPr>
          <w:i/>
          <w:iCs/>
        </w:rPr>
        <w:t>f)</w:t>
      </w:r>
      <w:r w:rsidRPr="00C824EF">
        <w:tab/>
        <w:t>что некоторые правительства и отрасль ввели нормативные положения, политику в области правоприменительных мер и внедрили технологические механизмы для предотвращения хищения мобильных телефонов и борьбы с этим явлением;</w:t>
      </w:r>
    </w:p>
    <w:p w:rsidR="00732BEF" w:rsidRPr="00C824EF" w:rsidRDefault="00732BEF" w:rsidP="00732BEF">
      <w:r w:rsidRPr="00C824EF">
        <w:rPr>
          <w:i/>
          <w:iCs/>
        </w:rPr>
        <w:t>g)</w:t>
      </w:r>
      <w:r w:rsidRPr="00C824EF">
        <w:tab/>
        <w:t>что МСЭ может оказать помощь всем членам в использовании соответствующих Рекомендаций МСЭ и играть позитивную роль, предлагая всем заинтересованным сторонам платформу для содействия обсуждениям, обмена передовым опытом, отраслевого сотрудничества в определении технических руководящих указаний, а также для распространения информации о борьбе с хищениями мобильных устройств;</w:t>
      </w:r>
    </w:p>
    <w:p w:rsidR="00732BEF" w:rsidRPr="00C824EF" w:rsidRDefault="00732BEF" w:rsidP="00732BEF">
      <w:r w:rsidRPr="00C824EF">
        <w:rPr>
          <w:i/>
          <w:iCs/>
        </w:rPr>
        <w:t>h)</w:t>
      </w:r>
      <w:r w:rsidRPr="00C824EF">
        <w:tab/>
        <w: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устройств,</w:t>
      </w:r>
    </w:p>
    <w:p w:rsidR="00D50B70" w:rsidRPr="00C824EF" w:rsidRDefault="00C824EF" w:rsidP="00D50B70">
      <w:pPr>
        <w:pStyle w:val="Call"/>
      </w:pPr>
      <w:r>
        <w:t>будучи обеспокоена</w:t>
      </w:r>
    </w:p>
    <w:p w:rsidR="00732BEF" w:rsidRPr="00C824EF" w:rsidRDefault="00732BEF" w:rsidP="00732BEF">
      <w:r w:rsidRPr="00C824EF">
        <w:t>тем, что уровень хищений мобильных устройств в различных регионах мира остается высоким, несмотря на усилия, предпринятые в последние годы,</w:t>
      </w:r>
    </w:p>
    <w:p w:rsidR="00732BEF" w:rsidRPr="00C824EF" w:rsidRDefault="00732BEF" w:rsidP="00732BEF">
      <w:pPr>
        <w:pStyle w:val="Call"/>
        <w:rPr>
          <w:rFonts w:eastAsiaTheme="minorHAnsi"/>
          <w:i w:val="0"/>
          <w:iCs/>
        </w:rPr>
      </w:pPr>
      <w:r w:rsidRPr="00C824EF">
        <w:rPr>
          <w:rFonts w:eastAsiaTheme="minorHAnsi"/>
        </w:rPr>
        <w:t>решает</w:t>
      </w:r>
      <w:r w:rsidR="00EC272D" w:rsidRPr="00C824EF">
        <w:rPr>
          <w:rFonts w:eastAsiaTheme="minorHAnsi"/>
          <w:i w:val="0"/>
          <w:iCs/>
        </w:rPr>
        <w:t>,</w:t>
      </w:r>
    </w:p>
    <w:p w:rsidR="00732BEF" w:rsidRPr="00C824EF" w:rsidRDefault="00520F28" w:rsidP="00732BEF">
      <w:r w:rsidRPr="00C824EF">
        <w:t>1</w:t>
      </w:r>
      <w:r w:rsidR="00732BEF" w:rsidRPr="00C824EF">
        <w:tab/>
        <w:t>что исследовательские комиссии МСЭ-Т в рамках своего круга ведения в кратчайшие сроки рассмотрят применимые решения и Рекомендации МСЭ-Т, способствующие предотвращению краж мобильных устройств и снижения негативных последствий таких явлений;</w:t>
      </w:r>
    </w:p>
    <w:p w:rsidR="00732BEF" w:rsidRPr="00C824EF" w:rsidRDefault="00520F28" w:rsidP="00732BEF">
      <w:r w:rsidRPr="00C824EF">
        <w:t>2</w:t>
      </w:r>
      <w:r w:rsidR="00732BEF" w:rsidRPr="00C824EF">
        <w:tab/>
        <w:t>что 11-я исследовательская комиссия МСЭ-Т, в случае необходимости, будет использовать подходы, применяемые для борьбы с контрафактом для борьбы с краденными мобильными устройствами;</w:t>
      </w:r>
    </w:p>
    <w:p w:rsidR="00732BEF" w:rsidRPr="00C824EF" w:rsidRDefault="00520F28" w:rsidP="00235F2D">
      <w:r w:rsidRPr="00C824EF">
        <w:t>3</w:t>
      </w:r>
      <w:r w:rsidR="00732BEF" w:rsidRPr="00C824EF">
        <w:tab/>
        <w:t>что 11-я исследовательская комиссия МСЭ-Т координирует деятельность Сектора, касающуюся реализации пун</w:t>
      </w:r>
      <w:r w:rsidR="00235F2D" w:rsidRPr="00C824EF">
        <w:t xml:space="preserve">кта 1 раздела </w:t>
      </w:r>
      <w:r w:rsidR="00732BEF" w:rsidRPr="00C824EF">
        <w:rPr>
          <w:i/>
          <w:iCs/>
        </w:rPr>
        <w:t>решает</w:t>
      </w:r>
      <w:r w:rsidR="00732BEF" w:rsidRPr="00C824EF">
        <w:t>, выше, во всех исследовательских комиссиях,</w:t>
      </w:r>
    </w:p>
    <w:p w:rsidR="00732BEF" w:rsidRPr="00C824EF" w:rsidRDefault="00732BEF" w:rsidP="00732BEF">
      <w:pPr>
        <w:pStyle w:val="Call"/>
        <w:rPr>
          <w:rFonts w:eastAsiaTheme="minorHAnsi"/>
        </w:rPr>
      </w:pPr>
      <w:r w:rsidRPr="00C824EF">
        <w:rPr>
          <w:rFonts w:eastAsiaTheme="minorHAnsi"/>
          <w:color w:val="000000"/>
        </w:rPr>
        <w:t xml:space="preserve">решает </w:t>
      </w:r>
      <w:r w:rsidRPr="00C824EF">
        <w:rPr>
          <w:rFonts w:eastAsiaTheme="minorHAnsi"/>
        </w:rPr>
        <w:t>поручить Директору Бюро стандартизации электросвязи совместно с Директором Бюро радиосвязи и Бюро развития электросвязи</w:t>
      </w:r>
    </w:p>
    <w:p w:rsidR="00732BEF" w:rsidRPr="00C824EF" w:rsidRDefault="00520F28" w:rsidP="00732BEF">
      <w:r w:rsidRPr="00C824EF">
        <w:t>1</w:t>
      </w:r>
      <w:r w:rsidR="00732BEF" w:rsidRPr="00C824EF">
        <w:tab/>
        <w:t>осуществлять сбор информации о передовом опыте и перспективных направлениях</w:t>
      </w:r>
      <w:r w:rsidR="00F802EE" w:rsidRPr="00C824EF">
        <w:t xml:space="preserve"> </w:t>
      </w:r>
      <w:r w:rsidR="00732BEF" w:rsidRPr="00C824EF">
        <w:t>борьбы с хищениями мобильных устройств, накопленном отраслью или правительствами;</w:t>
      </w:r>
    </w:p>
    <w:p w:rsidR="00732BEF" w:rsidRPr="00C824EF" w:rsidRDefault="00520F28" w:rsidP="00732BEF">
      <w:r w:rsidRPr="00C824EF">
        <w:t>2</w:t>
      </w:r>
      <w:r w:rsidR="00732BEF" w:rsidRPr="00C824EF">
        <w:tab/>
        <w:t>содействовать стандартизации существующих и перспективных технологий, способствующих противодействию хищений и снижению негативных последствий таких действий;</w:t>
      </w:r>
    </w:p>
    <w:p w:rsidR="00732BEF" w:rsidRPr="00C824EF" w:rsidRDefault="00520F28" w:rsidP="00732BEF">
      <w:r w:rsidRPr="00C824EF">
        <w:t>3</w:t>
      </w:r>
      <w:r w:rsidR="00732BEF" w:rsidRPr="00C824EF">
        <w:tab/>
        <w:t>проводить консультации в рамках соответствующих исследовательских комиссий Сектора с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связанными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:rsidR="00732BEF" w:rsidRPr="00C824EF" w:rsidRDefault="00520F28" w:rsidP="00EF327C">
      <w:r w:rsidRPr="00C824EF">
        <w:t>4</w:t>
      </w:r>
      <w:r w:rsidR="00732BEF" w:rsidRPr="00C824EF">
        <w:tab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 в 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</w:p>
    <w:p w:rsidR="00732BEF" w:rsidRPr="00C824EF" w:rsidRDefault="00732BEF" w:rsidP="00F802EE">
      <w:pPr>
        <w:pStyle w:val="Call"/>
        <w:rPr>
          <w:rFonts w:eastAsiaTheme="minorHAnsi"/>
        </w:rPr>
      </w:pPr>
      <w:r w:rsidRPr="00C824EF">
        <w:rPr>
          <w:rFonts w:eastAsiaTheme="minorHAnsi"/>
        </w:rPr>
        <w:t>поручает 11-й Исследовательской комиссии Сектора стандартизации электросвязи МСЭ в сотрудничестве с другими заинтересованными исследовательскими комиссиями, в частности</w:t>
      </w:r>
      <w:r w:rsidR="00EF327C" w:rsidRPr="00C824EF">
        <w:rPr>
          <w:rFonts w:eastAsiaTheme="minorHAnsi"/>
          <w:i w:val="0"/>
          <w:iCs/>
        </w:rPr>
        <w:t>,</w:t>
      </w:r>
      <w:r w:rsidRPr="00C824EF">
        <w:rPr>
          <w:rFonts w:eastAsiaTheme="minorHAnsi"/>
        </w:rPr>
        <w:t xml:space="preserve"> </w:t>
      </w:r>
    </w:p>
    <w:p w:rsidR="00732BEF" w:rsidRPr="00C824EF" w:rsidRDefault="00520F28" w:rsidP="00732BEF">
      <w:r w:rsidRPr="00C824EF">
        <w:t>1</w:t>
      </w:r>
      <w:r w:rsidR="00732BEF" w:rsidRPr="00C824EF">
        <w:tab/>
      </w:r>
      <w:r w:rsidR="00EF327C" w:rsidRPr="00C824EF">
        <w:t xml:space="preserve">сформировать </w:t>
      </w:r>
      <w:r w:rsidR="00732BEF" w:rsidRPr="00C824EF">
        <w:t>перечень идентификаторов, используемых в мобильных устройствах электросвязи/ИКТ, включая информацию об области их применения и уровне безопасности в части возможного их дублирования/клонирования и иного изменения/преобразования;</w:t>
      </w:r>
    </w:p>
    <w:p w:rsidR="00732BEF" w:rsidRPr="00C824EF" w:rsidRDefault="00520F28" w:rsidP="00732BEF">
      <w:r w:rsidRPr="00C824EF">
        <w:t>2</w:t>
      </w:r>
      <w:r w:rsidR="00EF327C" w:rsidRPr="00C824EF">
        <w:tab/>
        <w:t>с</w:t>
      </w:r>
      <w:r w:rsidR="00732BEF" w:rsidRPr="00C824EF">
        <w:t xml:space="preserve"> привлечением профильных организаций по стандартизации разработать в случае необходимости механизмы идентификации продукции, устойчивые к дублированию уникальных идентификаторов и отвечающие вопросам конфиденциальности/безопасности;</w:t>
      </w:r>
    </w:p>
    <w:p w:rsidR="00732BEF" w:rsidRPr="00C824EF" w:rsidRDefault="00520F28" w:rsidP="00732BEF">
      <w:r w:rsidRPr="00C824EF">
        <w:t>3</w:t>
      </w:r>
      <w:r w:rsidR="00732BEF" w:rsidRPr="00C824EF">
        <w:tab/>
      </w:r>
      <w:r w:rsidR="00EF327C" w:rsidRPr="00C824EF">
        <w:t xml:space="preserve">подготовить </w:t>
      </w:r>
      <w:r w:rsidR="00732BEF" w:rsidRPr="00C824EF">
        <w:t>перечень п</w:t>
      </w:r>
      <w:r w:rsidR="00EF327C" w:rsidRPr="00C824EF">
        <w:t>рименимых решений и Рекомендаций</w:t>
      </w:r>
      <w:r w:rsidR="00732BEF" w:rsidRPr="00C824EF">
        <w:t xml:space="preserve"> МСЭ-Т, способствующих предотвращению краж мобильных устройств и снижения негативных последствий таких явлений,</w:t>
      </w:r>
    </w:p>
    <w:p w:rsidR="00732BEF" w:rsidRPr="00C824EF" w:rsidRDefault="00732BEF" w:rsidP="00732BEF">
      <w:pPr>
        <w:pStyle w:val="Call"/>
        <w:rPr>
          <w:rFonts w:eastAsiaTheme="minorHAnsi"/>
        </w:rPr>
      </w:pPr>
      <w:r w:rsidRPr="00C824EF">
        <w:rPr>
          <w:rFonts w:eastAsiaTheme="minorHAnsi"/>
        </w:rPr>
        <w:t>предлагает Государствам-Членам</w:t>
      </w:r>
      <w:r w:rsidRPr="00C824EF">
        <w:t xml:space="preserve"> и Членам Секторов</w:t>
      </w:r>
    </w:p>
    <w:p w:rsidR="00732BEF" w:rsidRPr="00C824EF" w:rsidRDefault="00520F28" w:rsidP="00732BEF">
      <w:r w:rsidRPr="00C824EF">
        <w:t>1</w:t>
      </w:r>
      <w:r w:rsidR="00732BEF" w:rsidRPr="00C824EF">
        <w:tab/>
      </w:r>
      <w:r w:rsidR="00EF327C" w:rsidRPr="00C824EF">
        <w:t xml:space="preserve">принять </w:t>
      </w:r>
      <w:r w:rsidR="00732BEF" w:rsidRPr="00C824EF">
        <w:t>все необходимые меры для борьбы с кражей мобильных</w:t>
      </w:r>
      <w:r w:rsidR="00F802EE" w:rsidRPr="00C824EF">
        <w:t xml:space="preserve"> </w:t>
      </w:r>
      <w:r w:rsidR="00732BEF" w:rsidRPr="00C824EF">
        <w:t>устройств электросвязи/ИКТ и снижения негативных последствий в результате таких действий;</w:t>
      </w:r>
    </w:p>
    <w:p w:rsidR="00732BEF" w:rsidRPr="00C824EF" w:rsidRDefault="00520F28" w:rsidP="00732BEF">
      <w:r w:rsidRPr="00C824EF">
        <w:t>2</w:t>
      </w:r>
      <w:r w:rsidR="00732BEF" w:rsidRPr="00C824EF">
        <w:tab/>
      </w:r>
      <w:r w:rsidR="00EF327C" w:rsidRPr="00C824EF">
        <w:t xml:space="preserve">сотрудничать </w:t>
      </w:r>
      <w:r w:rsidR="00732BEF" w:rsidRPr="00C824EF">
        <w:t xml:space="preserve">между собой и обмениваться специальными знаниями в этой области; </w:t>
      </w:r>
    </w:p>
    <w:p w:rsidR="00732BEF" w:rsidRPr="00C824EF" w:rsidRDefault="00520F28" w:rsidP="00732BEF">
      <w:r w:rsidRPr="00C824EF">
        <w:t>3</w:t>
      </w:r>
      <w:r w:rsidR="00732BEF" w:rsidRPr="00C824EF">
        <w:tab/>
      </w:r>
      <w:r w:rsidR="00EF327C" w:rsidRPr="00C824EF">
        <w:t xml:space="preserve">принимать </w:t>
      </w:r>
      <w:r w:rsidR="00732BEF" w:rsidRPr="00C824EF">
        <w:t>активное участие в исследованиях МСЭ, связанных с выполнением данной Резолюции путем представления вкладов;</w:t>
      </w:r>
    </w:p>
    <w:p w:rsidR="00732BEF" w:rsidRPr="00C824EF" w:rsidRDefault="00520F28" w:rsidP="00732BEF">
      <w:r w:rsidRPr="00C824EF">
        <w:t>4</w:t>
      </w:r>
      <w:r w:rsidR="00732BEF" w:rsidRPr="00C824EF">
        <w:tab/>
      </w:r>
      <w:r w:rsidR="00EF327C" w:rsidRPr="00C824EF">
        <w:t xml:space="preserve">предпринимать </w:t>
      </w:r>
      <w:r w:rsidR="00732BEF" w:rsidRPr="00C824EF">
        <w:t>необходимые действия для предотвращения или выявления случаев подделки уникальных идентификаторов устройств электросвязи/ИКТ.</w:t>
      </w:r>
    </w:p>
    <w:p w:rsidR="00F802EE" w:rsidRPr="00C824EF" w:rsidRDefault="00F802EE" w:rsidP="0032202E">
      <w:pPr>
        <w:pStyle w:val="Reasons"/>
      </w:pPr>
    </w:p>
    <w:p w:rsidR="00732BEF" w:rsidRPr="00C824EF" w:rsidRDefault="00F802EE" w:rsidP="00F802EE">
      <w:pPr>
        <w:jc w:val="center"/>
      </w:pPr>
      <w:r w:rsidRPr="00C824EF">
        <w:t>______________</w:t>
      </w:r>
    </w:p>
    <w:sectPr w:rsidR="00732BEF" w:rsidRPr="00C824E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D8" w:rsidRDefault="00C94FD8">
      <w:r>
        <w:separator/>
      </w:r>
    </w:p>
  </w:endnote>
  <w:endnote w:type="continuationSeparator" w:id="0">
    <w:p w:rsidR="00C94FD8" w:rsidRDefault="00C9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F327C">
      <w:rPr>
        <w:noProof/>
        <w:lang w:val="fr-FR"/>
      </w:rPr>
      <w:t>P:\RUS\ITU-T\CONF-T\WTSA16\000\047ADD10R.docx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407C">
      <w:rPr>
        <w:noProof/>
      </w:rPr>
      <w:t>06.10.16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327C">
      <w:rPr>
        <w:noProof/>
      </w:rPr>
      <w:t>30.09.16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824EF" w:rsidRDefault="007678DA" w:rsidP="007678DA">
    <w:pPr>
      <w:pStyle w:val="Footer"/>
      <w:rPr>
        <w:lang w:val="fr-CH"/>
      </w:rPr>
    </w:pPr>
    <w:r>
      <w:fldChar w:fldCharType="begin"/>
    </w:r>
    <w:r w:rsidRPr="00C824EF">
      <w:rPr>
        <w:lang w:val="fr-CH"/>
      </w:rPr>
      <w:instrText xml:space="preserve"> FILENAME \p  \* MERGEFORMAT </w:instrText>
    </w:r>
    <w:r>
      <w:fldChar w:fldCharType="separate"/>
    </w:r>
    <w:r w:rsidR="00941FD0">
      <w:rPr>
        <w:lang w:val="fr-CH"/>
      </w:rPr>
      <w:t>P:\RUS\ITU-T\CONF-T\WTSA16\000\047ADD10V3R.docx</w:t>
    </w:r>
    <w:r>
      <w:fldChar w:fldCharType="end"/>
    </w:r>
    <w:r w:rsidRPr="00C824EF">
      <w:rPr>
        <w:lang w:val="fr-CH"/>
      </w:rPr>
      <w:t xml:space="preserve"> (405607)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824EF" w:rsidRDefault="00E11080" w:rsidP="00777F17">
    <w:pPr>
      <w:pStyle w:val="Footer"/>
      <w:rPr>
        <w:lang w:val="fr-CH"/>
      </w:rPr>
    </w:pPr>
    <w:r>
      <w:fldChar w:fldCharType="begin"/>
    </w:r>
    <w:r w:rsidRPr="00C824EF">
      <w:rPr>
        <w:lang w:val="fr-CH"/>
      </w:rPr>
      <w:instrText xml:space="preserve"> FILENAME \p  \* MERGEFORMAT </w:instrText>
    </w:r>
    <w:r>
      <w:fldChar w:fldCharType="separate"/>
    </w:r>
    <w:r w:rsidR="00941FD0">
      <w:rPr>
        <w:lang w:val="fr-CH"/>
      </w:rPr>
      <w:t>P:\RUS\ITU-T\CONF-T\WTSA16\000\047ADD10V3R.docx</w:t>
    </w:r>
    <w:r>
      <w:fldChar w:fldCharType="end"/>
    </w:r>
    <w:r w:rsidR="003316CE" w:rsidRPr="00C824EF">
      <w:rPr>
        <w:lang w:val="fr-CH"/>
      </w:rPr>
      <w:t xml:space="preserve"> (405607)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D8" w:rsidRDefault="00C94FD8">
      <w:r>
        <w:rPr>
          <w:b/>
        </w:rPr>
        <w:t>_______________</w:t>
      </w:r>
    </w:p>
  </w:footnote>
  <w:footnote w:type="continuationSeparator" w:id="0">
    <w:p w:rsidR="00C94FD8" w:rsidRDefault="00C9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0407C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WTSA16/47(Add.10)-R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ECC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01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B0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6205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C2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BE8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2A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E6C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AE2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46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E90603C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3482B"/>
    <w:multiLevelType w:val="hybridMultilevel"/>
    <w:tmpl w:val="89C4A710"/>
    <w:lvl w:ilvl="0" w:tplc="AD6CA54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36482A86"/>
    <w:multiLevelType w:val="hybridMultilevel"/>
    <w:tmpl w:val="34982F8E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D420D"/>
    <w:multiLevelType w:val="hybridMultilevel"/>
    <w:tmpl w:val="72A6C58C"/>
    <w:lvl w:ilvl="0" w:tplc="5F827E7A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55E3F"/>
    <w:rsid w:val="000769B8"/>
    <w:rsid w:val="00095D3D"/>
    <w:rsid w:val="000A0EF3"/>
    <w:rsid w:val="000A6C0E"/>
    <w:rsid w:val="000D63A2"/>
    <w:rsid w:val="000F33D8"/>
    <w:rsid w:val="000F39B4"/>
    <w:rsid w:val="00113D0B"/>
    <w:rsid w:val="00114AAA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0646"/>
    <w:rsid w:val="00190D8B"/>
    <w:rsid w:val="001A5585"/>
    <w:rsid w:val="001B1985"/>
    <w:rsid w:val="001C6978"/>
    <w:rsid w:val="001E5FB4"/>
    <w:rsid w:val="00202CA0"/>
    <w:rsid w:val="00213317"/>
    <w:rsid w:val="00230582"/>
    <w:rsid w:val="00235F2D"/>
    <w:rsid w:val="00237D09"/>
    <w:rsid w:val="002449AA"/>
    <w:rsid w:val="00245A1F"/>
    <w:rsid w:val="00261604"/>
    <w:rsid w:val="0028514F"/>
    <w:rsid w:val="00290C74"/>
    <w:rsid w:val="002A2D3F"/>
    <w:rsid w:val="002E1CD2"/>
    <w:rsid w:val="002E533D"/>
    <w:rsid w:val="00300F84"/>
    <w:rsid w:val="003316CE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0F28"/>
    <w:rsid w:val="005305D5"/>
    <w:rsid w:val="00540D1E"/>
    <w:rsid w:val="005651C9"/>
    <w:rsid w:val="00567276"/>
    <w:rsid w:val="005755E2"/>
    <w:rsid w:val="00585A30"/>
    <w:rsid w:val="005954A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C616B"/>
    <w:rsid w:val="006D60C3"/>
    <w:rsid w:val="007036B6"/>
    <w:rsid w:val="00730A90"/>
    <w:rsid w:val="00732BEF"/>
    <w:rsid w:val="00763F4F"/>
    <w:rsid w:val="007678DA"/>
    <w:rsid w:val="00775720"/>
    <w:rsid w:val="007772E3"/>
    <w:rsid w:val="00777F17"/>
    <w:rsid w:val="00794694"/>
    <w:rsid w:val="007A08B5"/>
    <w:rsid w:val="007A09A9"/>
    <w:rsid w:val="007A7F49"/>
    <w:rsid w:val="007F1E3A"/>
    <w:rsid w:val="007F533F"/>
    <w:rsid w:val="00811633"/>
    <w:rsid w:val="00812452"/>
    <w:rsid w:val="00872232"/>
    <w:rsid w:val="00872FC8"/>
    <w:rsid w:val="008A16DC"/>
    <w:rsid w:val="008B07D5"/>
    <w:rsid w:val="008B43F2"/>
    <w:rsid w:val="008C3257"/>
    <w:rsid w:val="008D658E"/>
    <w:rsid w:val="009119CC"/>
    <w:rsid w:val="00917C0A"/>
    <w:rsid w:val="0092220F"/>
    <w:rsid w:val="00922CD0"/>
    <w:rsid w:val="00941A02"/>
    <w:rsid w:val="00941FD0"/>
    <w:rsid w:val="0097126C"/>
    <w:rsid w:val="009825E6"/>
    <w:rsid w:val="0098326A"/>
    <w:rsid w:val="009860A5"/>
    <w:rsid w:val="00993F0B"/>
    <w:rsid w:val="009B5CC2"/>
    <w:rsid w:val="009D3690"/>
    <w:rsid w:val="009D5334"/>
    <w:rsid w:val="009E5FC8"/>
    <w:rsid w:val="00A049FD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1BDD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24EF"/>
    <w:rsid w:val="00C94FD8"/>
    <w:rsid w:val="00CC47C6"/>
    <w:rsid w:val="00CC4DE6"/>
    <w:rsid w:val="00CE5E47"/>
    <w:rsid w:val="00CF020F"/>
    <w:rsid w:val="00D02058"/>
    <w:rsid w:val="00D0407C"/>
    <w:rsid w:val="00D05113"/>
    <w:rsid w:val="00D10152"/>
    <w:rsid w:val="00D15F4D"/>
    <w:rsid w:val="00D50B70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C272D"/>
    <w:rsid w:val="00EE1364"/>
    <w:rsid w:val="00EF327C"/>
    <w:rsid w:val="00EF7176"/>
    <w:rsid w:val="00F17CA4"/>
    <w:rsid w:val="00F454CF"/>
    <w:rsid w:val="00F63A2A"/>
    <w:rsid w:val="00F65C19"/>
    <w:rsid w:val="00F761D2"/>
    <w:rsid w:val="00F802EE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D3690"/>
    <w:pPr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link w:val="ResrefChar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ListParagraph">
    <w:name w:val="List Paragraph"/>
    <w:basedOn w:val="Normal"/>
    <w:uiPriority w:val="34"/>
    <w:qFormat/>
    <w:rsid w:val="00732BE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Cs w:val="22"/>
    </w:rPr>
  </w:style>
  <w:style w:type="character" w:customStyle="1" w:styleId="ResrefChar">
    <w:name w:val="Res_ref Char"/>
    <w:basedOn w:val="DefaultParagraphFont"/>
    <w:link w:val="Resref"/>
    <w:rsid w:val="00732BEF"/>
    <w:rPr>
      <w:rFonts w:ascii="Times New Roman" w:hAnsi="Times New Roman" w:cs="Times New Roman Bold"/>
      <w:bCs/>
      <w:sz w:val="22"/>
      <w:lang w:val="ru-RU" w:eastAsia="en-US"/>
    </w:rPr>
  </w:style>
  <w:style w:type="character" w:customStyle="1" w:styleId="hps">
    <w:name w:val="hps"/>
    <w:basedOn w:val="DefaultParagraphFont"/>
    <w:rsid w:val="00732BEF"/>
  </w:style>
  <w:style w:type="character" w:customStyle="1" w:styleId="2">
    <w:name w:val="Основной текст (2)"/>
    <w:basedOn w:val="DefaultParagraphFont"/>
    <w:rsid w:val="00732BE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"/>
    <w:basedOn w:val="DefaultParagraphFont"/>
    <w:rsid w:val="00732BEF"/>
    <w:rPr>
      <w:rFonts w:ascii="Calibri" w:eastAsia="Calibri" w:hAnsi="Calibri" w:cs="Calibri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Сноска (3)"/>
    <w:basedOn w:val="DefaultParagraphFont"/>
    <w:rsid w:val="00732BE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14bd66-8d42-4efb-bddc-dfab19f088a6">Documents Proposals Manager (DPM)</DPM_x0020_Author>
    <DPM_x0020_File_x0020_name xmlns="8214bd66-8d42-4efb-bddc-dfab19f088a6">T13-WTSA.16-C-0047!A10!MSW-R</DPM_x0020_File_x0020_name>
    <DPM_x0020_Version xmlns="8214bd66-8d42-4efb-bddc-dfab19f088a6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14bd66-8d42-4efb-bddc-dfab19f088a6" targetNamespace="http://schemas.microsoft.com/office/2006/metadata/properties" ma:root="true" ma:fieldsID="d41af5c836d734370eb92e7ee5f83852" ns2:_="" ns3:_="">
    <xsd:import namespace="996b2e75-67fd-4955-a3b0-5ab9934cb50b"/>
    <xsd:import namespace="8214bd66-8d42-4efb-bddc-dfab19f088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4bd66-8d42-4efb-bddc-dfab19f088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8214bd66-8d42-4efb-bddc-dfab19f088a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14bd66-8d42-4efb-bddc-dfab19f0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T13-WTSA.16-C-0047!A10!MSW-R</vt:lpstr>
    </vt:vector>
  </TitlesOfParts>
  <Manager>General Secretariat - Pool</Manager>
  <Company>International Telecommunication Union (ITU)</Company>
  <LinksUpToDate>false</LinksUpToDate>
  <CharactersWithSpaces>9625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T13-WTSA.16-C-0047!A10!MSW-R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Janin</cp:lastModifiedBy>
  <cp:revision>2</cp:revision>
  <cp:lastPrinted>2016-09-30T08:35:00Z</cp:lastPrinted>
  <dcterms:created xsi:type="dcterms:W3CDTF">2016-10-18T05:50:00Z</dcterms:created>
  <dcterms:modified xsi:type="dcterms:W3CDTF">2016-10-18T05:50:00Z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