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597E89" w:rsidTr="00A25A43">
        <w:trPr>
          <w:cantSplit/>
          <w:jc w:val="right"/>
        </w:trPr>
        <w:tc>
          <w:tcPr>
            <w:tcW w:w="3428" w:type="pct"/>
            <w:gridSpan w:val="2"/>
          </w:tcPr>
          <w:p w:rsidR="0022345D" w:rsidRPr="00597E89"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597E89">
              <w:rPr>
                <w:rFonts w:ascii="Verdana Bold" w:hAnsi="Verdana Bold" w:cs="Traditional Arabic"/>
                <w:bCs/>
                <w:sz w:val="19"/>
                <w:szCs w:val="30"/>
                <w:rtl/>
                <w:lang w:val="en-US" w:bidi="ar-EG"/>
              </w:rPr>
              <w:t>الجلسة العامة</w:t>
            </w:r>
          </w:p>
        </w:tc>
        <w:tc>
          <w:tcPr>
            <w:tcW w:w="1572" w:type="pct"/>
            <w:gridSpan w:val="2"/>
            <w:vAlign w:val="center"/>
          </w:tcPr>
          <w:p w:rsidR="0022345D" w:rsidRPr="00597E89" w:rsidRDefault="0022345D" w:rsidP="00A25A43">
            <w:pPr>
              <w:pStyle w:val="Adress"/>
              <w:framePr w:hSpace="0" w:wrap="auto" w:xAlign="left" w:yAlign="inline"/>
              <w:rPr>
                <w:rtl/>
              </w:rPr>
            </w:pPr>
            <w:r w:rsidRPr="00597E89">
              <w:rPr>
                <w:rtl/>
              </w:rPr>
              <w:t xml:space="preserve">الإضافة </w:t>
            </w:r>
            <w:r w:rsidRPr="00597E89">
              <w:t>10</w:t>
            </w:r>
            <w:r w:rsidRPr="00597E89">
              <w:br/>
            </w:r>
            <w:r w:rsidRPr="00597E89">
              <w:rPr>
                <w:rtl/>
              </w:rPr>
              <w:t xml:space="preserve">للوثيقة </w:t>
            </w:r>
            <w:r w:rsidRPr="00597E89">
              <w:t>47</w:t>
            </w:r>
            <w:r w:rsidR="00597E89">
              <w:t>-A</w:t>
            </w:r>
          </w:p>
        </w:tc>
      </w:tr>
      <w:tr w:rsidR="0022345D" w:rsidRPr="00597E89" w:rsidTr="00A25A43">
        <w:trPr>
          <w:cantSplit/>
          <w:jc w:val="right"/>
        </w:trPr>
        <w:tc>
          <w:tcPr>
            <w:tcW w:w="3428" w:type="pct"/>
            <w:gridSpan w:val="2"/>
          </w:tcPr>
          <w:p w:rsidR="0022345D" w:rsidRPr="00597E89" w:rsidRDefault="0022345D" w:rsidP="00A25A43">
            <w:pPr>
              <w:pStyle w:val="Adress"/>
              <w:framePr w:hSpace="0" w:wrap="auto" w:xAlign="left" w:yAlign="inline"/>
              <w:rPr>
                <w:rtl/>
              </w:rPr>
            </w:pPr>
          </w:p>
        </w:tc>
        <w:tc>
          <w:tcPr>
            <w:tcW w:w="1572" w:type="pct"/>
            <w:gridSpan w:val="2"/>
            <w:vAlign w:val="center"/>
          </w:tcPr>
          <w:p w:rsidR="0022345D" w:rsidRPr="00597E89" w:rsidRDefault="0022345D" w:rsidP="00A25A43">
            <w:pPr>
              <w:pStyle w:val="Adress"/>
              <w:framePr w:hSpace="0" w:wrap="auto" w:xAlign="left" w:yAlign="inline"/>
              <w:rPr>
                <w:rtl/>
              </w:rPr>
            </w:pPr>
            <w:r w:rsidRPr="00597E89">
              <w:rPr>
                <w:rFonts w:eastAsia="SimSun"/>
              </w:rPr>
              <w:t>27</w:t>
            </w:r>
            <w:r w:rsidRPr="00597E89">
              <w:rPr>
                <w:rFonts w:eastAsia="SimSun"/>
                <w:rtl/>
              </w:rPr>
              <w:t xml:space="preserve"> سبتمبر </w:t>
            </w:r>
            <w:r w:rsidRPr="00597E89">
              <w:rPr>
                <w:rFonts w:eastAsia="SimSun"/>
              </w:rPr>
              <w:t>2016</w:t>
            </w:r>
          </w:p>
        </w:tc>
      </w:tr>
      <w:tr w:rsidR="0022345D" w:rsidRPr="00597E89" w:rsidTr="00A25A43">
        <w:trPr>
          <w:cantSplit/>
          <w:jc w:val="right"/>
        </w:trPr>
        <w:tc>
          <w:tcPr>
            <w:tcW w:w="3428" w:type="pct"/>
            <w:gridSpan w:val="2"/>
          </w:tcPr>
          <w:p w:rsidR="0022345D" w:rsidRPr="00597E89" w:rsidRDefault="0022345D" w:rsidP="00A25A43">
            <w:pPr>
              <w:pStyle w:val="Adress"/>
              <w:framePr w:hSpace="0" w:wrap="auto" w:xAlign="left" w:yAlign="inline"/>
            </w:pPr>
          </w:p>
        </w:tc>
        <w:tc>
          <w:tcPr>
            <w:tcW w:w="1572" w:type="pct"/>
            <w:gridSpan w:val="2"/>
            <w:vAlign w:val="center"/>
          </w:tcPr>
          <w:p w:rsidR="0022345D" w:rsidRPr="00597E89" w:rsidRDefault="0022345D" w:rsidP="00A25A43">
            <w:pPr>
              <w:pStyle w:val="Adress"/>
              <w:framePr w:hSpace="0" w:wrap="auto" w:xAlign="left" w:yAlign="inline"/>
              <w:rPr>
                <w:rFonts w:eastAsia="SimSun" w:hint="eastAsia"/>
              </w:rPr>
            </w:pPr>
            <w:r w:rsidRPr="00597E89">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597E89">
            <w:pPr>
              <w:pStyle w:val="Source"/>
              <w:rPr>
                <w:rtl/>
              </w:rPr>
            </w:pPr>
            <w:r w:rsidRPr="008204AC">
              <w:rPr>
                <w:rtl/>
              </w:rPr>
              <w:t>الدول الأعضاء في الات‍حاد الدولي للاتصالات، الأعضاء في الكومنولث الإقليمي في</w:t>
            </w:r>
            <w:r w:rsidR="00597E89">
              <w:rPr>
                <w:rFonts w:hint="cs"/>
                <w:rtl/>
              </w:rPr>
              <w:t> </w:t>
            </w:r>
            <w:r w:rsidRPr="008204AC">
              <w:rPr>
                <w:rtl/>
              </w:rPr>
              <w:t>م‍جال الاتصالات </w:t>
            </w:r>
            <w:r w:rsidR="00597E89">
              <w:t>(RCC)</w:t>
            </w:r>
          </w:p>
        </w:tc>
      </w:tr>
      <w:tr w:rsidR="0022345D" w:rsidRPr="00E07379" w:rsidTr="00CC43BE">
        <w:trPr>
          <w:cantSplit/>
          <w:trHeight w:val="567"/>
          <w:jc w:val="right"/>
        </w:trPr>
        <w:tc>
          <w:tcPr>
            <w:tcW w:w="5000" w:type="pct"/>
            <w:gridSpan w:val="4"/>
          </w:tcPr>
          <w:p w:rsidR="0022345D" w:rsidRPr="00B54008" w:rsidRDefault="00597E89" w:rsidP="00A25A43">
            <w:pPr>
              <w:pStyle w:val="Title1"/>
              <w:spacing w:before="240"/>
              <w:rPr>
                <w:rtl/>
              </w:rPr>
            </w:pPr>
            <w:r w:rsidRPr="00B54008">
              <w:rPr>
                <w:rFonts w:hint="cs"/>
                <w:rtl/>
              </w:rPr>
              <w:t>مشروع قرار جديد</w:t>
            </w:r>
            <w:r w:rsidR="004D1E6E" w:rsidRPr="00B54008">
              <w:rPr>
                <w:rFonts w:hint="cs"/>
                <w:rtl/>
              </w:rPr>
              <w:t xml:space="preserve"> للجمعية العالمية لتقييس الاتصالات</w:t>
            </w:r>
            <w:r w:rsidR="00B54008">
              <w:rPr>
                <w:rFonts w:hint="eastAsia"/>
                <w:rtl/>
              </w:rPr>
              <w:t> </w:t>
            </w:r>
            <w:r w:rsidR="00B54008">
              <w:t>(WTSA)</w:t>
            </w:r>
          </w:p>
        </w:tc>
      </w:tr>
      <w:tr w:rsidR="0022345D" w:rsidRPr="00E07379" w:rsidTr="00CC43BE">
        <w:trPr>
          <w:cantSplit/>
          <w:trHeight w:val="844"/>
          <w:jc w:val="right"/>
        </w:trPr>
        <w:tc>
          <w:tcPr>
            <w:tcW w:w="5000" w:type="pct"/>
            <w:gridSpan w:val="4"/>
          </w:tcPr>
          <w:p w:rsidR="0022345D" w:rsidRPr="00B54008" w:rsidRDefault="00B54008" w:rsidP="00A25A43">
            <w:pPr>
              <w:pStyle w:val="Title2"/>
              <w:rPr>
                <w:rtl/>
              </w:rPr>
            </w:pPr>
            <w:r>
              <w:rPr>
                <w:rFonts w:hint="cs"/>
                <w:rtl/>
              </w:rPr>
              <w:t xml:space="preserve">مكافحة سرقة الأجهزة المتنقلة </w:t>
            </w:r>
            <w:r>
              <w:rPr>
                <w:rtl/>
              </w:rPr>
              <w:br/>
            </w:r>
            <w:r>
              <w:rPr>
                <w:rFonts w:hint="cs"/>
                <w:rtl/>
              </w:rPr>
              <w:t>باستخدام تكنولوجيا المعلومات والاتصالات المتقدمة</w:t>
            </w: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rsidTr="00B54008">
        <w:trPr>
          <w:cantSplit/>
          <w:jc w:val="right"/>
        </w:trPr>
        <w:tc>
          <w:tcPr>
            <w:tcW w:w="8729" w:type="dxa"/>
          </w:tcPr>
          <w:p w:rsidR="006157A3" w:rsidRPr="00984EA5" w:rsidRDefault="00B54008" w:rsidP="0011478C">
            <w:pPr>
              <w:ind w:right="34"/>
            </w:pPr>
            <w:r>
              <w:rPr>
                <w:rFonts w:hint="cs"/>
                <w:rtl/>
              </w:rPr>
              <w:t xml:space="preserve">تقترح هذه المساهمة مشروع قرار جديداً بشأن </w:t>
            </w:r>
            <w:r>
              <w:rPr>
                <w:rtl/>
              </w:rPr>
              <w:t>مكافحة سرقة الأجهزة المتنقلة باستخدام تكنولوجيا المعلومات والاتصالات المتقدمة</w:t>
            </w:r>
            <w:r>
              <w:rPr>
                <w:rFonts w:hint="cs"/>
                <w:rtl/>
              </w:rPr>
              <w:t>.</w:t>
            </w:r>
          </w:p>
        </w:tc>
        <w:tc>
          <w:tcPr>
            <w:tcW w:w="1052" w:type="dxa"/>
          </w:tcPr>
          <w:p w:rsidR="006157A3" w:rsidRPr="00E70E87" w:rsidRDefault="00597E89" w:rsidP="00193AD1">
            <w:r>
              <w:rPr>
                <w:rFonts w:ascii="Times New Roman Bold" w:hAnsi="Times New Roman Bold" w:hint="cs"/>
                <w:b/>
                <w:bCs/>
                <w:rtl/>
                <w:lang w:bidi="ar-EG"/>
              </w:rPr>
              <w:t>م</w:t>
            </w:r>
            <w:r w:rsidR="006157A3" w:rsidRPr="00984EA5">
              <w:rPr>
                <w:rFonts w:ascii="Times New Roman Bold" w:hAnsi="Times New Roman Bold"/>
                <w:b/>
                <w:bCs/>
                <w:rtl/>
                <w:lang w:bidi="ar-EG"/>
              </w:rPr>
              <w:t>لخص</w:t>
            </w:r>
            <w:r w:rsidR="006157A3" w:rsidRPr="00E70E87">
              <w:t>:</w:t>
            </w:r>
          </w:p>
        </w:tc>
      </w:tr>
    </w:tbl>
    <w:p w:rsidR="00597E89" w:rsidRDefault="00597E89" w:rsidP="00597E89">
      <w:pPr>
        <w:rPr>
          <w:rtl/>
        </w:rPr>
      </w:pPr>
    </w:p>
    <w:p w:rsidR="00597E89" w:rsidRDefault="00597E89" w:rsidP="00597E89">
      <w:pPr>
        <w:pStyle w:val="Headingb"/>
        <w:rPr>
          <w:rtl/>
        </w:rPr>
      </w:pPr>
      <w:r>
        <w:rPr>
          <w:rFonts w:hint="cs"/>
          <w:rtl/>
        </w:rPr>
        <w:t>مقدمة</w:t>
      </w:r>
    </w:p>
    <w:p w:rsidR="00597E89" w:rsidRDefault="00B54008" w:rsidP="00B54008">
      <w:pPr>
        <w:rPr>
          <w:rtl/>
        </w:rPr>
      </w:pPr>
      <w:r>
        <w:rPr>
          <w:rFonts w:hint="cs"/>
          <w:rtl/>
        </w:rPr>
        <w:t xml:space="preserve">اتخذت التهديدات الناجمة عن الجرائم التي تشمل سرقة الأجهزة المتنقلة واستخدامها غير القانوني بعد ذلك أبعاداً عالمية. وعلاوة على ذلك، فإن </w:t>
      </w:r>
      <w:r w:rsidR="00597E89" w:rsidRPr="00B54008">
        <w:rPr>
          <w:rFonts w:hint="cs"/>
          <w:rtl/>
        </w:rPr>
        <w:t>الاتجار في الأجهزة المتنقلة المسروقة يشكل خطراً على المستهلكين وفقدان دوائر الصناعة للإيرادات.</w:t>
      </w:r>
      <w:r>
        <w:rPr>
          <w:rFonts w:hint="cs"/>
          <w:rtl/>
        </w:rPr>
        <w:t xml:space="preserve"> وهناك اعتبار هام آخر يتمثل في أن سرقة أجهزة متنقلة مملوكة لأحد المستعملين يمكن أن تؤدي إلى استعمال إجرامي لخدمات الاتصالات/تكنولوجيا المعلومات والاتصالات وتطبيقاتها، مما ينتج عنه خسائر اقتصادية للمالك والمستعمل </w:t>
      </w:r>
      <w:r w:rsidR="001C5663">
        <w:rPr>
          <w:rFonts w:hint="cs"/>
          <w:rtl/>
        </w:rPr>
        <w:t>الشرعيين.</w:t>
      </w:r>
    </w:p>
    <w:p w:rsidR="00597E89" w:rsidRPr="00B54008" w:rsidRDefault="00B54008" w:rsidP="00597E89">
      <w:pPr>
        <w:rPr>
          <w:spacing w:val="4"/>
        </w:rPr>
      </w:pPr>
      <w:r w:rsidRPr="00B54008">
        <w:rPr>
          <w:rFonts w:hint="cs"/>
          <w:spacing w:val="4"/>
          <w:rtl/>
        </w:rPr>
        <w:t>وبالتالي، يجب تطوير آليات وتكنولوجيات لتمكين المشغلين والمنظمين من مكافحة تداول أجهزة</w:t>
      </w:r>
      <w:r w:rsidR="003D1B59">
        <w:rPr>
          <w:rFonts w:hint="cs"/>
          <w:spacing w:val="4"/>
          <w:rtl/>
        </w:rPr>
        <w:t xml:space="preserve"> تكنولوجيا المعلومات والاتصالات</w:t>
      </w:r>
      <w:r w:rsidR="003D1B59">
        <w:rPr>
          <w:rFonts w:hint="eastAsia"/>
          <w:spacing w:val="4"/>
          <w:rtl/>
        </w:rPr>
        <w:t> </w:t>
      </w:r>
      <w:r w:rsidRPr="00B54008">
        <w:rPr>
          <w:rFonts w:hint="cs"/>
          <w:spacing w:val="4"/>
          <w:rtl/>
        </w:rPr>
        <w:t>المسروقة.</w:t>
      </w:r>
    </w:p>
    <w:p w:rsidR="00597E89" w:rsidRDefault="00597E89" w:rsidP="00597E89">
      <w:pPr>
        <w:pStyle w:val="Headingb"/>
        <w:rPr>
          <w:rtl/>
        </w:rPr>
      </w:pPr>
      <w:r>
        <w:rPr>
          <w:rFonts w:hint="cs"/>
          <w:rtl/>
        </w:rPr>
        <w:t>المقترح</w:t>
      </w:r>
    </w:p>
    <w:p w:rsidR="00597E89" w:rsidRDefault="00B54008" w:rsidP="00597E89">
      <w:pPr>
        <w:rPr>
          <w:rtl/>
          <w:lang w:bidi="ar-EG"/>
        </w:rPr>
      </w:pPr>
      <w:r>
        <w:rPr>
          <w:rFonts w:hint="cs"/>
          <w:rtl/>
          <w:lang w:bidi="ar-EG"/>
        </w:rPr>
        <w:t>المقترح أدناه مقدم لاعتماد قرار جديد للجمعية </w:t>
      </w:r>
      <w:r>
        <w:rPr>
          <w:lang w:bidi="ar-EG"/>
        </w:rPr>
        <w:t>WTSA</w:t>
      </w:r>
      <w:r>
        <w:rPr>
          <w:rFonts w:hint="cs"/>
          <w:rtl/>
          <w:lang w:bidi="ar-EG"/>
        </w:rPr>
        <w:t xml:space="preserve"> بشأن </w:t>
      </w:r>
      <w:r w:rsidR="00694856">
        <w:rPr>
          <w:rFonts w:hint="cs"/>
          <w:rtl/>
          <w:lang w:bidi="ar-EG"/>
        </w:rPr>
        <w:t>"</w:t>
      </w:r>
      <w:r>
        <w:rPr>
          <w:rtl/>
        </w:rPr>
        <w:t>مكافحة سرقة الأجهزة المتنقلة باستخدام</w:t>
      </w:r>
      <w:r w:rsidR="007755B0">
        <w:rPr>
          <w:rtl/>
        </w:rPr>
        <w:t xml:space="preserve"> تكنولوجيا المعلومات والاتصالات</w:t>
      </w:r>
      <w:r w:rsidR="007755B0">
        <w:rPr>
          <w:rFonts w:hint="cs"/>
          <w:rtl/>
        </w:rPr>
        <w:t> </w:t>
      </w:r>
      <w:r>
        <w:rPr>
          <w:rtl/>
        </w:rPr>
        <w:t>المتقدمة</w:t>
      </w:r>
      <w:r w:rsidR="00694856">
        <w:rPr>
          <w:rFonts w:hint="cs"/>
          <w:rtl/>
        </w:rPr>
        <w:t>"</w:t>
      </w:r>
      <w:r>
        <w:rPr>
          <w:rFonts w:hint="cs"/>
          <w:rtl/>
        </w:rPr>
        <w:t>.</w:t>
      </w:r>
    </w:p>
    <w:p w:rsidR="00D45521" w:rsidRDefault="0027261F">
      <w:pPr>
        <w:pStyle w:val="Proposal"/>
      </w:pPr>
      <w:r>
        <w:lastRenderedPageBreak/>
        <w:t>ADD</w:t>
      </w:r>
      <w:r>
        <w:tab/>
        <w:t>RCC/47A10/1</w:t>
      </w:r>
    </w:p>
    <w:p w:rsidR="00D45521" w:rsidRDefault="0027261F" w:rsidP="00B57CC8">
      <w:pPr>
        <w:pStyle w:val="ResNo"/>
      </w:pPr>
      <w:r>
        <w:rPr>
          <w:rtl/>
        </w:rPr>
        <w:t xml:space="preserve">مشـروع </w:t>
      </w:r>
      <w:r w:rsidR="004D1E6E">
        <w:rPr>
          <w:rFonts w:hint="cs"/>
          <w:rtl/>
        </w:rPr>
        <w:t>ال</w:t>
      </w:r>
      <w:r w:rsidRPr="00B57CC8">
        <w:rPr>
          <w:rtl/>
        </w:rPr>
        <w:t>قـرار</w:t>
      </w:r>
      <w:r>
        <w:rPr>
          <w:rtl/>
        </w:rPr>
        <w:t xml:space="preserve"> </w:t>
      </w:r>
      <w:r w:rsidR="004D1E6E">
        <w:rPr>
          <w:rFonts w:hint="cs"/>
          <w:rtl/>
        </w:rPr>
        <w:t>ال</w:t>
      </w:r>
      <w:r>
        <w:rPr>
          <w:rtl/>
        </w:rPr>
        <w:t xml:space="preserve">جديـد </w:t>
      </w:r>
      <w:r>
        <w:t>[RCC-1]</w:t>
      </w:r>
    </w:p>
    <w:p w:rsidR="0027261F" w:rsidRDefault="00B54008" w:rsidP="0027261F">
      <w:pPr>
        <w:pStyle w:val="Restitle"/>
        <w:rPr>
          <w:rtl/>
          <w:lang w:bidi="ar-EG"/>
        </w:rPr>
      </w:pPr>
      <w:r>
        <w:rPr>
          <w:rtl/>
        </w:rPr>
        <w:t>مكافحة سرقة الأجهزة المتنقلة باستخدام تكنولوجيا المعلومات والاتصالات المتقدمة</w:t>
      </w:r>
    </w:p>
    <w:p w:rsidR="00D45521" w:rsidRPr="0027261F" w:rsidRDefault="00F87B4E" w:rsidP="0027261F">
      <w:pPr>
        <w:pStyle w:val="Resref"/>
        <w:rPr>
          <w:rFonts w:ascii="Times New Roman italic" w:hAnsi="Times New Roman italic"/>
          <w:iCs/>
          <w:rtl/>
          <w:lang w:bidi="ar-EG"/>
        </w:rPr>
      </w:pPr>
      <w:r w:rsidRPr="0027261F">
        <w:rPr>
          <w:rFonts w:ascii="Times New Roman italic" w:hAnsi="Times New Roman italic" w:hint="cs"/>
          <w:iCs/>
          <w:rtl/>
          <w:lang w:bidi="ar-EG"/>
        </w:rPr>
        <w:t xml:space="preserve">(الحمامات، </w:t>
      </w:r>
      <w:r w:rsidRPr="0027261F">
        <w:rPr>
          <w:rFonts w:ascii="Times New Roman italic" w:hAnsi="Times New Roman italic"/>
          <w:iCs/>
          <w:lang w:bidi="ar-EG"/>
        </w:rPr>
        <w:t>2016</w:t>
      </w:r>
      <w:r w:rsidRPr="0027261F">
        <w:rPr>
          <w:rFonts w:ascii="Times New Roman italic" w:hAnsi="Times New Roman italic" w:hint="cs"/>
          <w:iCs/>
          <w:rtl/>
          <w:lang w:bidi="ar-EG"/>
        </w:rPr>
        <w:t>)</w:t>
      </w:r>
    </w:p>
    <w:p w:rsidR="00C970E2" w:rsidRPr="00122E85" w:rsidRDefault="00C970E2" w:rsidP="00F87B4E">
      <w:pPr>
        <w:pStyle w:val="Normalaftertitle"/>
        <w:keepNext/>
        <w:spacing w:before="360"/>
        <w:rPr>
          <w:rtl/>
        </w:rPr>
      </w:pPr>
      <w:r w:rsidRPr="00122E85">
        <w:rPr>
          <w:rFonts w:hint="cs"/>
          <w:rtl/>
        </w:rPr>
        <w:t xml:space="preserve">إن الجمعية العالمية لتقييس الاتصالات </w:t>
      </w:r>
      <w:r w:rsidRPr="00AC6EBB">
        <w:rPr>
          <w:rFonts w:hint="cs"/>
          <w:rtl/>
          <w:lang w:bidi="ar-EG"/>
        </w:rPr>
        <w:t>(</w:t>
      </w:r>
      <w:r w:rsidR="00F87B4E">
        <w:rPr>
          <w:rFonts w:hint="cs"/>
          <w:rtl/>
          <w:lang w:bidi="ar-EG"/>
        </w:rPr>
        <w:t>الحمامات</w:t>
      </w:r>
      <w:r w:rsidRPr="00AC6EBB">
        <w:rPr>
          <w:rFonts w:hint="cs"/>
          <w:rtl/>
          <w:lang w:bidi="ar-EG"/>
        </w:rPr>
        <w:t xml:space="preserve">، </w:t>
      </w:r>
      <w:r w:rsidR="00F87B4E">
        <w:t>2016</w:t>
      </w:r>
      <w:r w:rsidRPr="00AC6EBB">
        <w:rPr>
          <w:rFonts w:hint="cs"/>
          <w:rtl/>
          <w:lang w:bidi="ar-EG"/>
        </w:rPr>
        <w:t>)</w:t>
      </w:r>
      <w:r w:rsidRPr="00122E85">
        <w:rPr>
          <w:rFonts w:hint="cs"/>
          <w:rtl/>
        </w:rPr>
        <w:t>،</w:t>
      </w:r>
    </w:p>
    <w:p w:rsidR="00C970E2" w:rsidRDefault="00C970E2" w:rsidP="00C970E2">
      <w:pPr>
        <w:pStyle w:val="Call"/>
        <w:rPr>
          <w:rtl/>
        </w:rPr>
      </w:pPr>
      <w:r>
        <w:rPr>
          <w:rFonts w:hint="cs"/>
          <w:rtl/>
        </w:rPr>
        <w:t>إذ تُذكّر</w:t>
      </w:r>
    </w:p>
    <w:p w:rsidR="00C970E2" w:rsidRPr="000119C0" w:rsidRDefault="00C970E2" w:rsidP="004D1E6E">
      <w:pPr>
        <w:rPr>
          <w:rtl/>
          <w:lang w:bidi="ar-EG"/>
        </w:rPr>
      </w:pPr>
      <w:r w:rsidRPr="000119C0">
        <w:rPr>
          <w:rFonts w:hint="cs"/>
          <w:i/>
          <w:iCs/>
          <w:rtl/>
        </w:rPr>
        <w:t xml:space="preserve"> أ )</w:t>
      </w:r>
      <w:r w:rsidRPr="000119C0">
        <w:rPr>
          <w:rFonts w:hint="cs"/>
          <w:i/>
          <w:iCs/>
          <w:rtl/>
        </w:rPr>
        <w:tab/>
      </w:r>
      <w:r w:rsidRPr="000119C0">
        <w:rPr>
          <w:rFonts w:hint="cs"/>
          <w:rtl/>
        </w:rPr>
        <w:t>بالقرار </w:t>
      </w:r>
      <w:r w:rsidRPr="000119C0">
        <w:t>174</w:t>
      </w:r>
      <w:r w:rsidRPr="000119C0">
        <w:rPr>
          <w:rFonts w:hint="cs"/>
          <w:rtl/>
          <w:lang w:bidi="ar-EG"/>
        </w:rPr>
        <w:t xml:space="preserve"> (المراج</w:t>
      </w:r>
      <w:r w:rsidR="0011478C" w:rsidRPr="000119C0">
        <w:rPr>
          <w:rFonts w:hint="cs"/>
          <w:rtl/>
          <w:lang w:bidi="ar-EG"/>
        </w:rPr>
        <w:t>َ</w:t>
      </w:r>
      <w:r w:rsidRPr="000119C0">
        <w:rPr>
          <w:rFonts w:hint="cs"/>
          <w:rtl/>
          <w:lang w:bidi="ar-EG"/>
        </w:rPr>
        <w:t xml:space="preserve">ع في بوسان، </w:t>
      </w:r>
      <w:r w:rsidRPr="000119C0">
        <w:rPr>
          <w:lang w:bidi="ar-EG"/>
        </w:rPr>
        <w:t>2014</w:t>
      </w:r>
      <w:r w:rsidRPr="000119C0">
        <w:rPr>
          <w:rFonts w:hint="cs"/>
          <w:rtl/>
          <w:lang w:bidi="ar-EG"/>
        </w:rPr>
        <w:t xml:space="preserve">) لمؤتمر المندوبين المفوضين، </w:t>
      </w:r>
      <w:r w:rsidR="00D83EC5" w:rsidRPr="000119C0">
        <w:rPr>
          <w:rFonts w:hint="cs"/>
          <w:rtl/>
          <w:lang w:bidi="ar-EG"/>
        </w:rPr>
        <w:t xml:space="preserve">بشأن </w:t>
      </w:r>
      <w:r w:rsidRPr="000119C0">
        <w:rPr>
          <w:rtl/>
          <w:lang w:bidi="ar-EG"/>
        </w:rPr>
        <w:t>دور الات‍حاد الدولي للاتصالات في</w:t>
      </w:r>
      <w:r w:rsidRPr="000119C0">
        <w:rPr>
          <w:rFonts w:hint="cs"/>
          <w:rtl/>
          <w:lang w:bidi="ar-EG"/>
        </w:rPr>
        <w:t> </w:t>
      </w:r>
      <w:r w:rsidRPr="000119C0">
        <w:rPr>
          <w:rtl/>
          <w:lang w:bidi="ar-EG"/>
        </w:rPr>
        <w:t>قضايا السياسة العامة الدولية</w:t>
      </w:r>
      <w:r w:rsidRPr="000119C0">
        <w:rPr>
          <w:rFonts w:hint="cs"/>
          <w:rtl/>
          <w:lang w:bidi="ar-EG"/>
        </w:rPr>
        <w:t xml:space="preserve"> </w:t>
      </w:r>
      <w:r w:rsidRPr="000119C0">
        <w:rPr>
          <w:rtl/>
          <w:lang w:bidi="ar-EG"/>
        </w:rPr>
        <w:t>المتعلقة بمخاطر الاستعمال غير القانوني لتكنولوجيا المعلومات والاتصالات</w:t>
      </w:r>
      <w:r w:rsidRPr="000119C0">
        <w:rPr>
          <w:rFonts w:hint="cs"/>
          <w:rtl/>
          <w:lang w:bidi="ar-EG"/>
        </w:rPr>
        <w:t>؛</w:t>
      </w:r>
    </w:p>
    <w:p w:rsidR="00C970E2" w:rsidRPr="000119C0" w:rsidRDefault="00C970E2" w:rsidP="004D1E6E">
      <w:pPr>
        <w:rPr>
          <w:rtl/>
          <w:lang w:bidi="ar-EG"/>
        </w:rPr>
      </w:pPr>
      <w:r w:rsidRPr="000119C0">
        <w:rPr>
          <w:rFonts w:hint="cs"/>
          <w:i/>
          <w:iCs/>
          <w:rtl/>
          <w:lang w:bidi="ar-EG"/>
        </w:rPr>
        <w:t>ب)</w:t>
      </w:r>
      <w:r w:rsidRPr="000119C0">
        <w:rPr>
          <w:rFonts w:hint="cs"/>
          <w:rtl/>
          <w:lang w:bidi="ar-EG"/>
        </w:rPr>
        <w:tab/>
        <w:t>بالقرار  </w:t>
      </w:r>
      <w:r w:rsidRPr="000119C0">
        <w:rPr>
          <w:lang w:bidi="ar-EG"/>
        </w:rPr>
        <w:t>188</w:t>
      </w:r>
      <w:r w:rsidRPr="000119C0">
        <w:rPr>
          <w:rFonts w:hint="cs"/>
          <w:rtl/>
          <w:lang w:bidi="ar-EG"/>
        </w:rPr>
        <w:t xml:space="preserve"> (بوسان، </w:t>
      </w:r>
      <w:r w:rsidRPr="000119C0">
        <w:rPr>
          <w:lang w:bidi="ar-EG"/>
        </w:rPr>
        <w:t>2014</w:t>
      </w:r>
      <w:r w:rsidRPr="000119C0">
        <w:rPr>
          <w:rFonts w:hint="cs"/>
          <w:rtl/>
          <w:lang w:bidi="ar-EG"/>
        </w:rPr>
        <w:t xml:space="preserve">) لمؤتمر المندوبين المفوضين، </w:t>
      </w:r>
      <w:r w:rsidR="00D83EC5" w:rsidRPr="000119C0">
        <w:rPr>
          <w:rFonts w:hint="cs"/>
          <w:rtl/>
          <w:lang w:bidi="ar-EG"/>
        </w:rPr>
        <w:t xml:space="preserve">بشأن </w:t>
      </w:r>
      <w:r w:rsidRPr="000119C0">
        <w:rPr>
          <w:rtl/>
          <w:lang w:bidi="ar-EG"/>
        </w:rPr>
        <w:t>مكافحة أجهزة الاتصالات</w:t>
      </w:r>
      <w:r w:rsidR="00497C0C" w:rsidRPr="000119C0">
        <w:rPr>
          <w:rtl/>
          <w:lang w:bidi="ar-EG"/>
        </w:rPr>
        <w:t>/تكنولوجيا المعلومات والاتصالات</w:t>
      </w:r>
      <w:r w:rsidR="00497C0C" w:rsidRPr="000119C0">
        <w:rPr>
          <w:rFonts w:hint="cs"/>
          <w:rtl/>
          <w:lang w:bidi="ar-EG"/>
        </w:rPr>
        <w:t> </w:t>
      </w:r>
      <w:r w:rsidRPr="000119C0">
        <w:rPr>
          <w:rtl/>
          <w:lang w:bidi="ar-EG"/>
        </w:rPr>
        <w:t>الزائفة</w:t>
      </w:r>
      <w:r w:rsidRPr="000119C0">
        <w:rPr>
          <w:rFonts w:hint="cs"/>
          <w:rtl/>
          <w:lang w:bidi="ar-EG"/>
        </w:rPr>
        <w:t>؛</w:t>
      </w:r>
    </w:p>
    <w:p w:rsidR="00C970E2" w:rsidRPr="000119C0" w:rsidRDefault="00C970E2" w:rsidP="004D1E6E">
      <w:pPr>
        <w:rPr>
          <w:rtl/>
          <w:lang w:bidi="ar-EG"/>
        </w:rPr>
      </w:pPr>
      <w:r w:rsidRPr="000119C0">
        <w:rPr>
          <w:rFonts w:hint="cs"/>
          <w:i/>
          <w:iCs/>
          <w:rtl/>
          <w:lang w:bidi="ar-EG"/>
        </w:rPr>
        <w:t>ج)</w:t>
      </w:r>
      <w:r w:rsidRPr="000119C0">
        <w:rPr>
          <w:rFonts w:hint="cs"/>
          <w:rtl/>
          <w:lang w:bidi="ar-EG"/>
        </w:rPr>
        <w:tab/>
        <w:t>بالقرار </w:t>
      </w:r>
      <w:r w:rsidRPr="000119C0">
        <w:rPr>
          <w:lang w:bidi="ar-EG"/>
        </w:rPr>
        <w:t>189</w:t>
      </w:r>
      <w:r w:rsidRPr="000119C0">
        <w:rPr>
          <w:rFonts w:hint="cs"/>
          <w:rtl/>
          <w:lang w:bidi="ar-EG"/>
        </w:rPr>
        <w:t xml:space="preserve"> (بوسان، </w:t>
      </w:r>
      <w:r w:rsidRPr="000119C0">
        <w:rPr>
          <w:lang w:bidi="ar-EG"/>
        </w:rPr>
        <w:t>2014</w:t>
      </w:r>
      <w:r w:rsidRPr="000119C0">
        <w:rPr>
          <w:rFonts w:hint="cs"/>
          <w:rtl/>
          <w:lang w:bidi="ar-EG"/>
        </w:rPr>
        <w:t xml:space="preserve">) لمؤتمر المندوبين المفوضين، </w:t>
      </w:r>
      <w:r w:rsidR="00D83EC5" w:rsidRPr="000119C0">
        <w:rPr>
          <w:rFonts w:hint="cs"/>
          <w:rtl/>
          <w:lang w:bidi="ar-EG"/>
        </w:rPr>
        <w:t xml:space="preserve">بشأن </w:t>
      </w:r>
      <w:r w:rsidRPr="000119C0">
        <w:rPr>
          <w:rtl/>
          <w:lang w:bidi="ar-EG"/>
        </w:rPr>
        <w:t>مساعدة الدول الأعضاء في مكافحة سرقة الأجهزة المتنقلة ومنعها</w:t>
      </w:r>
      <w:r w:rsidRPr="000119C0">
        <w:rPr>
          <w:rFonts w:hint="cs"/>
          <w:rtl/>
          <w:lang w:bidi="ar-EG"/>
        </w:rPr>
        <w:t>؛</w:t>
      </w:r>
    </w:p>
    <w:p w:rsidR="00C970E2" w:rsidRPr="000119C0" w:rsidRDefault="00C970E2" w:rsidP="004D1E6E">
      <w:pPr>
        <w:rPr>
          <w:rtl/>
          <w:lang w:bidi="ar-EG"/>
        </w:rPr>
      </w:pPr>
      <w:r w:rsidRPr="000119C0">
        <w:rPr>
          <w:rFonts w:hint="cs"/>
          <w:i/>
          <w:iCs/>
          <w:rtl/>
          <w:lang w:bidi="ar-EG"/>
        </w:rPr>
        <w:t>د )</w:t>
      </w:r>
      <w:r w:rsidRPr="000119C0">
        <w:rPr>
          <w:rFonts w:hint="cs"/>
          <w:i/>
          <w:iCs/>
          <w:rtl/>
          <w:lang w:bidi="ar-EG"/>
        </w:rPr>
        <w:tab/>
      </w:r>
      <w:r w:rsidRPr="000119C0">
        <w:rPr>
          <w:rFonts w:hint="cs"/>
          <w:rtl/>
          <w:lang w:bidi="ar-EG"/>
        </w:rPr>
        <w:t>بالقرار</w:t>
      </w:r>
      <w:r w:rsidRPr="000119C0">
        <w:rPr>
          <w:rFonts w:hint="eastAsia"/>
          <w:rtl/>
          <w:lang w:bidi="ar-EG"/>
        </w:rPr>
        <w:t> </w:t>
      </w:r>
      <w:r w:rsidRPr="000119C0">
        <w:rPr>
          <w:lang w:bidi="ar-EG"/>
        </w:rPr>
        <w:t>196</w:t>
      </w:r>
      <w:r w:rsidRPr="000119C0">
        <w:rPr>
          <w:rFonts w:hint="cs"/>
          <w:rtl/>
          <w:lang w:bidi="ar-EG"/>
        </w:rPr>
        <w:t xml:space="preserve"> (بوسان، </w:t>
      </w:r>
      <w:r w:rsidRPr="000119C0">
        <w:rPr>
          <w:lang w:bidi="ar-EG"/>
        </w:rPr>
        <w:t>2014</w:t>
      </w:r>
      <w:r w:rsidRPr="000119C0">
        <w:rPr>
          <w:rFonts w:hint="cs"/>
          <w:rtl/>
          <w:lang w:bidi="ar-EG"/>
        </w:rPr>
        <w:t xml:space="preserve">) لمؤتمر المندوبين المفوضين، </w:t>
      </w:r>
      <w:r w:rsidR="00D83EC5" w:rsidRPr="000119C0">
        <w:rPr>
          <w:rFonts w:hint="cs"/>
          <w:rtl/>
          <w:lang w:bidi="ar-EG"/>
        </w:rPr>
        <w:t xml:space="preserve">بشأن </w:t>
      </w:r>
      <w:r w:rsidRPr="000119C0">
        <w:rPr>
          <w:rtl/>
          <w:lang w:bidi="ar-EG"/>
        </w:rPr>
        <w:t>ح</w:t>
      </w:r>
      <w:r w:rsidR="00D83EC5" w:rsidRPr="000119C0">
        <w:rPr>
          <w:rFonts w:hint="cs"/>
          <w:rtl/>
          <w:lang w:bidi="ar-EG"/>
        </w:rPr>
        <w:t>ـ</w:t>
      </w:r>
      <w:r w:rsidRPr="000119C0">
        <w:rPr>
          <w:rtl/>
          <w:lang w:bidi="ar-EG"/>
        </w:rPr>
        <w:t>ماية مستعملي/مستهلكي خدمات الاتصالات</w:t>
      </w:r>
      <w:r w:rsidRPr="000119C0">
        <w:rPr>
          <w:rFonts w:hint="cs"/>
          <w:rtl/>
          <w:lang w:bidi="ar-EG"/>
        </w:rPr>
        <w:t>؛</w:t>
      </w:r>
    </w:p>
    <w:p w:rsidR="00C970E2" w:rsidRPr="000119C0" w:rsidRDefault="00C970E2" w:rsidP="005A7D18">
      <w:pPr>
        <w:rPr>
          <w:rtl/>
          <w:lang w:bidi="ar-AE"/>
        </w:rPr>
      </w:pPr>
      <w:r w:rsidRPr="000119C0">
        <w:rPr>
          <w:rFonts w:hint="cs"/>
          <w:i/>
          <w:iCs/>
          <w:rtl/>
          <w:lang w:bidi="ar-EG"/>
        </w:rPr>
        <w:t>ه )</w:t>
      </w:r>
      <w:r w:rsidRPr="000119C0">
        <w:rPr>
          <w:rFonts w:hint="cs"/>
          <w:i/>
          <w:iCs/>
          <w:rtl/>
          <w:lang w:bidi="ar-EG"/>
        </w:rPr>
        <w:tab/>
      </w:r>
      <w:r w:rsidRPr="000119C0">
        <w:rPr>
          <w:rFonts w:hint="cs"/>
          <w:spacing w:val="-2"/>
          <w:rtl/>
          <w:lang w:bidi="ar-EG"/>
        </w:rPr>
        <w:t xml:space="preserve">بالقرار </w:t>
      </w:r>
      <w:r w:rsidRPr="000119C0">
        <w:rPr>
          <w:spacing w:val="-2"/>
          <w:lang w:bidi="ar-EG"/>
        </w:rPr>
        <w:t>79</w:t>
      </w:r>
      <w:r w:rsidRPr="000119C0">
        <w:rPr>
          <w:rFonts w:hint="cs"/>
          <w:spacing w:val="-2"/>
          <w:rtl/>
          <w:lang w:bidi="ar-EG"/>
        </w:rPr>
        <w:t xml:space="preserve"> (دبي، </w:t>
      </w:r>
      <w:r w:rsidRPr="000119C0">
        <w:rPr>
          <w:spacing w:val="-2"/>
          <w:lang w:bidi="ar-EG"/>
        </w:rPr>
        <w:t>2014</w:t>
      </w:r>
      <w:r w:rsidRPr="000119C0">
        <w:rPr>
          <w:rFonts w:hint="cs"/>
          <w:spacing w:val="-2"/>
          <w:rtl/>
          <w:lang w:bidi="ar-EG"/>
        </w:rPr>
        <w:t xml:space="preserve">) </w:t>
      </w:r>
      <w:r w:rsidR="00D83EC5" w:rsidRPr="000119C0">
        <w:rPr>
          <w:rFonts w:hint="cs"/>
          <w:spacing w:val="-2"/>
          <w:rtl/>
          <w:lang w:bidi="ar-SY"/>
        </w:rPr>
        <w:t xml:space="preserve">للمؤتمر العالمي لتنمية الاتصالات، </w:t>
      </w:r>
      <w:r w:rsidRPr="000119C0">
        <w:rPr>
          <w:rFonts w:hint="cs"/>
          <w:spacing w:val="-2"/>
          <w:rtl/>
        </w:rPr>
        <w:t xml:space="preserve">بشأن </w:t>
      </w:r>
      <w:bookmarkStart w:id="0" w:name="_Toc401807966"/>
      <w:r w:rsidRPr="000119C0">
        <w:rPr>
          <w:spacing w:val="-2"/>
          <w:rtl/>
          <w:lang w:bidi="ar-AE"/>
        </w:rPr>
        <w:t>دور الاتصالات</w:t>
      </w:r>
      <w:r w:rsidR="005A7D18" w:rsidRPr="000119C0">
        <w:rPr>
          <w:rFonts w:hint="cs"/>
          <w:spacing w:val="-2"/>
          <w:rtl/>
          <w:lang w:bidi="ar-AE"/>
        </w:rPr>
        <w:t>/</w:t>
      </w:r>
      <w:r w:rsidRPr="000119C0">
        <w:rPr>
          <w:spacing w:val="-2"/>
          <w:rtl/>
          <w:lang w:bidi="ar-AE"/>
        </w:rPr>
        <w:t>تكنولوجيا المعلومات والاتصالات</w:t>
      </w:r>
      <w:r w:rsidRPr="000119C0">
        <w:rPr>
          <w:rtl/>
          <w:lang w:bidi="ar-AE"/>
        </w:rPr>
        <w:t xml:space="preserve"> في مكافحة أجهزة الاتصالات</w:t>
      </w:r>
      <w:r w:rsidRPr="000119C0">
        <w:rPr>
          <w:rFonts w:hint="cs"/>
          <w:rtl/>
          <w:lang w:bidi="ar-AE"/>
        </w:rPr>
        <w:t>/</w:t>
      </w:r>
      <w:r w:rsidRPr="000119C0">
        <w:rPr>
          <w:rtl/>
          <w:lang w:bidi="ar-AE"/>
        </w:rPr>
        <w:t>تكنولوجيا المعلومات والاتصالات الزائفة والتصدي لها</w:t>
      </w:r>
      <w:bookmarkEnd w:id="0"/>
      <w:r w:rsidR="00D83EC5" w:rsidRPr="000119C0">
        <w:rPr>
          <w:rFonts w:hint="cs"/>
          <w:rtl/>
          <w:lang w:bidi="ar-AE"/>
        </w:rPr>
        <w:t>؛</w:t>
      </w:r>
    </w:p>
    <w:p w:rsidR="00D83EC5" w:rsidRPr="000119C0" w:rsidRDefault="00D83EC5" w:rsidP="004D1E6E">
      <w:pPr>
        <w:rPr>
          <w:rtl/>
          <w:lang w:bidi="ar-EG"/>
        </w:rPr>
      </w:pPr>
      <w:r w:rsidRPr="000119C0">
        <w:rPr>
          <w:rFonts w:hint="cs"/>
          <w:i/>
          <w:iCs/>
          <w:rtl/>
          <w:lang w:bidi="ar-AE"/>
        </w:rPr>
        <w:t>و )</w:t>
      </w:r>
      <w:r w:rsidRPr="000119C0">
        <w:rPr>
          <w:rFonts w:hint="cs"/>
          <w:rtl/>
          <w:lang w:bidi="ar-AE"/>
        </w:rPr>
        <w:tab/>
        <w:t>بالقرار </w:t>
      </w:r>
      <w:r w:rsidRPr="000119C0">
        <w:rPr>
          <w:lang w:bidi="ar-AE"/>
        </w:rPr>
        <w:t>64</w:t>
      </w:r>
      <w:r w:rsidRPr="000119C0">
        <w:rPr>
          <w:rFonts w:hint="cs"/>
          <w:rtl/>
          <w:lang w:bidi="ar-EG"/>
        </w:rPr>
        <w:t xml:space="preserve"> (المراج</w:t>
      </w:r>
      <w:r w:rsidR="0011478C" w:rsidRPr="000119C0">
        <w:rPr>
          <w:rFonts w:hint="cs"/>
          <w:rtl/>
          <w:lang w:bidi="ar-EG"/>
        </w:rPr>
        <w:t>َ</w:t>
      </w:r>
      <w:r w:rsidRPr="000119C0">
        <w:rPr>
          <w:rFonts w:hint="cs"/>
          <w:rtl/>
          <w:lang w:bidi="ar-EG"/>
        </w:rPr>
        <w:t xml:space="preserve">ع في دبي، </w:t>
      </w:r>
      <w:r w:rsidRPr="000119C0">
        <w:rPr>
          <w:lang w:bidi="ar-EG"/>
        </w:rPr>
        <w:t>2014</w:t>
      </w:r>
      <w:r w:rsidRPr="000119C0">
        <w:rPr>
          <w:rFonts w:hint="cs"/>
          <w:rtl/>
          <w:lang w:bidi="ar-EG"/>
        </w:rPr>
        <w:t xml:space="preserve">) </w:t>
      </w:r>
      <w:r w:rsidRPr="000119C0">
        <w:rPr>
          <w:rFonts w:hint="cs"/>
          <w:rtl/>
          <w:lang w:bidi="ar-SY"/>
        </w:rPr>
        <w:t xml:space="preserve">للمؤتمر العالمي لتنمية الاتصالات، بشأن </w:t>
      </w:r>
      <w:r w:rsidRPr="000119C0">
        <w:rPr>
          <w:rtl/>
          <w:lang w:bidi="ar-SY"/>
        </w:rPr>
        <w:t>حماية ودعم مستعملي/مستهلكي خدمات الاتصالات/</w:t>
      </w:r>
      <w:r w:rsidRPr="000119C0">
        <w:rPr>
          <w:lang w:bidi="ar-SY"/>
        </w:rPr>
        <w:t xml:space="preserve"> </w:t>
      </w:r>
      <w:r w:rsidRPr="000119C0">
        <w:rPr>
          <w:rtl/>
          <w:lang w:bidi="ar-SY"/>
        </w:rPr>
        <w:t>تكنولوجيا المعلومات والاتصالات</w:t>
      </w:r>
      <w:r w:rsidRPr="000119C0">
        <w:rPr>
          <w:rFonts w:hint="cs"/>
          <w:rtl/>
          <w:lang w:bidi="ar-EG"/>
        </w:rPr>
        <w:t>؛</w:t>
      </w:r>
    </w:p>
    <w:p w:rsidR="00D83EC5" w:rsidRPr="000119C0" w:rsidRDefault="00D83EC5" w:rsidP="004D1E6E">
      <w:pPr>
        <w:rPr>
          <w:rtl/>
          <w:lang w:bidi="ar-EG"/>
        </w:rPr>
      </w:pPr>
      <w:r w:rsidRPr="000119C0">
        <w:rPr>
          <w:rFonts w:hint="cs"/>
          <w:i/>
          <w:iCs/>
          <w:rtl/>
          <w:lang w:bidi="ar-EG"/>
        </w:rPr>
        <w:t>ز )</w:t>
      </w:r>
      <w:r w:rsidRPr="000119C0">
        <w:rPr>
          <w:rFonts w:hint="cs"/>
          <w:rtl/>
          <w:lang w:bidi="ar-EG"/>
        </w:rPr>
        <w:tab/>
        <w:t>بالقرار </w:t>
      </w:r>
      <w:r w:rsidRPr="000119C0">
        <w:rPr>
          <w:lang w:bidi="ar-EG"/>
        </w:rPr>
        <w:t>177</w:t>
      </w:r>
      <w:r w:rsidRPr="000119C0">
        <w:rPr>
          <w:rFonts w:hint="cs"/>
          <w:rtl/>
          <w:lang w:bidi="ar-EG"/>
        </w:rPr>
        <w:t xml:space="preserve"> (المراج</w:t>
      </w:r>
      <w:r w:rsidR="0011478C" w:rsidRPr="000119C0">
        <w:rPr>
          <w:rFonts w:hint="cs"/>
          <w:rtl/>
          <w:lang w:bidi="ar-EG"/>
        </w:rPr>
        <w:t>َ</w:t>
      </w:r>
      <w:r w:rsidRPr="000119C0">
        <w:rPr>
          <w:rFonts w:hint="cs"/>
          <w:rtl/>
          <w:lang w:bidi="ar-EG"/>
        </w:rPr>
        <w:t xml:space="preserve">ع في بوسان، </w:t>
      </w:r>
      <w:r w:rsidRPr="000119C0">
        <w:rPr>
          <w:lang w:bidi="ar-EG"/>
        </w:rPr>
        <w:t>2014</w:t>
      </w:r>
      <w:r w:rsidRPr="000119C0">
        <w:rPr>
          <w:rFonts w:hint="cs"/>
          <w:rtl/>
          <w:lang w:bidi="ar-EG"/>
        </w:rPr>
        <w:t xml:space="preserve">) لمؤتمر المندوبين المفوضين، بشأن </w:t>
      </w:r>
      <w:r w:rsidRPr="000119C0">
        <w:rPr>
          <w:rtl/>
          <w:lang w:bidi="ar-EG"/>
        </w:rPr>
        <w:t>المطابقة وقابلية التشغيل البيني</w:t>
      </w:r>
      <w:r w:rsidRPr="000119C0">
        <w:rPr>
          <w:rFonts w:hint="cs"/>
          <w:rtl/>
          <w:lang w:bidi="ar-EG"/>
        </w:rPr>
        <w:t>،</w:t>
      </w:r>
    </w:p>
    <w:p w:rsidR="00D83EC5" w:rsidRDefault="00F87B4E" w:rsidP="00D83EC5">
      <w:pPr>
        <w:pStyle w:val="Call"/>
        <w:rPr>
          <w:rtl/>
          <w:lang w:bidi="ar-EG"/>
        </w:rPr>
      </w:pPr>
      <w:r>
        <w:rPr>
          <w:rFonts w:hint="cs"/>
          <w:rtl/>
          <w:lang w:bidi="ar-EG"/>
        </w:rPr>
        <w:t>و</w:t>
      </w:r>
      <w:r w:rsidR="00D83EC5">
        <w:rPr>
          <w:rFonts w:hint="cs"/>
          <w:rtl/>
          <w:lang w:bidi="ar-EG"/>
        </w:rPr>
        <w:t>إذ تدرك</w:t>
      </w:r>
    </w:p>
    <w:p w:rsidR="00D83EC5" w:rsidRDefault="00D83EC5" w:rsidP="008A628F">
      <w:pPr>
        <w:rPr>
          <w:rtl/>
          <w:lang w:bidi="ar-EG"/>
        </w:rPr>
      </w:pPr>
      <w:r w:rsidRPr="00C970E2">
        <w:rPr>
          <w:rFonts w:hint="cs"/>
          <w:i/>
          <w:iCs/>
          <w:rtl/>
        </w:rPr>
        <w:t>أ )</w:t>
      </w:r>
      <w:r w:rsidRPr="00C970E2">
        <w:rPr>
          <w:rFonts w:hint="cs"/>
          <w:i/>
          <w:iCs/>
          <w:rtl/>
        </w:rPr>
        <w:tab/>
      </w:r>
      <w:r w:rsidR="001C5663">
        <w:rPr>
          <w:rFonts w:hint="cs"/>
          <w:rtl/>
          <w:lang w:bidi="ar-EG"/>
        </w:rPr>
        <w:t>أن مصطلح الأجهزة المتنقلة يشير إلى مجموعة من معدات المستعملين التي لا تقتصر على الهواتف المتنقلة ولكنها تشمل أيضاً الحواسيب المحمولة والحواسيب المحمولة المصغرة والأجهزة اللوحية والهواتف الذكية وغيرها</w:t>
      </w:r>
      <w:r>
        <w:rPr>
          <w:rFonts w:hint="cs"/>
          <w:rtl/>
          <w:lang w:bidi="ar-EG"/>
        </w:rPr>
        <w:t>؛</w:t>
      </w:r>
    </w:p>
    <w:p w:rsidR="00D83EC5" w:rsidRDefault="00D83EC5" w:rsidP="008A628F">
      <w:pPr>
        <w:rPr>
          <w:rtl/>
          <w:lang w:bidi="ar-EG"/>
        </w:rPr>
      </w:pPr>
      <w:r w:rsidRPr="00C970E2">
        <w:rPr>
          <w:rFonts w:hint="cs"/>
          <w:i/>
          <w:iCs/>
          <w:rtl/>
          <w:lang w:bidi="ar-EG"/>
        </w:rPr>
        <w:t>ب)</w:t>
      </w:r>
      <w:r>
        <w:rPr>
          <w:rFonts w:hint="cs"/>
          <w:rtl/>
          <w:lang w:bidi="ar-EG"/>
        </w:rPr>
        <w:tab/>
      </w:r>
      <w:r w:rsidR="001C5663">
        <w:rPr>
          <w:rFonts w:hint="cs"/>
          <w:rtl/>
          <w:lang w:bidi="ar-EG"/>
        </w:rPr>
        <w:t xml:space="preserve">أن </w:t>
      </w:r>
      <w:r w:rsidR="008A628F">
        <w:rPr>
          <w:rFonts w:hint="cs"/>
          <w:rtl/>
          <w:lang w:bidi="ar-EG"/>
        </w:rPr>
        <w:t>س</w:t>
      </w:r>
      <w:r w:rsidR="001C5663">
        <w:rPr>
          <w:rFonts w:hint="cs"/>
          <w:rtl/>
          <w:lang w:bidi="ar-EG"/>
        </w:rPr>
        <w:t xml:space="preserve">رقة أجهزة متنقلة مملوكة للمستعمل يمكن أن تؤدي إلى </w:t>
      </w:r>
      <w:r w:rsidR="001C5663">
        <w:rPr>
          <w:rFonts w:hint="cs"/>
          <w:rtl/>
        </w:rPr>
        <w:t>استعمال إجرامي لخدمات الاتصالات/تكنولوجيا المعلومات والاتصالات وتطبيقاتها، مما ينتج عنه خسائر اقتصادية للمالك والمستعمل الشرعيين</w:t>
      </w:r>
      <w:r>
        <w:rPr>
          <w:rFonts w:hint="cs"/>
          <w:rtl/>
          <w:lang w:bidi="ar-EG"/>
        </w:rPr>
        <w:t>؛</w:t>
      </w:r>
    </w:p>
    <w:p w:rsidR="00D83EC5" w:rsidRDefault="00D83EC5" w:rsidP="00F87B4E">
      <w:pPr>
        <w:rPr>
          <w:rtl/>
          <w:lang w:bidi="ar-EG"/>
        </w:rPr>
      </w:pPr>
      <w:r w:rsidRPr="0011478C">
        <w:rPr>
          <w:rFonts w:hint="cs"/>
          <w:i/>
          <w:iCs/>
          <w:rtl/>
          <w:lang w:bidi="ar-EG"/>
        </w:rPr>
        <w:t>ج)</w:t>
      </w:r>
      <w:r w:rsidRPr="0011478C">
        <w:rPr>
          <w:rFonts w:hint="cs"/>
          <w:rtl/>
          <w:lang w:bidi="ar-EG"/>
        </w:rPr>
        <w:tab/>
      </w:r>
      <w:r w:rsidRPr="0011478C">
        <w:rPr>
          <w:rFonts w:hint="cs"/>
          <w:rtl/>
          <w:lang w:bidi="ar-SY"/>
        </w:rPr>
        <w:t>أن مبادرات الصناعة قد أُطلقت لتنسيق الأنشطة بين المشغلين والمصنعين والمستهلكين</w:t>
      </w:r>
      <w:r w:rsidRPr="0011478C">
        <w:rPr>
          <w:rFonts w:hint="cs"/>
          <w:rtl/>
          <w:lang w:bidi="ar-EG"/>
        </w:rPr>
        <w:t>؛</w:t>
      </w:r>
    </w:p>
    <w:p w:rsidR="00D83EC5" w:rsidRPr="00C970E2" w:rsidRDefault="00D83EC5" w:rsidP="00CA0B3C">
      <w:pPr>
        <w:rPr>
          <w:spacing w:val="-4"/>
          <w:rtl/>
          <w:lang w:bidi="ar-EG"/>
        </w:rPr>
      </w:pPr>
      <w:r w:rsidRPr="00C970E2">
        <w:rPr>
          <w:rFonts w:hint="cs"/>
          <w:i/>
          <w:iCs/>
          <w:spacing w:val="-4"/>
          <w:rtl/>
          <w:lang w:bidi="ar-EG"/>
        </w:rPr>
        <w:t>د )</w:t>
      </w:r>
      <w:r w:rsidRPr="00C970E2">
        <w:rPr>
          <w:rFonts w:hint="cs"/>
          <w:i/>
          <w:iCs/>
          <w:spacing w:val="-4"/>
          <w:rtl/>
          <w:lang w:bidi="ar-EG"/>
        </w:rPr>
        <w:tab/>
      </w:r>
      <w:r w:rsidR="001C5663">
        <w:rPr>
          <w:rFonts w:hint="cs"/>
          <w:spacing w:val="-4"/>
          <w:rtl/>
          <w:lang w:bidi="ar-EG"/>
        </w:rPr>
        <w:t>أن تدابير تحديد موقع وتعرف هوية الهواتف المتنقلة (للاتصالات المتنقلة الخلوية</w:t>
      </w:r>
      <w:r w:rsidR="00CA0B3C">
        <w:rPr>
          <w:rFonts w:hint="cs"/>
          <w:spacing w:val="-4"/>
          <w:rtl/>
          <w:lang w:bidi="ar-EG"/>
        </w:rPr>
        <w:t xml:space="preserve"> والمتنقلة جزئياً</w:t>
      </w:r>
      <w:bookmarkStart w:id="1" w:name="_GoBack"/>
      <w:bookmarkEnd w:id="1"/>
      <w:r w:rsidR="001C5663">
        <w:rPr>
          <w:rFonts w:hint="cs"/>
          <w:spacing w:val="-4"/>
          <w:rtl/>
          <w:lang w:bidi="ar-EG"/>
        </w:rPr>
        <w:t xml:space="preserve">) التي اعتمدها عدد من البلدان تقوم على استعمال معرفات هوية </w:t>
      </w:r>
      <w:r w:rsidR="003E177E">
        <w:rPr>
          <w:rFonts w:hint="cs"/>
          <w:spacing w:val="-4"/>
          <w:rtl/>
          <w:lang w:bidi="ar-EG"/>
        </w:rPr>
        <w:t>فريدة للأجهزة المتنقلة للاتصالات/تكنولوجيا المعلومات والاتصالات، الهوية الدولية للمعدات المتنقلة </w:t>
      </w:r>
      <w:r w:rsidR="003E177E">
        <w:rPr>
          <w:spacing w:val="-4"/>
          <w:lang w:bidi="ar-EG"/>
        </w:rPr>
        <w:t>(IMEI)</w:t>
      </w:r>
      <w:r w:rsidR="003E177E">
        <w:rPr>
          <w:rFonts w:hint="cs"/>
          <w:spacing w:val="-4"/>
          <w:rtl/>
          <w:lang w:bidi="ar-EG"/>
        </w:rPr>
        <w:t>، على سبيل المثال</w:t>
      </w:r>
      <w:r w:rsidRPr="00C970E2">
        <w:rPr>
          <w:rFonts w:hint="cs"/>
          <w:spacing w:val="-4"/>
          <w:rtl/>
          <w:lang w:bidi="ar-EG"/>
        </w:rPr>
        <w:t>؛</w:t>
      </w:r>
    </w:p>
    <w:p w:rsidR="00D83EC5" w:rsidRDefault="00D83EC5" w:rsidP="00F87B4E">
      <w:pPr>
        <w:rPr>
          <w:rtl/>
          <w:lang w:bidi="ar-AE"/>
        </w:rPr>
      </w:pPr>
      <w:r w:rsidRPr="0011478C">
        <w:rPr>
          <w:rFonts w:hint="cs"/>
          <w:i/>
          <w:iCs/>
          <w:rtl/>
          <w:lang w:bidi="ar-EG"/>
        </w:rPr>
        <w:t>ه )</w:t>
      </w:r>
      <w:r w:rsidRPr="0011478C">
        <w:rPr>
          <w:rFonts w:hint="cs"/>
          <w:i/>
          <w:iCs/>
          <w:rtl/>
          <w:lang w:bidi="ar-EG"/>
        </w:rPr>
        <w:tab/>
      </w:r>
      <w:r w:rsidR="00F87B4E" w:rsidRPr="0011478C">
        <w:rPr>
          <w:rFonts w:hint="cs"/>
          <w:rtl/>
          <w:lang w:bidi="ar-SY"/>
        </w:rPr>
        <w:t>أن التلاعب بمعرفات الهوية الفريدة</w:t>
      </w:r>
      <w:r w:rsidR="008A628F">
        <w:rPr>
          <w:rFonts w:hint="cs"/>
          <w:rtl/>
          <w:lang w:bidi="ar-SY"/>
        </w:rPr>
        <w:t xml:space="preserve"> للأجهزة</w:t>
      </w:r>
      <w:r w:rsidR="00F87B4E" w:rsidRPr="0011478C">
        <w:rPr>
          <w:rFonts w:hint="cs"/>
          <w:rtl/>
          <w:lang w:bidi="ar-SY"/>
        </w:rPr>
        <w:t xml:space="preserve"> يقلل فعالية الحلول التي تتبناها البلدان؛</w:t>
      </w:r>
    </w:p>
    <w:p w:rsidR="00D83EC5" w:rsidRDefault="00D83EC5" w:rsidP="003E177E">
      <w:pPr>
        <w:rPr>
          <w:rtl/>
          <w:lang w:bidi="ar-EG"/>
        </w:rPr>
      </w:pPr>
      <w:r w:rsidRPr="00D83EC5">
        <w:rPr>
          <w:rFonts w:hint="cs"/>
          <w:i/>
          <w:iCs/>
          <w:rtl/>
          <w:lang w:bidi="ar-AE"/>
        </w:rPr>
        <w:t>و )</w:t>
      </w:r>
      <w:r>
        <w:rPr>
          <w:rFonts w:hint="cs"/>
          <w:rtl/>
          <w:lang w:bidi="ar-AE"/>
        </w:rPr>
        <w:tab/>
      </w:r>
      <w:r w:rsidR="003E177E">
        <w:rPr>
          <w:rFonts w:hint="cs"/>
          <w:rtl/>
          <w:lang w:bidi="ar-AE"/>
        </w:rPr>
        <w:t>أن التوصية </w:t>
      </w:r>
      <w:r w:rsidR="003E177E">
        <w:rPr>
          <w:lang w:bidi="ar-AE"/>
        </w:rPr>
        <w:t>ITU</w:t>
      </w:r>
      <w:r w:rsidR="003E177E">
        <w:rPr>
          <w:lang w:bidi="ar-AE"/>
        </w:rPr>
        <w:noBreakHyphen/>
        <w:t>T X.1255</w:t>
      </w:r>
      <w:r w:rsidR="003E177E">
        <w:rPr>
          <w:rFonts w:hint="cs"/>
          <w:rtl/>
          <w:lang w:bidi="ar-EG"/>
        </w:rPr>
        <w:t xml:space="preserve"> التي تقوم على معمارية الأشياء الرقمية، توفر إطاراً لاكتشاف معلومات إدارة الهوية، وهو ما يمكن أن يعمل بدوره كآلية من أجل تحديد الموقع الجغرافي لشيء معين</w:t>
      </w:r>
      <w:r>
        <w:rPr>
          <w:rFonts w:hint="cs"/>
          <w:rtl/>
          <w:lang w:bidi="ar-EG"/>
        </w:rPr>
        <w:t>؛</w:t>
      </w:r>
    </w:p>
    <w:p w:rsidR="00D83EC5" w:rsidRDefault="00D83EC5" w:rsidP="003E177E">
      <w:pPr>
        <w:rPr>
          <w:rtl/>
          <w:lang w:bidi="ar-EG"/>
        </w:rPr>
      </w:pPr>
      <w:r w:rsidRPr="00D83EC5">
        <w:rPr>
          <w:rFonts w:hint="cs"/>
          <w:i/>
          <w:iCs/>
          <w:rtl/>
          <w:lang w:bidi="ar-EG"/>
        </w:rPr>
        <w:lastRenderedPageBreak/>
        <w:t>ز )</w:t>
      </w:r>
      <w:r>
        <w:rPr>
          <w:rFonts w:hint="cs"/>
          <w:rtl/>
          <w:lang w:bidi="ar-EG"/>
        </w:rPr>
        <w:tab/>
      </w:r>
      <w:r w:rsidR="003E177E">
        <w:rPr>
          <w:rFonts w:hint="cs"/>
          <w:rtl/>
          <w:lang w:bidi="ar-EG"/>
        </w:rPr>
        <w:t>أن الدراسات بشأن مكافحة التزييف، بما في ذلك أجهزة الاتصالات/تكنولوجيا المعلومات والاتصالات، والأنظمة المعتمدة على أساس هذه الدراسات، يمكن أن تسهل كشف الأجهزة ويجمدها ويمنع مواصلة استعمالها</w:t>
      </w:r>
      <w:r>
        <w:rPr>
          <w:rFonts w:hint="cs"/>
          <w:rtl/>
          <w:lang w:bidi="ar-EG"/>
        </w:rPr>
        <w:t>،</w:t>
      </w:r>
    </w:p>
    <w:p w:rsidR="00D83EC5" w:rsidRDefault="00F87B4E" w:rsidP="00F87B4E">
      <w:pPr>
        <w:pStyle w:val="Call"/>
        <w:rPr>
          <w:lang w:bidi="ar-EG"/>
        </w:rPr>
      </w:pPr>
      <w:r>
        <w:rPr>
          <w:rFonts w:hint="cs"/>
          <w:rtl/>
          <w:lang w:bidi="ar-EG"/>
        </w:rPr>
        <w:t>وإذ تضع في اعتبارها</w:t>
      </w:r>
    </w:p>
    <w:p w:rsidR="00F87B4E" w:rsidRPr="00293DB9" w:rsidRDefault="00F87B4E" w:rsidP="003E177E">
      <w:pPr>
        <w:rPr>
          <w:lang w:bidi="ar-SY"/>
        </w:rPr>
      </w:pPr>
      <w:r w:rsidRPr="00293DB9">
        <w:rPr>
          <w:rFonts w:hint="cs"/>
          <w:i/>
          <w:iCs/>
          <w:rtl/>
        </w:rPr>
        <w:t>أ )</w:t>
      </w:r>
      <w:r w:rsidRPr="00293DB9">
        <w:rPr>
          <w:rFonts w:hint="cs"/>
          <w:rtl/>
        </w:rPr>
        <w:tab/>
        <w:t>أن التأثير الإيجابي للاتصالات المتنقلة والتقدم التكنولوجي والتغطية الكبيرة والتطور الذي أحدثته جميع الخدمات ذات الصلة، قد مكنت من انتشار الأجهزة المتنقلة، نظراً لما توفره من فوائد متعددة؛</w:t>
      </w:r>
    </w:p>
    <w:p w:rsidR="00F87B4E" w:rsidRPr="00293DB9" w:rsidRDefault="00F87B4E" w:rsidP="00F87B4E">
      <w:pPr>
        <w:rPr>
          <w:lang w:bidi="ar-SY"/>
        </w:rPr>
      </w:pPr>
      <w:r w:rsidRPr="00293DB9">
        <w:rPr>
          <w:rFonts w:hint="cs"/>
          <w:i/>
          <w:iCs/>
          <w:rtl/>
        </w:rPr>
        <w:t>ب)</w:t>
      </w:r>
      <w:r w:rsidRPr="00293DB9">
        <w:rPr>
          <w:rFonts w:hint="cs"/>
          <w:rtl/>
        </w:rPr>
        <w:tab/>
        <w:t>أن الاستعمال واسع الانتشار للاتصالات المتنقلة على مستوى العالم، رافقه أيضاً تفاقم مشكلة سرقة الأجهزة</w:t>
      </w:r>
      <w:r w:rsidRPr="00293DB9">
        <w:rPr>
          <w:rFonts w:hint="eastAsia"/>
          <w:rtl/>
        </w:rPr>
        <w:t> </w:t>
      </w:r>
      <w:r w:rsidRPr="00293DB9">
        <w:rPr>
          <w:rFonts w:hint="cs"/>
          <w:rtl/>
        </w:rPr>
        <w:t>المتنقلة؛</w:t>
      </w:r>
    </w:p>
    <w:p w:rsidR="00F87B4E" w:rsidRPr="00293DB9" w:rsidRDefault="00F87B4E" w:rsidP="00F87B4E">
      <w:pPr>
        <w:rPr>
          <w:lang w:bidi="ar-SY"/>
        </w:rPr>
      </w:pPr>
      <w:r w:rsidRPr="00293DB9">
        <w:rPr>
          <w:rFonts w:hint="cs"/>
          <w:i/>
          <w:iCs/>
          <w:rtl/>
        </w:rPr>
        <w:t>ج)</w:t>
      </w:r>
      <w:r w:rsidRPr="00293DB9">
        <w:rPr>
          <w:rtl/>
        </w:rPr>
        <w:tab/>
      </w:r>
      <w:r w:rsidRPr="00293DB9">
        <w:rPr>
          <w:rFonts w:hint="cs"/>
          <w:rtl/>
        </w:rPr>
        <w:t>أن ممارسة سرقة الأجهزة المتنقلة يمكن أن يكون لها أحياناً أثر سلبي على صحة وسلامة مواطنينا وعلى شعورهم</w:t>
      </w:r>
      <w:r w:rsidRPr="00293DB9">
        <w:rPr>
          <w:rFonts w:hint="eastAsia"/>
          <w:rtl/>
        </w:rPr>
        <w:t> </w:t>
      </w:r>
      <w:r w:rsidRPr="00293DB9">
        <w:rPr>
          <w:rFonts w:hint="cs"/>
          <w:rtl/>
        </w:rPr>
        <w:t>بالأمن؛</w:t>
      </w:r>
    </w:p>
    <w:p w:rsidR="00F87B4E" w:rsidRPr="00293DB9" w:rsidRDefault="00F87B4E" w:rsidP="00F87B4E">
      <w:pPr>
        <w:rPr>
          <w:lang w:bidi="ar-SY"/>
        </w:rPr>
      </w:pPr>
      <w:r w:rsidRPr="00293DB9">
        <w:rPr>
          <w:rFonts w:hint="cs"/>
          <w:i/>
          <w:iCs/>
          <w:rtl/>
        </w:rPr>
        <w:t>د )</w:t>
      </w:r>
      <w:r w:rsidRPr="00293DB9">
        <w:rPr>
          <w:rFonts w:hint="cs"/>
          <w:rtl/>
        </w:rPr>
        <w:tab/>
        <w:t>أن المشاكل التي تحدث في إطار الجرائم المتعلقة بسرقة الأجهزة المتنقلة أصبحت مشكلة عالمية حيث غالباً ما</w:t>
      </w:r>
      <w:r w:rsidRPr="00293DB9">
        <w:rPr>
          <w:rFonts w:hint="eastAsia"/>
          <w:rtl/>
        </w:rPr>
        <w:t> </w:t>
      </w:r>
      <w:r w:rsidRPr="00293DB9">
        <w:rPr>
          <w:rFonts w:hint="cs"/>
          <w:rtl/>
        </w:rPr>
        <w:t>يعاد بيع هذه الأجهزة بسهولة في الأسواق الدولية؛</w:t>
      </w:r>
    </w:p>
    <w:p w:rsidR="00F87B4E" w:rsidRPr="00293DB9" w:rsidRDefault="00F87B4E" w:rsidP="008A628F">
      <w:pPr>
        <w:rPr>
          <w:lang w:bidi="ar-SY"/>
        </w:rPr>
      </w:pPr>
      <w:r w:rsidRPr="00293DB9">
        <w:rPr>
          <w:rFonts w:hint="cs"/>
          <w:i/>
          <w:iCs/>
          <w:rtl/>
        </w:rPr>
        <w:t>ه‍ )</w:t>
      </w:r>
      <w:r w:rsidRPr="00293DB9">
        <w:rPr>
          <w:rFonts w:hint="cs"/>
          <w:rtl/>
        </w:rPr>
        <w:tab/>
        <w:t>أن الاتجار</w:t>
      </w:r>
      <w:r w:rsidR="003E177E" w:rsidRPr="00293DB9">
        <w:rPr>
          <w:rFonts w:hint="cs"/>
          <w:rtl/>
        </w:rPr>
        <w:t xml:space="preserve"> غير المشروع</w:t>
      </w:r>
      <w:r w:rsidRPr="00293DB9">
        <w:rPr>
          <w:rFonts w:hint="cs"/>
          <w:rtl/>
        </w:rPr>
        <w:t xml:space="preserve"> في الأجهزة المتنقلة المسروقة يشكل خطراً على المستهلكين </w:t>
      </w:r>
      <w:r w:rsidR="003E177E" w:rsidRPr="00293DB9">
        <w:rPr>
          <w:rFonts w:hint="cs"/>
          <w:rtl/>
        </w:rPr>
        <w:t>يتسبب في</w:t>
      </w:r>
      <w:r w:rsidR="008A628F" w:rsidRPr="00293DB9">
        <w:rPr>
          <w:rFonts w:hint="eastAsia"/>
          <w:rtl/>
        </w:rPr>
        <w:t> </w:t>
      </w:r>
      <w:r w:rsidR="00293DB9" w:rsidRPr="00293DB9">
        <w:rPr>
          <w:rFonts w:hint="cs"/>
          <w:rtl/>
        </w:rPr>
        <w:t>فقدان دوائر الصناعة</w:t>
      </w:r>
      <w:r w:rsidR="00293DB9" w:rsidRPr="00293DB9">
        <w:rPr>
          <w:rFonts w:hint="eastAsia"/>
          <w:rtl/>
        </w:rPr>
        <w:t> </w:t>
      </w:r>
      <w:r w:rsidRPr="00293DB9">
        <w:rPr>
          <w:rFonts w:hint="cs"/>
          <w:rtl/>
        </w:rPr>
        <w:t>للإيرادات؛</w:t>
      </w:r>
    </w:p>
    <w:p w:rsidR="00F87B4E" w:rsidRPr="00293DB9" w:rsidRDefault="00F87B4E" w:rsidP="003E177E">
      <w:pPr>
        <w:rPr>
          <w:rtl/>
        </w:rPr>
      </w:pPr>
      <w:r w:rsidRPr="00293DB9">
        <w:rPr>
          <w:rFonts w:hint="cs"/>
          <w:i/>
          <w:iCs/>
          <w:rtl/>
        </w:rPr>
        <w:t>و )</w:t>
      </w:r>
      <w:r w:rsidRPr="00293DB9">
        <w:rPr>
          <w:rFonts w:hint="cs"/>
          <w:rtl/>
        </w:rPr>
        <w:tab/>
        <w:t xml:space="preserve">أن بعض الحكومات ودوائر الصناعة أدخلت لوائح وإجراءات وسياسات لإنفاذ القانون </w:t>
      </w:r>
      <w:r w:rsidR="003E177E" w:rsidRPr="00293DB9">
        <w:rPr>
          <w:rFonts w:hint="cs"/>
          <w:rtl/>
        </w:rPr>
        <w:t>وآليات</w:t>
      </w:r>
      <w:r w:rsidRPr="00293DB9">
        <w:rPr>
          <w:rFonts w:hint="cs"/>
          <w:rtl/>
        </w:rPr>
        <w:t xml:space="preserve"> تكنولوجية لمنع سرقة الأجهزة المتنقلة ومكافحتها؛</w:t>
      </w:r>
    </w:p>
    <w:p w:rsidR="00F87B4E" w:rsidRPr="00293DB9" w:rsidRDefault="00F87B4E" w:rsidP="00F87B4E">
      <w:pPr>
        <w:rPr>
          <w:rtl/>
          <w:lang w:bidi="ar-SY"/>
        </w:rPr>
      </w:pPr>
      <w:r w:rsidRPr="00293DB9">
        <w:rPr>
          <w:rFonts w:hint="cs"/>
          <w:i/>
          <w:iCs/>
          <w:rtl/>
        </w:rPr>
        <w:t>ز )</w:t>
      </w:r>
      <w:r w:rsidRPr="00293DB9">
        <w:rPr>
          <w:rFonts w:hint="cs"/>
          <w:rtl/>
        </w:rPr>
        <w:tab/>
        <w:t>أن بمقدور الات‍حاد أن يساعد جميع الأعضاء على الاستفادة من توصيات الات‍حاد وأن يؤدي دوراً إيجابياً من خلال توفير منصة لجميع الأطراف المعنية من أجل تشجيع المناقشات وتبادل أفضل الممارسات والتعاون بين دوائر الصناعة لتحديد المبادئ التوجيهية التقنية ونشر المعلومات المتعلقة بمكافحة سرقة الأجهزة المتنقلة؛</w:t>
      </w:r>
    </w:p>
    <w:p w:rsidR="00F87B4E" w:rsidRPr="00293DB9" w:rsidRDefault="00F87B4E" w:rsidP="00F87B4E">
      <w:r w:rsidRPr="00293DB9">
        <w:rPr>
          <w:rFonts w:hint="cs"/>
          <w:i/>
          <w:iCs/>
          <w:rtl/>
          <w:lang w:bidi="ar-SY"/>
        </w:rPr>
        <w:t>ح)</w:t>
      </w:r>
      <w:r w:rsidRPr="00293DB9">
        <w:rPr>
          <w:rFonts w:hint="cs"/>
          <w:rtl/>
          <w:lang w:bidi="ar-SY"/>
        </w:rPr>
        <w:tab/>
        <w:t xml:space="preserve">أن بعض مصنعي ومشغلي الأجهزة المتنقلة يقدمون حلولاً للمستهلكين مثل </w:t>
      </w:r>
      <w:r w:rsidRPr="00293DB9">
        <w:rPr>
          <w:color w:val="000000"/>
          <w:rtl/>
        </w:rPr>
        <w:t>التطبيقات المجانية لمكافحة السرقة</w:t>
      </w:r>
      <w:r w:rsidRPr="00293DB9">
        <w:rPr>
          <w:rFonts w:hint="cs"/>
          <w:color w:val="000000"/>
          <w:rtl/>
        </w:rPr>
        <w:t>، بهدف تخفيض معدل سرقة الأجهزة المتنقلة،</w:t>
      </w:r>
    </w:p>
    <w:p w:rsidR="00F87B4E" w:rsidRPr="00391DAE" w:rsidRDefault="00F87B4E" w:rsidP="00F87B4E">
      <w:pPr>
        <w:pStyle w:val="Call"/>
        <w:rPr>
          <w:lang w:bidi="ar-SY"/>
        </w:rPr>
      </w:pPr>
      <w:r w:rsidRPr="00391DAE">
        <w:rPr>
          <w:rFonts w:hint="cs"/>
          <w:rtl/>
        </w:rPr>
        <w:t>وإذ يساوره</w:t>
      </w:r>
      <w:r>
        <w:rPr>
          <w:rFonts w:hint="cs"/>
          <w:rtl/>
          <w:lang w:bidi="ar-EG"/>
        </w:rPr>
        <w:t>ا</w:t>
      </w:r>
      <w:r w:rsidRPr="00391DAE">
        <w:rPr>
          <w:rFonts w:hint="cs"/>
          <w:rtl/>
        </w:rPr>
        <w:t xml:space="preserve"> القلق</w:t>
      </w:r>
    </w:p>
    <w:p w:rsidR="00F87B4E" w:rsidRPr="00391DAE" w:rsidRDefault="00F87B4E" w:rsidP="00F87B4E">
      <w:pPr>
        <w:rPr>
          <w:lang w:bidi="ar-SY"/>
        </w:rPr>
      </w:pPr>
      <w:r w:rsidRPr="003E177E">
        <w:rPr>
          <w:rFonts w:hint="cs"/>
          <w:rtl/>
        </w:rPr>
        <w:t>من أن معدل سرقة الأجهزة المتنقلة في العديد من المناطق في العالم ما يزال مرتفعاً، رغم الجهود المبذولة خلال الأعوام</w:t>
      </w:r>
      <w:r w:rsidRPr="003E177E">
        <w:rPr>
          <w:rFonts w:hint="eastAsia"/>
          <w:rtl/>
        </w:rPr>
        <w:t> </w:t>
      </w:r>
      <w:r w:rsidRPr="003E177E">
        <w:rPr>
          <w:rFonts w:hint="cs"/>
          <w:rtl/>
        </w:rPr>
        <w:t>الأخيرة،</w:t>
      </w:r>
    </w:p>
    <w:p w:rsidR="00F87B4E" w:rsidRDefault="00F87B4E" w:rsidP="00F87B4E">
      <w:pPr>
        <w:pStyle w:val="Call"/>
        <w:rPr>
          <w:rtl/>
          <w:lang w:bidi="ar-EG"/>
        </w:rPr>
      </w:pPr>
      <w:r>
        <w:rPr>
          <w:rFonts w:hint="cs"/>
          <w:rtl/>
          <w:lang w:bidi="ar-EG"/>
        </w:rPr>
        <w:t>تقرر</w:t>
      </w:r>
    </w:p>
    <w:p w:rsidR="00F87B4E" w:rsidRDefault="00F87B4E" w:rsidP="003E177E">
      <w:pPr>
        <w:rPr>
          <w:rtl/>
          <w:lang w:bidi="ar-EG"/>
        </w:rPr>
      </w:pPr>
      <w:r>
        <w:rPr>
          <w:lang w:bidi="ar-EG"/>
        </w:rPr>
        <w:t>1</w:t>
      </w:r>
      <w:r>
        <w:rPr>
          <w:lang w:bidi="ar-EG"/>
        </w:rPr>
        <w:tab/>
      </w:r>
      <w:r w:rsidR="003E177E">
        <w:rPr>
          <w:rFonts w:hint="cs"/>
          <w:rtl/>
          <w:lang w:bidi="ar-EG"/>
        </w:rPr>
        <w:t>أن تقوم لجان دراسات قطاع تقييس الاتصالات، في إطار اختصاصها وبأسرع وقت ممكن، بدراسة الحلول وتوصيات قطاع تقييس الاتصالات القابلة للتطبيق والتي تساعد على منع سرقة الأجهزة والتقليل من آثارها السلبية</w:t>
      </w:r>
      <w:r>
        <w:rPr>
          <w:rFonts w:hint="cs"/>
          <w:rtl/>
          <w:lang w:bidi="ar-EG"/>
        </w:rPr>
        <w:t>؛</w:t>
      </w:r>
    </w:p>
    <w:p w:rsidR="00F87B4E" w:rsidRDefault="00F87B4E" w:rsidP="008A628F">
      <w:pPr>
        <w:rPr>
          <w:rtl/>
          <w:lang w:bidi="ar-EG"/>
        </w:rPr>
      </w:pPr>
      <w:r>
        <w:rPr>
          <w:lang w:bidi="ar-EG"/>
        </w:rPr>
        <w:t>2</w:t>
      </w:r>
      <w:r>
        <w:rPr>
          <w:rtl/>
          <w:lang w:bidi="ar-EG"/>
        </w:rPr>
        <w:tab/>
      </w:r>
      <w:r w:rsidR="003E177E">
        <w:rPr>
          <w:rFonts w:hint="cs"/>
          <w:rtl/>
          <w:lang w:bidi="ar-EG"/>
        </w:rPr>
        <w:t>أن تقوم لجنة الدراسات </w:t>
      </w:r>
      <w:r w:rsidR="003E177E">
        <w:rPr>
          <w:lang w:bidi="ar-EG"/>
        </w:rPr>
        <w:t>11</w:t>
      </w:r>
      <w:r w:rsidR="003E177E">
        <w:rPr>
          <w:rFonts w:hint="cs"/>
          <w:rtl/>
          <w:lang w:bidi="ar-EG"/>
        </w:rPr>
        <w:t xml:space="preserve"> لقطاع تقييس الاتصالات، حسب الاقتضاء، باستغلال النهج المستخدمة في</w:t>
      </w:r>
      <w:r w:rsidR="008A628F">
        <w:rPr>
          <w:rFonts w:hint="eastAsia"/>
          <w:rtl/>
          <w:lang w:bidi="ar-EG"/>
        </w:rPr>
        <w:t> </w:t>
      </w:r>
      <w:r w:rsidR="003E177E">
        <w:rPr>
          <w:rFonts w:hint="cs"/>
          <w:rtl/>
          <w:lang w:bidi="ar-EG"/>
        </w:rPr>
        <w:t>مكافحة الاتجار في</w:t>
      </w:r>
      <w:r w:rsidR="008A628F">
        <w:rPr>
          <w:rFonts w:hint="eastAsia"/>
          <w:rtl/>
          <w:lang w:bidi="ar-EG"/>
        </w:rPr>
        <w:t> </w:t>
      </w:r>
      <w:r w:rsidR="003E177E">
        <w:rPr>
          <w:rFonts w:hint="cs"/>
          <w:rtl/>
          <w:lang w:bidi="ar-EG"/>
        </w:rPr>
        <w:t>المنتجات المزيفة في</w:t>
      </w:r>
      <w:r w:rsidR="008A628F">
        <w:rPr>
          <w:rFonts w:hint="eastAsia"/>
          <w:rtl/>
          <w:lang w:bidi="ar-EG"/>
        </w:rPr>
        <w:t> </w:t>
      </w:r>
      <w:r w:rsidR="003E177E">
        <w:rPr>
          <w:rFonts w:hint="cs"/>
          <w:rtl/>
          <w:lang w:bidi="ar-EG"/>
        </w:rPr>
        <w:t>مكافحة سرقة الأجهزة المتنقلة</w:t>
      </w:r>
      <w:r>
        <w:rPr>
          <w:rFonts w:hint="cs"/>
          <w:rtl/>
          <w:lang w:bidi="ar-EG"/>
        </w:rPr>
        <w:t>؛</w:t>
      </w:r>
    </w:p>
    <w:p w:rsidR="00F87B4E" w:rsidRDefault="00F87B4E" w:rsidP="003E177E">
      <w:pPr>
        <w:rPr>
          <w:rtl/>
          <w:lang w:bidi="ar-EG"/>
        </w:rPr>
      </w:pPr>
      <w:r>
        <w:rPr>
          <w:lang w:bidi="ar-EG"/>
        </w:rPr>
        <w:t>3</w:t>
      </w:r>
      <w:r>
        <w:rPr>
          <w:rtl/>
          <w:lang w:bidi="ar-EG"/>
        </w:rPr>
        <w:tab/>
      </w:r>
      <w:r w:rsidR="003E177E">
        <w:rPr>
          <w:rFonts w:hint="cs"/>
          <w:rtl/>
          <w:lang w:bidi="ar-EG"/>
        </w:rPr>
        <w:t>أن تنسق لجنة الدراسات </w:t>
      </w:r>
      <w:r w:rsidR="003E177E">
        <w:rPr>
          <w:lang w:bidi="ar-EG"/>
        </w:rPr>
        <w:t>11</w:t>
      </w:r>
      <w:r w:rsidR="003E177E">
        <w:rPr>
          <w:rFonts w:hint="cs"/>
          <w:rtl/>
          <w:lang w:bidi="ar-EG"/>
        </w:rPr>
        <w:t xml:space="preserve"> لقطاع تقييس الاتصالات أنشطة القطاع المتعلقة بتنفيذ الفقرة </w:t>
      </w:r>
      <w:r w:rsidR="003E177E">
        <w:rPr>
          <w:lang w:bidi="ar-EG"/>
        </w:rPr>
        <w:t>1</w:t>
      </w:r>
      <w:r w:rsidR="003E177E">
        <w:rPr>
          <w:rFonts w:hint="cs"/>
          <w:rtl/>
          <w:lang w:bidi="ar-EG"/>
        </w:rPr>
        <w:t xml:space="preserve"> من </w:t>
      </w:r>
      <w:r w:rsidR="003E177E" w:rsidRPr="003E177E">
        <w:rPr>
          <w:rFonts w:hint="cs"/>
          <w:i/>
          <w:iCs/>
          <w:rtl/>
          <w:lang w:bidi="ar-EG"/>
        </w:rPr>
        <w:t>تقرر</w:t>
      </w:r>
      <w:r w:rsidR="003E177E">
        <w:rPr>
          <w:rFonts w:hint="cs"/>
          <w:rtl/>
          <w:lang w:bidi="ar-EG"/>
        </w:rPr>
        <w:t xml:space="preserve"> أعلاه، داخل جميع لجان الدراسات</w:t>
      </w:r>
      <w:r w:rsidR="0011478C">
        <w:rPr>
          <w:rFonts w:hint="cs"/>
          <w:rtl/>
          <w:lang w:bidi="ar-EG"/>
        </w:rPr>
        <w:t>،</w:t>
      </w:r>
    </w:p>
    <w:p w:rsidR="00F87B4E" w:rsidRPr="0011478C" w:rsidRDefault="00384A04" w:rsidP="0011478C">
      <w:pPr>
        <w:pStyle w:val="Call"/>
        <w:ind w:left="1134" w:firstLine="0"/>
        <w:rPr>
          <w:rFonts w:ascii="Times New Roman italic" w:eastAsia="SimSun" w:hAnsi="Times New Roman italic" w:hint="eastAsia"/>
          <w:spacing w:val="6"/>
          <w:rtl/>
        </w:rPr>
      </w:pPr>
      <w:r w:rsidRPr="0011478C">
        <w:rPr>
          <w:rFonts w:ascii="Times New Roman italic" w:eastAsia="SimSun" w:hAnsi="Times New Roman italic" w:hint="cs"/>
          <w:spacing w:val="6"/>
          <w:rtl/>
        </w:rPr>
        <w:lastRenderedPageBreak/>
        <w:t>ت</w:t>
      </w:r>
      <w:r w:rsidR="00F87B4E" w:rsidRPr="0011478C">
        <w:rPr>
          <w:rFonts w:ascii="Times New Roman italic" w:eastAsia="SimSun" w:hAnsi="Times New Roman italic"/>
          <w:spacing w:val="6"/>
          <w:rtl/>
        </w:rPr>
        <w:t xml:space="preserve">قرر أن </w:t>
      </w:r>
      <w:r w:rsidRPr="0011478C">
        <w:rPr>
          <w:rFonts w:ascii="Times New Roman italic" w:eastAsia="SimSun" w:hAnsi="Times New Roman italic" w:hint="cs"/>
          <w:spacing w:val="6"/>
          <w:rtl/>
        </w:rPr>
        <w:t>ت</w:t>
      </w:r>
      <w:r w:rsidR="00F87B4E" w:rsidRPr="0011478C">
        <w:rPr>
          <w:rFonts w:ascii="Times New Roman italic" w:eastAsia="SimSun" w:hAnsi="Times New Roman italic"/>
          <w:spacing w:val="6"/>
          <w:rtl/>
        </w:rPr>
        <w:t>كل</w:t>
      </w:r>
      <w:r w:rsidR="00B827AF">
        <w:rPr>
          <w:rFonts w:ascii="Times New Roman italic" w:eastAsia="SimSun" w:hAnsi="Times New Roman italic" w:hint="cs"/>
          <w:spacing w:val="6"/>
          <w:rtl/>
        </w:rPr>
        <w:t>ّ</w:t>
      </w:r>
      <w:r w:rsidR="00F87B4E" w:rsidRPr="0011478C">
        <w:rPr>
          <w:rFonts w:ascii="Times New Roman italic" w:eastAsia="SimSun" w:hAnsi="Times New Roman italic"/>
          <w:spacing w:val="6"/>
          <w:rtl/>
        </w:rPr>
        <w:t xml:space="preserve">ف مدير مكتب </w:t>
      </w:r>
      <w:r w:rsidR="00F87B4E" w:rsidRPr="0011478C">
        <w:rPr>
          <w:rFonts w:ascii="Times New Roman italic" w:eastAsia="SimSun" w:hAnsi="Times New Roman italic" w:hint="cs"/>
          <w:spacing w:val="6"/>
          <w:rtl/>
        </w:rPr>
        <w:t xml:space="preserve">تقييس </w:t>
      </w:r>
      <w:r w:rsidR="00F87B4E" w:rsidRPr="0011478C">
        <w:rPr>
          <w:rFonts w:ascii="Times New Roman italic" w:eastAsia="SimSun" w:hAnsi="Times New Roman italic"/>
          <w:spacing w:val="6"/>
          <w:rtl/>
        </w:rPr>
        <w:t>الاتصالات</w:t>
      </w:r>
      <w:r w:rsidR="00F87B4E" w:rsidRPr="0011478C">
        <w:rPr>
          <w:rFonts w:ascii="Times New Roman italic" w:eastAsia="SimSun" w:hAnsi="Times New Roman italic" w:hint="cs"/>
          <w:spacing w:val="6"/>
          <w:rtl/>
        </w:rPr>
        <w:t>،</w:t>
      </w:r>
      <w:r w:rsidR="00F87B4E" w:rsidRPr="0011478C">
        <w:rPr>
          <w:rFonts w:ascii="Times New Roman italic" w:eastAsia="SimSun" w:hAnsi="Times New Roman italic"/>
          <w:spacing w:val="6"/>
          <w:rtl/>
        </w:rPr>
        <w:t xml:space="preserve"> بالتعاون مع مدير مكتب الاتصالات الراديوية </w:t>
      </w:r>
      <w:r w:rsidR="00F87B4E" w:rsidRPr="0011478C">
        <w:rPr>
          <w:rFonts w:ascii="Times New Roman italic" w:eastAsia="SimSun" w:hAnsi="Times New Roman italic" w:hint="cs"/>
          <w:spacing w:val="6"/>
          <w:rtl/>
        </w:rPr>
        <w:t>و</w:t>
      </w:r>
      <w:r w:rsidR="00F87B4E" w:rsidRPr="0011478C">
        <w:rPr>
          <w:rFonts w:ascii="Times New Roman italic" w:eastAsia="SimSun" w:hAnsi="Times New Roman italic"/>
          <w:spacing w:val="6"/>
          <w:rtl/>
        </w:rPr>
        <w:t xml:space="preserve">مدير مكتب </w:t>
      </w:r>
      <w:r w:rsidR="00F87B4E" w:rsidRPr="0011478C">
        <w:rPr>
          <w:rFonts w:ascii="Times New Roman italic" w:eastAsia="SimSun" w:hAnsi="Times New Roman italic" w:hint="cs"/>
          <w:spacing w:val="6"/>
          <w:rtl/>
        </w:rPr>
        <w:t>تنمية</w:t>
      </w:r>
      <w:r w:rsidR="0011478C" w:rsidRPr="0011478C">
        <w:rPr>
          <w:rFonts w:ascii="Times New Roman italic" w:eastAsia="SimSun" w:hAnsi="Times New Roman italic" w:hint="cs"/>
          <w:spacing w:val="6"/>
          <w:rtl/>
        </w:rPr>
        <w:t xml:space="preserve"> </w:t>
      </w:r>
      <w:r w:rsidR="00F87B4E" w:rsidRPr="0011478C">
        <w:rPr>
          <w:rFonts w:ascii="Times New Roman italic" w:eastAsia="SimSun" w:hAnsi="Times New Roman italic"/>
          <w:spacing w:val="6"/>
          <w:rtl/>
        </w:rPr>
        <w:t>الاتصالات</w:t>
      </w:r>
    </w:p>
    <w:p w:rsidR="008401E9" w:rsidRPr="009911DE" w:rsidRDefault="008401E9" w:rsidP="008401E9">
      <w:r w:rsidRPr="009911DE">
        <w:rPr>
          <w:lang w:bidi="ar-SY"/>
        </w:rPr>
        <w:t>1</w:t>
      </w:r>
      <w:r w:rsidRPr="009911DE">
        <w:rPr>
          <w:rFonts w:hint="cs"/>
          <w:rtl/>
        </w:rPr>
        <w:tab/>
      </w:r>
      <w:r w:rsidR="003E177E" w:rsidRPr="009911DE">
        <w:rPr>
          <w:rFonts w:hint="cs"/>
          <w:rtl/>
        </w:rPr>
        <w:t>ب</w:t>
      </w:r>
      <w:r w:rsidRPr="009911DE">
        <w:rPr>
          <w:rFonts w:hint="cs"/>
          <w:rtl/>
        </w:rPr>
        <w:t xml:space="preserve">جمع المعلومات المتعلقة بأفضل الممارسات </w:t>
      </w:r>
      <w:r w:rsidR="003E177E" w:rsidRPr="009911DE">
        <w:rPr>
          <w:rFonts w:hint="cs"/>
          <w:rtl/>
        </w:rPr>
        <w:t xml:space="preserve">والنهج الواعدة </w:t>
      </w:r>
      <w:r w:rsidRPr="009911DE">
        <w:rPr>
          <w:rFonts w:hint="cs"/>
          <w:rtl/>
        </w:rPr>
        <w:t>التي تطورها دوائر الصناعة أو الحكومات في مجال مكافحة سرقة الأجهزة المتنقلة؛</w:t>
      </w:r>
    </w:p>
    <w:p w:rsidR="008401E9" w:rsidRPr="009911DE" w:rsidRDefault="008401E9" w:rsidP="00415D40">
      <w:pPr>
        <w:rPr>
          <w:highlight w:val="yellow"/>
          <w:lang w:bidi="ar-SY"/>
        </w:rPr>
      </w:pPr>
      <w:r w:rsidRPr="009911DE">
        <w:rPr>
          <w:lang w:bidi="ar-EG"/>
        </w:rPr>
        <w:t>2</w:t>
      </w:r>
      <w:r w:rsidRPr="009911DE">
        <w:rPr>
          <w:lang w:bidi="ar-EG"/>
        </w:rPr>
        <w:tab/>
      </w:r>
      <w:r w:rsidR="003E177E" w:rsidRPr="009911DE">
        <w:rPr>
          <w:rFonts w:hint="cs"/>
          <w:rtl/>
          <w:lang w:bidi="ar-EG"/>
        </w:rPr>
        <w:t>بتسهيل تقييس التكنولوجيات القائمة والواعدة التي تساعد على مكافحة السرقة وتقليل آثارها السلبية</w:t>
      </w:r>
      <w:r w:rsidR="00415D40" w:rsidRPr="009911DE">
        <w:rPr>
          <w:rFonts w:hint="cs"/>
          <w:rtl/>
          <w:lang w:bidi="ar-EG"/>
        </w:rPr>
        <w:t>؛</w:t>
      </w:r>
    </w:p>
    <w:p w:rsidR="008401E9" w:rsidRPr="009911DE" w:rsidRDefault="008401E9" w:rsidP="00415D40">
      <w:pPr>
        <w:rPr>
          <w:rtl/>
        </w:rPr>
      </w:pPr>
      <w:r w:rsidRPr="009911DE">
        <w:t>3</w:t>
      </w:r>
      <w:r w:rsidRPr="009911DE">
        <w:rPr>
          <w:rFonts w:hint="cs"/>
          <w:rtl/>
        </w:rPr>
        <w:tab/>
      </w:r>
      <w:r w:rsidR="00415D40" w:rsidRPr="009911DE">
        <w:rPr>
          <w:rFonts w:hint="cs"/>
          <w:rtl/>
        </w:rPr>
        <w:t>ب</w:t>
      </w:r>
      <w:r w:rsidRPr="009911DE">
        <w:rPr>
          <w:rFonts w:hint="cs"/>
          <w:rtl/>
        </w:rPr>
        <w:t xml:space="preserve">التشاور مع لجان الدراسات ذات الصلة </w:t>
      </w:r>
      <w:r w:rsidR="00415D40" w:rsidRPr="009911DE">
        <w:rPr>
          <w:rFonts w:hint="cs"/>
          <w:rtl/>
        </w:rPr>
        <w:t xml:space="preserve">بالقطاعات </w:t>
      </w:r>
      <w:r w:rsidRPr="009911DE">
        <w:rPr>
          <w:rFonts w:hint="cs"/>
          <w:rtl/>
        </w:rPr>
        <w:t>ومصن</w:t>
      </w:r>
      <w:r w:rsidR="00B827AF" w:rsidRPr="009911DE">
        <w:rPr>
          <w:rFonts w:hint="cs"/>
          <w:rtl/>
        </w:rPr>
        <w:t>ّ</w:t>
      </w:r>
      <w:r w:rsidRPr="009911DE">
        <w:rPr>
          <w:rFonts w:hint="cs"/>
          <w:rtl/>
        </w:rPr>
        <w:t>عي الأجهزة المتنقلة ومصن</w:t>
      </w:r>
      <w:r w:rsidR="00B827AF" w:rsidRPr="009911DE">
        <w:rPr>
          <w:rFonts w:hint="cs"/>
          <w:rtl/>
        </w:rPr>
        <w:t>ّ</w:t>
      </w:r>
      <w:r w:rsidRPr="009911DE">
        <w:rPr>
          <w:rFonts w:hint="cs"/>
          <w:rtl/>
        </w:rPr>
        <w:t>عي مكونات شبكات الاتصالات والمشغلين و</w:t>
      </w:r>
      <w:r w:rsidRPr="009911DE">
        <w:rPr>
          <w:rtl/>
        </w:rPr>
        <w:t xml:space="preserve">المنظمات </w:t>
      </w:r>
      <w:r w:rsidRPr="009911DE">
        <w:rPr>
          <w:rFonts w:hint="cs"/>
          <w:rtl/>
        </w:rPr>
        <w:t xml:space="preserve">الأخرى </w:t>
      </w:r>
      <w:r w:rsidRPr="009911DE">
        <w:rPr>
          <w:rtl/>
        </w:rPr>
        <w:t>المعنية بوضع المعايير في </w:t>
      </w:r>
      <w:r w:rsidRPr="009911DE">
        <w:rPr>
          <w:rFonts w:hint="cs"/>
          <w:rtl/>
        </w:rPr>
        <w:t xml:space="preserve">مجال الاتصالات </w:t>
      </w:r>
      <w:r w:rsidR="00415D40" w:rsidRPr="009911DE">
        <w:rPr>
          <w:rFonts w:hint="cs"/>
          <w:rtl/>
        </w:rPr>
        <w:t xml:space="preserve">ومطوري التكنولوجيات الواعدة المتعلقة </w:t>
      </w:r>
      <w:r w:rsidRPr="009911DE">
        <w:rPr>
          <w:rFonts w:hint="cs"/>
          <w:rtl/>
        </w:rPr>
        <w:t xml:space="preserve">بهذه المسائل لتحديد التدابير التكنولوجية القائمة والمستقبلية، </w:t>
      </w:r>
      <w:r w:rsidR="00415D40" w:rsidRPr="009911DE">
        <w:rPr>
          <w:rFonts w:hint="cs"/>
          <w:rtl/>
        </w:rPr>
        <w:t>المتعلقة بالبرمجيات</w:t>
      </w:r>
      <w:r w:rsidRPr="009911DE">
        <w:rPr>
          <w:rFonts w:hint="cs"/>
          <w:rtl/>
        </w:rPr>
        <w:t xml:space="preserve"> والأجهزة على السواء، للتخفيف من </w:t>
      </w:r>
      <w:r w:rsidR="00415D40" w:rsidRPr="009911DE">
        <w:rPr>
          <w:rFonts w:hint="cs"/>
          <w:rtl/>
        </w:rPr>
        <w:t xml:space="preserve">تبعات </w:t>
      </w:r>
      <w:r w:rsidRPr="009911DE">
        <w:rPr>
          <w:rFonts w:hint="cs"/>
          <w:rtl/>
        </w:rPr>
        <w:t>استخدام الأجهزة المتنقلة المسروقة؛</w:t>
      </w:r>
    </w:p>
    <w:p w:rsidR="008401E9" w:rsidRPr="009911DE" w:rsidRDefault="008401E9" w:rsidP="00B827AF">
      <w:pPr>
        <w:tabs>
          <w:tab w:val="left" w:pos="5816"/>
        </w:tabs>
        <w:rPr>
          <w:rtl/>
        </w:rPr>
      </w:pPr>
      <w:r w:rsidRPr="009911DE">
        <w:rPr>
          <w:lang w:bidi="ar-EG"/>
        </w:rPr>
        <w:t>4</w:t>
      </w:r>
      <w:r w:rsidRPr="009911DE">
        <w:rPr>
          <w:rFonts w:hint="cs"/>
          <w:rtl/>
        </w:rPr>
        <w:tab/>
      </w:r>
      <w:r w:rsidR="0011478C" w:rsidRPr="009911DE">
        <w:rPr>
          <w:rFonts w:hint="cs"/>
          <w:rtl/>
        </w:rPr>
        <w:t>بتقديم</w:t>
      </w:r>
      <w:r w:rsidRPr="009911DE">
        <w:rPr>
          <w:rFonts w:hint="cs"/>
          <w:rtl/>
        </w:rPr>
        <w:t xml:space="preserve"> المساعدة، في إطار خبرة </w:t>
      </w:r>
      <w:r w:rsidR="00415D40" w:rsidRPr="009911DE">
        <w:rPr>
          <w:rFonts w:hint="cs"/>
          <w:rtl/>
        </w:rPr>
        <w:t>قطاع تقييس الاتصالات</w:t>
      </w:r>
      <w:r w:rsidRPr="009911DE">
        <w:rPr>
          <w:rFonts w:hint="cs"/>
          <w:rtl/>
        </w:rPr>
        <w:t xml:space="preserve">، وفي إطار الموارد المتاحة، حسب الاقتضاء، بالتعاون </w:t>
      </w:r>
      <w:r w:rsidR="00B827AF" w:rsidRPr="009911DE">
        <w:rPr>
          <w:rFonts w:hint="cs"/>
          <w:rtl/>
        </w:rPr>
        <w:t>مع</w:t>
      </w:r>
      <w:r w:rsidRPr="009911DE">
        <w:rPr>
          <w:rFonts w:hint="cs"/>
          <w:rtl/>
        </w:rPr>
        <w:t xml:space="preserve"> المنظمات ذات الصلة، إلى الدول الأعضاء، إذا </w:t>
      </w:r>
      <w:r w:rsidR="00415D40" w:rsidRPr="009911DE">
        <w:rPr>
          <w:rFonts w:hint="cs"/>
          <w:rtl/>
        </w:rPr>
        <w:t xml:space="preserve">طلبت </w:t>
      </w:r>
      <w:r w:rsidRPr="009911DE">
        <w:rPr>
          <w:rFonts w:hint="cs"/>
          <w:rtl/>
        </w:rPr>
        <w:t>ذلك، من أجل الحد من سرقة الأجهزة المتنقلة واستخدام</w:t>
      </w:r>
      <w:r w:rsidR="00415D40" w:rsidRPr="009911DE">
        <w:rPr>
          <w:rFonts w:hint="cs"/>
          <w:rtl/>
        </w:rPr>
        <w:t>ها</w:t>
      </w:r>
      <w:r w:rsidRPr="009911DE">
        <w:rPr>
          <w:rFonts w:hint="cs"/>
          <w:rtl/>
        </w:rPr>
        <w:t xml:space="preserve"> في بلدانهم،</w:t>
      </w:r>
    </w:p>
    <w:p w:rsidR="00F87B4E" w:rsidRPr="00C30D97" w:rsidRDefault="00384A04" w:rsidP="00497C0C">
      <w:pPr>
        <w:pStyle w:val="Call"/>
        <w:rPr>
          <w:spacing w:val="-8"/>
          <w:rtl/>
        </w:rPr>
      </w:pPr>
      <w:r w:rsidRPr="00C30D97">
        <w:rPr>
          <w:rFonts w:eastAsia="SimSun" w:hint="cs"/>
          <w:spacing w:val="-8"/>
          <w:rtl/>
        </w:rPr>
        <w:t>ت</w:t>
      </w:r>
      <w:r w:rsidR="008401E9" w:rsidRPr="00C30D97">
        <w:rPr>
          <w:rFonts w:eastAsia="SimSun"/>
          <w:spacing w:val="-8"/>
          <w:rtl/>
        </w:rPr>
        <w:t xml:space="preserve">كلف لجنة الدراسات </w:t>
      </w:r>
      <w:r w:rsidR="008401E9" w:rsidRPr="00C30D97">
        <w:rPr>
          <w:rFonts w:eastAsia="SimSun"/>
          <w:spacing w:val="-8"/>
        </w:rPr>
        <w:t>11</w:t>
      </w:r>
      <w:r w:rsidR="008401E9" w:rsidRPr="00C30D97">
        <w:rPr>
          <w:rFonts w:eastAsia="SimSun"/>
          <w:spacing w:val="-8"/>
          <w:rtl/>
        </w:rPr>
        <w:t xml:space="preserve"> لقطاع </w:t>
      </w:r>
      <w:r w:rsidR="008401E9" w:rsidRPr="00C30D97">
        <w:rPr>
          <w:rFonts w:eastAsia="SimSun" w:hint="cs"/>
          <w:spacing w:val="-8"/>
          <w:rtl/>
          <w:lang w:bidi="ar-EG"/>
        </w:rPr>
        <w:t>تقييس</w:t>
      </w:r>
      <w:r w:rsidR="008401E9" w:rsidRPr="00C30D97">
        <w:rPr>
          <w:rFonts w:eastAsia="SimSun"/>
          <w:spacing w:val="-8"/>
          <w:rtl/>
        </w:rPr>
        <w:t xml:space="preserve"> الاتصالات</w:t>
      </w:r>
      <w:r w:rsidR="008401E9" w:rsidRPr="00C30D97">
        <w:rPr>
          <w:rFonts w:eastAsia="SimSun" w:hint="cs"/>
          <w:spacing w:val="-8"/>
          <w:rtl/>
        </w:rPr>
        <w:t>،</w:t>
      </w:r>
      <w:r w:rsidR="008401E9" w:rsidRPr="00C30D97">
        <w:rPr>
          <w:rFonts w:eastAsia="SimSun"/>
          <w:spacing w:val="-8"/>
          <w:rtl/>
        </w:rPr>
        <w:t xml:space="preserve"> بالتعاون مع لجان الدراسات </w:t>
      </w:r>
      <w:r w:rsidR="00C30D97" w:rsidRPr="00C30D97">
        <w:rPr>
          <w:rFonts w:eastAsia="SimSun" w:hint="cs"/>
          <w:spacing w:val="-8"/>
          <w:rtl/>
        </w:rPr>
        <w:t xml:space="preserve">المعنية الأخرى، </w:t>
      </w:r>
      <w:r w:rsidR="00497C0C">
        <w:rPr>
          <w:rFonts w:hint="cs"/>
          <w:spacing w:val="-8"/>
          <w:rtl/>
        </w:rPr>
        <w:t>ولا سيما</w:t>
      </w:r>
      <w:r w:rsidR="00C30D97" w:rsidRPr="00C30D97">
        <w:rPr>
          <w:rFonts w:hint="cs"/>
          <w:spacing w:val="-8"/>
          <w:rtl/>
        </w:rPr>
        <w:t xml:space="preserve"> </w:t>
      </w:r>
      <w:r w:rsidR="00497C0C">
        <w:rPr>
          <w:rFonts w:hint="cs"/>
          <w:spacing w:val="-8"/>
          <w:rtl/>
        </w:rPr>
        <w:t>بوجه</w:t>
      </w:r>
      <w:r w:rsidR="00C30D97" w:rsidRPr="00C30D97">
        <w:rPr>
          <w:rFonts w:hint="cs"/>
          <w:spacing w:val="-8"/>
          <w:rtl/>
        </w:rPr>
        <w:t xml:space="preserve"> خاص</w:t>
      </w:r>
    </w:p>
    <w:p w:rsidR="00F87B4E" w:rsidRPr="00F27A51" w:rsidRDefault="008401E9" w:rsidP="00415D40">
      <w:pPr>
        <w:rPr>
          <w:spacing w:val="-2"/>
          <w:rtl/>
          <w:lang w:bidi="ar-EG"/>
        </w:rPr>
      </w:pPr>
      <w:r w:rsidRPr="00F27A51">
        <w:rPr>
          <w:spacing w:val="-2"/>
          <w:lang w:bidi="ar-EG"/>
        </w:rPr>
        <w:t>1</w:t>
      </w:r>
      <w:r w:rsidRPr="00F27A51">
        <w:rPr>
          <w:spacing w:val="-2"/>
          <w:lang w:bidi="ar-EG"/>
        </w:rPr>
        <w:tab/>
      </w:r>
      <w:r w:rsidR="00415D40" w:rsidRPr="00F27A51">
        <w:rPr>
          <w:rFonts w:hint="cs"/>
          <w:spacing w:val="-2"/>
          <w:rtl/>
          <w:lang w:bidi="ar-EG"/>
        </w:rPr>
        <w:t>بوضع قائمة بمعرفات الهوية المستخدمة في أجهزة الاتصالات/تكنولوجيا المعلومات والاتصالات، بما</w:t>
      </w:r>
      <w:r w:rsidR="00415D40" w:rsidRPr="00F27A51">
        <w:rPr>
          <w:rFonts w:hint="eastAsia"/>
          <w:spacing w:val="-2"/>
          <w:rtl/>
          <w:lang w:bidi="ar-EG"/>
        </w:rPr>
        <w:t> </w:t>
      </w:r>
      <w:r w:rsidR="00415D40" w:rsidRPr="00F27A51">
        <w:rPr>
          <w:rFonts w:hint="cs"/>
          <w:spacing w:val="-2"/>
          <w:rtl/>
          <w:lang w:bidi="ar-EG"/>
        </w:rPr>
        <w:t>في</w:t>
      </w:r>
      <w:r w:rsidR="00415D40" w:rsidRPr="00F27A51">
        <w:rPr>
          <w:rFonts w:hint="eastAsia"/>
          <w:spacing w:val="-2"/>
          <w:rtl/>
          <w:lang w:bidi="ar-EG"/>
        </w:rPr>
        <w:t> </w:t>
      </w:r>
      <w:r w:rsidR="00415D40" w:rsidRPr="00F27A51">
        <w:rPr>
          <w:rFonts w:hint="cs"/>
          <w:spacing w:val="-2"/>
          <w:rtl/>
          <w:lang w:bidi="ar-EG"/>
        </w:rPr>
        <w:t>ذلك معلومات عن مجالات تطبيقها والمستوى الأمني فيما يتعلق بإمكانية تقليدها/استنساخها أو أي أشكال أخرى من</w:t>
      </w:r>
      <w:r w:rsidR="002A1CC0" w:rsidRPr="00F27A51">
        <w:rPr>
          <w:rFonts w:hint="cs"/>
          <w:spacing w:val="-2"/>
          <w:rtl/>
          <w:lang w:bidi="ar-EG"/>
        </w:rPr>
        <w:t xml:space="preserve"> أشكال</w:t>
      </w:r>
      <w:r w:rsidR="00415D40" w:rsidRPr="00F27A51">
        <w:rPr>
          <w:rFonts w:hint="cs"/>
          <w:spacing w:val="-2"/>
          <w:rtl/>
          <w:lang w:bidi="ar-EG"/>
        </w:rPr>
        <w:t xml:space="preserve"> التعديل/التلاعب</w:t>
      </w:r>
      <w:r w:rsidRPr="00F27A51">
        <w:rPr>
          <w:rFonts w:hint="cs"/>
          <w:spacing w:val="-2"/>
          <w:rtl/>
          <w:lang w:bidi="ar-EG"/>
        </w:rPr>
        <w:t>؛</w:t>
      </w:r>
    </w:p>
    <w:p w:rsidR="008401E9" w:rsidRPr="00CB3AEE" w:rsidRDefault="008401E9" w:rsidP="002A1CC0">
      <w:pPr>
        <w:rPr>
          <w:rtl/>
          <w:lang w:bidi="ar-EG"/>
        </w:rPr>
      </w:pPr>
      <w:r w:rsidRPr="00CB3AEE">
        <w:rPr>
          <w:lang w:bidi="ar-EG"/>
        </w:rPr>
        <w:t>2</w:t>
      </w:r>
      <w:r w:rsidRPr="00CB3AEE">
        <w:rPr>
          <w:rtl/>
          <w:lang w:bidi="ar-EG"/>
        </w:rPr>
        <w:tab/>
      </w:r>
      <w:r w:rsidR="002A1CC0" w:rsidRPr="00CB3AEE">
        <w:rPr>
          <w:rFonts w:hint="cs"/>
          <w:rtl/>
          <w:lang w:bidi="ar-EG"/>
        </w:rPr>
        <w:t xml:space="preserve">بوضع، حسب الاقتضاء، </w:t>
      </w:r>
      <w:r w:rsidR="00C30D97" w:rsidRPr="00CB3AEE">
        <w:rPr>
          <w:rFonts w:hint="cs"/>
          <w:rtl/>
          <w:lang w:bidi="ar-EG"/>
        </w:rPr>
        <w:t>و</w:t>
      </w:r>
      <w:r w:rsidR="002A1CC0" w:rsidRPr="00CB3AEE">
        <w:rPr>
          <w:rFonts w:hint="cs"/>
          <w:rtl/>
          <w:lang w:bidi="ar-EG"/>
        </w:rPr>
        <w:t>بمساعدة المنظمات ذات الصلة المعنية بوضع المعايير، آليات لتعرف هوية المنتجات تكون مقاومة لتقليد معرفات الهوية الفريدة وتعالج الشواغل المتعلقة بالسرية/الأمن</w:t>
      </w:r>
      <w:r w:rsidRPr="00CB3AEE">
        <w:rPr>
          <w:rFonts w:hint="cs"/>
          <w:rtl/>
          <w:lang w:bidi="ar-EG"/>
        </w:rPr>
        <w:t>؛</w:t>
      </w:r>
    </w:p>
    <w:p w:rsidR="008401E9" w:rsidRPr="00CB3AEE" w:rsidRDefault="008401E9" w:rsidP="002A1CC0">
      <w:pPr>
        <w:rPr>
          <w:rtl/>
          <w:lang w:bidi="ar-EG"/>
        </w:rPr>
      </w:pPr>
      <w:r w:rsidRPr="00CB3AEE">
        <w:rPr>
          <w:lang w:bidi="ar-EG"/>
        </w:rPr>
        <w:t>3</w:t>
      </w:r>
      <w:r w:rsidRPr="00CB3AEE">
        <w:rPr>
          <w:rtl/>
          <w:lang w:bidi="ar-EG"/>
        </w:rPr>
        <w:tab/>
      </w:r>
      <w:r w:rsidR="002A1CC0" w:rsidRPr="00CB3AEE">
        <w:rPr>
          <w:rFonts w:hint="cs"/>
          <w:rtl/>
          <w:lang w:bidi="ar-EG"/>
        </w:rPr>
        <w:t>بإعداد قائمة بالحلول وتوصيات قطاع تقييس الاتصالات القابلة للتطبيق والتي تساعد على منع سرقة الأجهزة والتقليل من آثارها السلبية</w:t>
      </w:r>
      <w:r w:rsidR="0011478C" w:rsidRPr="00CB3AEE">
        <w:rPr>
          <w:rFonts w:hint="cs"/>
          <w:rtl/>
          <w:lang w:bidi="ar-EG"/>
        </w:rPr>
        <w:t>،</w:t>
      </w:r>
    </w:p>
    <w:p w:rsidR="008401E9" w:rsidRPr="00CB3AEE" w:rsidRDefault="00384A04" w:rsidP="008401E9">
      <w:pPr>
        <w:pStyle w:val="Call"/>
      </w:pPr>
      <w:r w:rsidRPr="00CB3AEE">
        <w:rPr>
          <w:rFonts w:hint="cs"/>
          <w:rtl/>
        </w:rPr>
        <w:t>ت</w:t>
      </w:r>
      <w:r w:rsidR="008401E9" w:rsidRPr="00CB3AEE">
        <w:rPr>
          <w:rFonts w:hint="eastAsia"/>
          <w:rtl/>
        </w:rPr>
        <w:t>دعو</w:t>
      </w:r>
      <w:r w:rsidR="008401E9" w:rsidRPr="00CB3AEE">
        <w:rPr>
          <w:rtl/>
        </w:rPr>
        <w:t xml:space="preserve"> </w:t>
      </w:r>
      <w:r w:rsidR="008401E9" w:rsidRPr="00CB3AEE">
        <w:rPr>
          <w:rFonts w:hint="eastAsia"/>
          <w:rtl/>
        </w:rPr>
        <w:t>الدول</w:t>
      </w:r>
      <w:r w:rsidR="008401E9" w:rsidRPr="00CB3AEE">
        <w:rPr>
          <w:rtl/>
        </w:rPr>
        <w:t xml:space="preserve"> </w:t>
      </w:r>
      <w:r w:rsidR="008401E9" w:rsidRPr="00CB3AEE">
        <w:rPr>
          <w:rFonts w:hint="eastAsia"/>
          <w:rtl/>
        </w:rPr>
        <w:t>الأعضاء</w:t>
      </w:r>
      <w:r w:rsidR="008401E9" w:rsidRPr="00CB3AEE">
        <w:rPr>
          <w:rtl/>
        </w:rPr>
        <w:t xml:space="preserve"> </w:t>
      </w:r>
      <w:r w:rsidR="008401E9" w:rsidRPr="00CB3AEE">
        <w:rPr>
          <w:rFonts w:hint="eastAsia"/>
          <w:rtl/>
        </w:rPr>
        <w:t>وأعضاء</w:t>
      </w:r>
      <w:r w:rsidR="008401E9" w:rsidRPr="00CB3AEE">
        <w:rPr>
          <w:rtl/>
        </w:rPr>
        <w:t xml:space="preserve"> </w:t>
      </w:r>
      <w:r w:rsidR="008401E9" w:rsidRPr="00CB3AEE">
        <w:rPr>
          <w:rFonts w:hint="eastAsia"/>
          <w:rtl/>
        </w:rPr>
        <w:t>القطاعات</w:t>
      </w:r>
    </w:p>
    <w:p w:rsidR="0027261F" w:rsidRPr="00CB3AEE" w:rsidRDefault="0027261F" w:rsidP="002A1CC0">
      <w:pPr>
        <w:keepNext/>
        <w:rPr>
          <w:rtl/>
        </w:rPr>
      </w:pPr>
      <w:r w:rsidRPr="00CB3AEE">
        <w:t>1</w:t>
      </w:r>
      <w:r w:rsidRPr="00CB3AEE">
        <w:rPr>
          <w:rtl/>
        </w:rPr>
        <w:tab/>
        <w:t xml:space="preserve">إلى اتخاذ جميع التدابير اللازمة لمكافحة </w:t>
      </w:r>
      <w:r w:rsidR="002A1CC0" w:rsidRPr="00CB3AEE">
        <w:rPr>
          <w:rFonts w:hint="cs"/>
          <w:rtl/>
        </w:rPr>
        <w:t xml:space="preserve">سرقة </w:t>
      </w:r>
      <w:r w:rsidRPr="00CB3AEE">
        <w:rPr>
          <w:rFonts w:hint="cs"/>
          <w:rtl/>
        </w:rPr>
        <w:t xml:space="preserve">أجهزة الاتصالات/تكنولوجيا المعلومات والاتصالات </w:t>
      </w:r>
      <w:r w:rsidR="00673C91" w:rsidRPr="00CB3AEE">
        <w:rPr>
          <w:rFonts w:hint="cs"/>
          <w:rtl/>
        </w:rPr>
        <w:t>والتقليل من آثارها</w:t>
      </w:r>
      <w:r w:rsidR="00673C91" w:rsidRPr="00CB3AEE">
        <w:rPr>
          <w:rFonts w:hint="eastAsia"/>
          <w:rtl/>
        </w:rPr>
        <w:t> </w:t>
      </w:r>
      <w:r w:rsidR="002A1CC0" w:rsidRPr="00CB3AEE">
        <w:rPr>
          <w:rFonts w:hint="cs"/>
          <w:rtl/>
        </w:rPr>
        <w:t>السلبية</w:t>
      </w:r>
      <w:r w:rsidRPr="00CB3AEE">
        <w:rPr>
          <w:rtl/>
        </w:rPr>
        <w:t>؛</w:t>
      </w:r>
    </w:p>
    <w:p w:rsidR="0027261F" w:rsidRPr="00CB3AEE" w:rsidRDefault="0027261F" w:rsidP="0027261F">
      <w:pPr>
        <w:keepNext/>
        <w:rPr>
          <w:rtl/>
        </w:rPr>
      </w:pPr>
      <w:r w:rsidRPr="00CB3AEE">
        <w:t>2</w:t>
      </w:r>
      <w:r w:rsidRPr="00CB3AEE">
        <w:rPr>
          <w:rtl/>
        </w:rPr>
        <w:tab/>
        <w:t>إلى التعاون وتبادل الخبرات فيما بينها في هذا المجال؛</w:t>
      </w:r>
    </w:p>
    <w:p w:rsidR="0027261F" w:rsidRPr="00CB3AEE" w:rsidRDefault="0027261F" w:rsidP="002A1CC0">
      <w:pPr>
        <w:rPr>
          <w:rtl/>
        </w:rPr>
      </w:pPr>
      <w:r w:rsidRPr="00CB3AEE">
        <w:rPr>
          <w:lang w:bidi="ar-EG"/>
        </w:rPr>
        <w:t>3</w:t>
      </w:r>
      <w:r w:rsidRPr="00CB3AEE">
        <w:rPr>
          <w:lang w:bidi="ar-EG"/>
        </w:rPr>
        <w:tab/>
      </w:r>
      <w:r w:rsidRPr="00CB3AEE">
        <w:rPr>
          <w:rFonts w:hint="cs"/>
          <w:rtl/>
        </w:rPr>
        <w:t xml:space="preserve">إلى </w:t>
      </w:r>
      <w:r w:rsidRPr="00CB3AEE">
        <w:rPr>
          <w:rtl/>
        </w:rPr>
        <w:t>المشاركة بنشاط في </w:t>
      </w:r>
      <w:r w:rsidRPr="00CB3AEE">
        <w:rPr>
          <w:rFonts w:hint="cs"/>
          <w:rtl/>
        </w:rPr>
        <w:t xml:space="preserve">دراسات الات‍حاد </w:t>
      </w:r>
      <w:r w:rsidRPr="00CB3AEE">
        <w:rPr>
          <w:rtl/>
        </w:rPr>
        <w:t xml:space="preserve">المتصلة </w:t>
      </w:r>
      <w:r w:rsidR="002A1CC0" w:rsidRPr="00CB3AEE">
        <w:rPr>
          <w:rFonts w:hint="cs"/>
          <w:rtl/>
        </w:rPr>
        <w:t xml:space="preserve">بتنفيذ هذا القرار </w:t>
      </w:r>
      <w:r w:rsidRPr="00CB3AEE">
        <w:rPr>
          <w:rtl/>
        </w:rPr>
        <w:t>من خلال تقديم المساهمات</w:t>
      </w:r>
      <w:r w:rsidRPr="00CB3AEE">
        <w:rPr>
          <w:rFonts w:hint="cs"/>
          <w:rtl/>
        </w:rPr>
        <w:t>؛</w:t>
      </w:r>
    </w:p>
    <w:p w:rsidR="0027261F" w:rsidRPr="00CB3AEE" w:rsidRDefault="0027261F" w:rsidP="0027261F">
      <w:pPr>
        <w:rPr>
          <w:rtl/>
          <w:lang w:bidi="ar-SY"/>
        </w:rPr>
      </w:pPr>
      <w:r w:rsidRPr="00CB3AEE">
        <w:t>4</w:t>
      </w:r>
      <w:r w:rsidRPr="00CB3AEE">
        <w:tab/>
      </w:r>
      <w:r w:rsidRPr="00CB3AEE">
        <w:rPr>
          <w:rFonts w:hint="cs"/>
          <w:rtl/>
          <w:lang w:bidi="ar-SY"/>
        </w:rPr>
        <w:t>إلى اتخاذ التدابير اللازمة لمنع أو اكتشاف التلاعب بمعرفات الهوية الفريدة لأجهزة الاتصالات/تكنولوجيا المعلومات</w:t>
      </w:r>
      <w:r w:rsidRPr="00CB3AEE">
        <w:rPr>
          <w:rFonts w:hint="eastAsia"/>
          <w:rtl/>
          <w:lang w:bidi="ar-SY"/>
        </w:rPr>
        <w:t> </w:t>
      </w:r>
      <w:r w:rsidR="0011478C" w:rsidRPr="00CB3AEE">
        <w:rPr>
          <w:rFonts w:hint="cs"/>
          <w:rtl/>
          <w:lang w:bidi="ar-SY"/>
        </w:rPr>
        <w:t>والاتصالات.</w:t>
      </w:r>
    </w:p>
    <w:p w:rsidR="00D45521" w:rsidRDefault="00D45521" w:rsidP="0027261F">
      <w:pPr>
        <w:pStyle w:val="Reasons"/>
        <w:rPr>
          <w:lang w:bidi="ar-SY"/>
        </w:rPr>
      </w:pPr>
    </w:p>
    <w:p w:rsidR="0027261F" w:rsidRPr="0027261F" w:rsidRDefault="0027261F" w:rsidP="00C30D97">
      <w:pPr>
        <w:spacing w:before="600"/>
        <w:jc w:val="center"/>
        <w:rPr>
          <w:rtl/>
          <w:lang w:bidi="ar-EG"/>
        </w:rPr>
      </w:pPr>
      <w:r>
        <w:rPr>
          <w:rFonts w:hint="cs"/>
          <w:rtl/>
          <w:lang w:bidi="ar-EG"/>
        </w:rPr>
        <w:t>___________</w:t>
      </w:r>
    </w:p>
    <w:sectPr w:rsidR="0027261F" w:rsidRPr="0027261F"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B57CC8"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B57CC8">
      <w:rPr>
        <w:rFonts w:cs="Times New Roman"/>
        <w:sz w:val="16"/>
        <w:szCs w:val="16"/>
        <w:lang w:val="fr-CH"/>
      </w:rPr>
      <w:instrText xml:space="preserve"> FILENAME \p \* MERGEFORMAT </w:instrText>
    </w:r>
    <w:r w:rsidRPr="00E07379">
      <w:rPr>
        <w:rFonts w:cs="Times New Roman"/>
        <w:sz w:val="16"/>
        <w:szCs w:val="16"/>
      </w:rPr>
      <w:fldChar w:fldCharType="separate"/>
    </w:r>
    <w:r w:rsidR="0011478C">
      <w:rPr>
        <w:rFonts w:cs="Times New Roman"/>
        <w:noProof/>
        <w:sz w:val="16"/>
        <w:szCs w:val="16"/>
        <w:lang w:val="fr-CH"/>
      </w:rPr>
      <w:t>P:\ARA\ITU-T\CONF-T\WTSA16\000\047ADD10A</w:t>
    </w:r>
    <w:r w:rsidR="0011478C" w:rsidRPr="0011478C">
      <w:rPr>
        <w:rFonts w:cs="Times New Roman"/>
        <w:noProof/>
        <w:sz w:val="16"/>
        <w:szCs w:val="16"/>
        <w:lang w:val="fr-CH"/>
      </w:rPr>
      <w:t>   (405607)</w:t>
    </w:r>
    <w:r w:rsidR="0011478C">
      <w:rPr>
        <w:rFonts w:cs="Times New Roman"/>
        <w:noProof/>
        <w:sz w:val="16"/>
        <w:szCs w:val="16"/>
        <w:lang w:val="fr-CH"/>
      </w:rPr>
      <w:t>.docx</w:t>
    </w:r>
    <w:r w:rsidRPr="00E07379">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B57CC8" w:rsidRDefault="0022345D" w:rsidP="00984EA5">
    <w:pPr>
      <w:pStyle w:val="Footer"/>
      <w:rPr>
        <w:szCs w:val="12"/>
        <w:lang w:val="fr-CH"/>
      </w:rPr>
    </w:pPr>
    <w:r w:rsidRPr="0022345D">
      <w:rPr>
        <w:szCs w:val="12"/>
      </w:rPr>
      <w:fldChar w:fldCharType="begin"/>
    </w:r>
    <w:r w:rsidRPr="00B57CC8">
      <w:rPr>
        <w:szCs w:val="12"/>
        <w:lang w:val="fr-CH"/>
      </w:rPr>
      <w:instrText xml:space="preserve"> FILENAME \p  \* MERGEFORMAT </w:instrText>
    </w:r>
    <w:r w:rsidRPr="0022345D">
      <w:rPr>
        <w:szCs w:val="12"/>
      </w:rPr>
      <w:fldChar w:fldCharType="separate"/>
    </w:r>
    <w:r w:rsidR="0011478C">
      <w:rPr>
        <w:noProof/>
        <w:szCs w:val="12"/>
        <w:lang w:val="fr-CH"/>
      </w:rPr>
      <w:t>P:\ARA\ITU-T\CONF-T\WTSA16\000\047ADD10A   (405607).docx</w:t>
    </w:r>
    <w:r w:rsidRPr="0022345D">
      <w:rPr>
        <w:szCs w:val="12"/>
      </w:rPr>
      <w:fldChar w:fldCharType="end"/>
    </w:r>
  </w:p>
  <w:p w:rsidR="00E07379" w:rsidRPr="00B57CC8"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CA0B3C">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19C0"/>
    <w:rsid w:val="000124CC"/>
    <w:rsid w:val="00046444"/>
    <w:rsid w:val="0006023B"/>
    <w:rsid w:val="0008638B"/>
    <w:rsid w:val="00090574"/>
    <w:rsid w:val="00092FC2"/>
    <w:rsid w:val="000A1677"/>
    <w:rsid w:val="000B407F"/>
    <w:rsid w:val="000F0B1C"/>
    <w:rsid w:val="000F1D42"/>
    <w:rsid w:val="000F4D07"/>
    <w:rsid w:val="00102A03"/>
    <w:rsid w:val="001040A3"/>
    <w:rsid w:val="0011478C"/>
    <w:rsid w:val="00173915"/>
    <w:rsid w:val="001C5663"/>
    <w:rsid w:val="0022345D"/>
    <w:rsid w:val="00225854"/>
    <w:rsid w:val="0023283D"/>
    <w:rsid w:val="00252E0C"/>
    <w:rsid w:val="0027261F"/>
    <w:rsid w:val="00276881"/>
    <w:rsid w:val="00293DB9"/>
    <w:rsid w:val="002978F4"/>
    <w:rsid w:val="002A1CC0"/>
    <w:rsid w:val="002B028D"/>
    <w:rsid w:val="002B435E"/>
    <w:rsid w:val="002C4DAE"/>
    <w:rsid w:val="002E6541"/>
    <w:rsid w:val="002F5560"/>
    <w:rsid w:val="0030486B"/>
    <w:rsid w:val="003231B9"/>
    <w:rsid w:val="003275AC"/>
    <w:rsid w:val="00333D29"/>
    <w:rsid w:val="003409F4"/>
    <w:rsid w:val="00357185"/>
    <w:rsid w:val="00384A04"/>
    <w:rsid w:val="003937E9"/>
    <w:rsid w:val="003C475F"/>
    <w:rsid w:val="003D1B59"/>
    <w:rsid w:val="003E177E"/>
    <w:rsid w:val="003E4132"/>
    <w:rsid w:val="003F678F"/>
    <w:rsid w:val="00415D40"/>
    <w:rsid w:val="0042686F"/>
    <w:rsid w:val="004367CE"/>
    <w:rsid w:val="00443869"/>
    <w:rsid w:val="004712C6"/>
    <w:rsid w:val="00497703"/>
    <w:rsid w:val="00497C0C"/>
    <w:rsid w:val="004D1E6E"/>
    <w:rsid w:val="004F0F06"/>
    <w:rsid w:val="00501E0E"/>
    <w:rsid w:val="005204D7"/>
    <w:rsid w:val="00552BC5"/>
    <w:rsid w:val="0055516A"/>
    <w:rsid w:val="0056374C"/>
    <w:rsid w:val="0056614F"/>
    <w:rsid w:val="0057656F"/>
    <w:rsid w:val="00576731"/>
    <w:rsid w:val="0059285F"/>
    <w:rsid w:val="00597E89"/>
    <w:rsid w:val="005A24B1"/>
    <w:rsid w:val="005A7D18"/>
    <w:rsid w:val="005B7B8A"/>
    <w:rsid w:val="005D6476"/>
    <w:rsid w:val="005D6C0D"/>
    <w:rsid w:val="005E5283"/>
    <w:rsid w:val="005E58F5"/>
    <w:rsid w:val="00606660"/>
    <w:rsid w:val="006157A3"/>
    <w:rsid w:val="00620E60"/>
    <w:rsid w:val="0063315A"/>
    <w:rsid w:val="0065591D"/>
    <w:rsid w:val="00662C5A"/>
    <w:rsid w:val="00670AF5"/>
    <w:rsid w:val="00673C91"/>
    <w:rsid w:val="00694856"/>
    <w:rsid w:val="006C1556"/>
    <w:rsid w:val="006F267F"/>
    <w:rsid w:val="006F63F7"/>
    <w:rsid w:val="006F6F03"/>
    <w:rsid w:val="00706D7A"/>
    <w:rsid w:val="00726AEC"/>
    <w:rsid w:val="007530CA"/>
    <w:rsid w:val="0076401A"/>
    <w:rsid w:val="007755B0"/>
    <w:rsid w:val="0079553D"/>
    <w:rsid w:val="007B01CC"/>
    <w:rsid w:val="007F646C"/>
    <w:rsid w:val="00801FCD"/>
    <w:rsid w:val="00803D7E"/>
    <w:rsid w:val="00803F08"/>
    <w:rsid w:val="008235CD"/>
    <w:rsid w:val="00823A07"/>
    <w:rsid w:val="00835FEC"/>
    <w:rsid w:val="008401E9"/>
    <w:rsid w:val="008513CB"/>
    <w:rsid w:val="00874D9C"/>
    <w:rsid w:val="008A1810"/>
    <w:rsid w:val="008A628F"/>
    <w:rsid w:val="00917694"/>
    <w:rsid w:val="009263CD"/>
    <w:rsid w:val="00930E6D"/>
    <w:rsid w:val="00972CA2"/>
    <w:rsid w:val="00982B28"/>
    <w:rsid w:val="00984EA5"/>
    <w:rsid w:val="009911DE"/>
    <w:rsid w:val="00992593"/>
    <w:rsid w:val="009C17E1"/>
    <w:rsid w:val="009C35ED"/>
    <w:rsid w:val="009F1C12"/>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54008"/>
    <w:rsid w:val="00B57CC8"/>
    <w:rsid w:val="00B66B9A"/>
    <w:rsid w:val="00B82089"/>
    <w:rsid w:val="00B827AF"/>
    <w:rsid w:val="00B970AE"/>
    <w:rsid w:val="00BA1427"/>
    <w:rsid w:val="00BE49D0"/>
    <w:rsid w:val="00BF2C38"/>
    <w:rsid w:val="00C23331"/>
    <w:rsid w:val="00C265DA"/>
    <w:rsid w:val="00C30D97"/>
    <w:rsid w:val="00C442F2"/>
    <w:rsid w:val="00C674FE"/>
    <w:rsid w:val="00C7297D"/>
    <w:rsid w:val="00C75633"/>
    <w:rsid w:val="00C8242E"/>
    <w:rsid w:val="00C82615"/>
    <w:rsid w:val="00C867DB"/>
    <w:rsid w:val="00C970E2"/>
    <w:rsid w:val="00CA0B3C"/>
    <w:rsid w:val="00CA2A38"/>
    <w:rsid w:val="00CA50FF"/>
    <w:rsid w:val="00CB3AEE"/>
    <w:rsid w:val="00CC3CD2"/>
    <w:rsid w:val="00CC43BE"/>
    <w:rsid w:val="00CD123C"/>
    <w:rsid w:val="00CD2085"/>
    <w:rsid w:val="00CE2EE1"/>
    <w:rsid w:val="00CF3FFD"/>
    <w:rsid w:val="00D0494C"/>
    <w:rsid w:val="00D14BEB"/>
    <w:rsid w:val="00D21C89"/>
    <w:rsid w:val="00D45521"/>
    <w:rsid w:val="00D45542"/>
    <w:rsid w:val="00D77D0F"/>
    <w:rsid w:val="00D83EC5"/>
    <w:rsid w:val="00DA1CF0"/>
    <w:rsid w:val="00DB0D12"/>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CC9"/>
    <w:rsid w:val="00E96624"/>
    <w:rsid w:val="00F126F1"/>
    <w:rsid w:val="00F2106A"/>
    <w:rsid w:val="00F27A51"/>
    <w:rsid w:val="00F36D8B"/>
    <w:rsid w:val="00F401D0"/>
    <w:rsid w:val="00F45F2B"/>
    <w:rsid w:val="00F57AE4"/>
    <w:rsid w:val="00F67150"/>
    <w:rsid w:val="00F84366"/>
    <w:rsid w:val="00F85089"/>
    <w:rsid w:val="00F85564"/>
    <w:rsid w:val="00F86CFA"/>
    <w:rsid w:val="00F87B4E"/>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qFormat/>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qFormat/>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uiPriority w:val="99"/>
    <w:qFormat/>
    <w:rsid w:val="0022345D"/>
    <w:rPr>
      <w:rFonts w:cs="Times New Roman"/>
      <w:position w:val="6"/>
      <w:sz w:val="18"/>
      <w:szCs w:val="18"/>
    </w:rPr>
  </w:style>
  <w:style w:type="character" w:customStyle="1" w:styleId="FootnoteTextChar">
    <w:name w:val="Footnote Text Char"/>
    <w:basedOn w:val="DefaultParagraphFont"/>
    <w:link w:val="FootnoteText"/>
    <w:uiPriority w:val="99"/>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7d90246-9ed5-4e13-829c-fd5b339be6f8">Documents Proposals Manager (DPM)</DPM_x0020_Author>
    <DPM_x0020_File_x0020_name xmlns="a7d90246-9ed5-4e13-829c-fd5b339be6f8">T13-WTSA.16-C-0047!A10!MSW-A</DPM_x0020_File_x0020_name>
    <DPM_x0020_Version xmlns="a7d90246-9ed5-4e13-829c-fd5b339be6f8">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d90246-9ed5-4e13-829c-fd5b339be6f8" targetNamespace="http://schemas.microsoft.com/office/2006/metadata/properties" ma:root="true" ma:fieldsID="d41af5c836d734370eb92e7ee5f83852" ns2:_="" ns3:_="">
    <xsd:import namespace="996b2e75-67fd-4955-a3b0-5ab9934cb50b"/>
    <xsd:import namespace="a7d90246-9ed5-4e13-829c-fd5b339be6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d90246-9ed5-4e13-829c-fd5b339be6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90246-9ed5-4e13-829c-fd5b339be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d90246-9ed5-4e13-829c-fd5b339be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3E9E5-4409-4FE5-844E-793588DF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T13-WTSA.16-C-0047!A10!MSW-A</vt:lpstr>
    </vt:vector>
  </TitlesOfParts>
  <Company>International Telecommunication Union (ITU)</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T13-WTSA.16-C-0047!A10!MSW-A</dc:title>
  <dc:subject>World Telecommunication Standardization Assembly</dc:subject>
  <dc:creator>Documents Proposals Manager (DPM)</dc:creator>
  <cp:keywords>DPM_v2016.10.3.2_prod</cp:keywords>
  <dc:description>Template used by DPM and CPI for the WTSA-16</dc:description>
  <cp:lastModifiedBy>Awad, Samy</cp:lastModifiedBy>
  <cp:revision>21</cp:revision>
  <cp:lastPrinted>2016-06-07T13:25:00Z</cp:lastPrinted>
  <dcterms:created xsi:type="dcterms:W3CDTF">2016-10-13T10:18:00Z</dcterms:created>
  <dcterms:modified xsi:type="dcterms:W3CDTF">2016-10-21T13:50:00Z</dcterms:modified>
  <cp:category>Conference document</cp:category>
</cp:coreProperties>
</file>