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19"/>
                <w:szCs w:val="30"/>
                <w:rtl/>
              </w:rPr>
            </w:pPr>
            <w:r w:rsidRPr="00F71E36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22345D" w:rsidP="00BD056D">
            <w:pPr>
              <w:pStyle w:val="Adress"/>
              <w:framePr w:hSpace="0" w:wrap="auto" w:xAlign="left" w:yAlign="inline"/>
              <w:rPr>
                <w:rtl/>
              </w:rPr>
            </w:pPr>
            <w:r w:rsidRPr="00F71E36">
              <w:rPr>
                <w:rtl/>
              </w:rPr>
              <w:t xml:space="preserve">الوثيقة </w:t>
            </w:r>
            <w:r w:rsidRPr="00F71E36">
              <w:t>47-</w:t>
            </w:r>
            <w:r w:rsidR="00F71E36" w:rsidRPr="00F71E36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EE4C01" w:rsidP="00EE4C01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27</w:t>
            </w:r>
            <w:r w:rsidR="0022345D" w:rsidRPr="00F71E36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سبتمبر</w:t>
            </w:r>
            <w:r w:rsidR="0022345D" w:rsidRPr="00F71E36">
              <w:rPr>
                <w:rFonts w:eastAsia="SimSun"/>
                <w:rtl/>
              </w:rPr>
              <w:t xml:space="preserve"> </w:t>
            </w:r>
            <w:r w:rsidR="0022345D" w:rsidRPr="00F71E36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71E36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F71E36" w:rsidP="005712E3">
            <w:pPr>
              <w:pStyle w:val="Source"/>
              <w:rPr>
                <w:rtl/>
              </w:rPr>
            </w:pPr>
            <w:r w:rsidRPr="00F71E36">
              <w:rPr>
                <w:rtl/>
                <w:lang w:bidi="ar-SA"/>
              </w:rPr>
              <w:t>الدول الأعضاء في الات‍حاد الدولي للاتصالات،</w:t>
            </w:r>
            <w:r>
              <w:rPr>
                <w:lang w:bidi="ar-SA"/>
              </w:rPr>
              <w:br/>
            </w:r>
            <w:r w:rsidRPr="00F71E36">
              <w:rPr>
                <w:rtl/>
                <w:lang w:bidi="ar-SA"/>
              </w:rPr>
              <w:t xml:space="preserve">الأعضاء في الكومنولث الإقليمي في م‍جال </w:t>
            </w:r>
            <w:r w:rsidR="00EE4C01">
              <w:rPr>
                <w:rFonts w:hint="cs"/>
                <w:rtl/>
                <w:lang w:bidi="ar-SA"/>
              </w:rPr>
              <w:t xml:space="preserve">الاتصالات </w:t>
            </w:r>
            <w:r w:rsidRPr="00F71E36">
              <w:t>(RCC)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F71E36" w:rsidP="00F71E36">
            <w:pPr>
              <w:pStyle w:val="Title1"/>
              <w:spacing w:before="240"/>
              <w:rPr>
                <w:rtl/>
              </w:rPr>
            </w:pPr>
            <w:r w:rsidRPr="00F71E36">
              <w:rPr>
                <w:rtl/>
                <w:lang w:bidi="ar-SA"/>
              </w:rPr>
              <w:t>مقترحات مشتركة بشأن أعمال الجمعية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E0463A"/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B621BA">
        <w:trPr>
          <w:cantSplit/>
          <w:jc w:val="right"/>
        </w:trPr>
        <w:tc>
          <w:tcPr>
            <w:tcW w:w="8506" w:type="dxa"/>
          </w:tcPr>
          <w:p w:rsidR="006157A3" w:rsidRPr="00984EA5" w:rsidRDefault="00E761BE" w:rsidP="00EE4C01">
            <w:pPr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تتضمن هذه المساهمة قائمة بالمقترحات المشتركة للبلدان الأعضاء في الكومنولث الإقليمي في مجال الاتصالات المقدمة إلى الجمعية.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6D2B4D" w:rsidRDefault="006D2B4D" w:rsidP="006D2B4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D2B4D" w:rsidRDefault="00E97EAF" w:rsidP="006D2B4D">
      <w:pPr>
        <w:rPr>
          <w:b/>
          <w:bCs/>
          <w:rtl/>
          <w:lang w:bidi="ar-EG"/>
        </w:rPr>
      </w:pPr>
      <w:r w:rsidRPr="00F71E36">
        <w:rPr>
          <w:rFonts w:hint="cs"/>
          <w:rtl/>
          <w:lang w:bidi="ar-EG"/>
        </w:rPr>
        <w:t>في إطار استعراض تنظيم أعمال قطاع تقييس الاتص</w:t>
      </w:r>
      <w:bookmarkStart w:id="0" w:name="_GoBack"/>
      <w:bookmarkEnd w:id="0"/>
      <w:r w:rsidRPr="00F71E36">
        <w:rPr>
          <w:rFonts w:hint="cs"/>
          <w:rtl/>
          <w:lang w:bidi="ar-EG"/>
        </w:rPr>
        <w:t xml:space="preserve">الات بالاتحاد، تقدم الدول الأعضاء في الاتحاد التي </w:t>
      </w:r>
      <w:r>
        <w:rPr>
          <w:rFonts w:hint="cs"/>
          <w:rtl/>
          <w:lang w:bidi="ar-EG"/>
        </w:rPr>
        <w:t>تكون</w:t>
      </w:r>
      <w:r w:rsidRPr="00F71E36">
        <w:rPr>
          <w:rFonts w:hint="cs"/>
          <w:rtl/>
          <w:lang w:bidi="ar-EG"/>
        </w:rPr>
        <w:t xml:space="preserve"> إداراتها من</w:t>
      </w:r>
      <w:r w:rsidRPr="00F71E36">
        <w:rPr>
          <w:rFonts w:hint="eastAsia"/>
          <w:rtl/>
          <w:lang w:bidi="ar-EG"/>
        </w:rPr>
        <w:t> </w:t>
      </w:r>
      <w:r w:rsidRPr="00F71E36">
        <w:rPr>
          <w:rFonts w:hint="cs"/>
          <w:rtl/>
          <w:lang w:bidi="ar-EG"/>
        </w:rPr>
        <w:t xml:space="preserve">أعضاء الكومنولث الإقليمي في مجال الاتصالات، المقترحات التالية بشأن أعمال الجمعية العالمية لتقييس الاتصالات </w:t>
      </w:r>
      <w:r w:rsidRPr="00F71E36">
        <w:t>(WTSA-1</w:t>
      </w:r>
      <w:r>
        <w:t>6</w:t>
      </w:r>
      <w:r w:rsidRPr="00F71E36">
        <w:t>)</w:t>
      </w:r>
      <w:r w:rsidRPr="00F71E36">
        <w:rPr>
          <w:rFonts w:hint="cs"/>
          <w:rtl/>
          <w:lang w:bidi="ar-EG"/>
        </w:rPr>
        <w:t>.</w:t>
      </w:r>
    </w:p>
    <w:p w:rsidR="00513572" w:rsidRDefault="00513572" w:rsidP="00E97EAF">
      <w:pPr>
        <w:spacing w:before="1200"/>
        <w:rPr>
          <w:lang w:bidi="ar-EG"/>
        </w:rPr>
      </w:pPr>
      <w:r w:rsidRPr="00F66249">
        <w:rPr>
          <w:rFonts w:hint="cs"/>
          <w:b/>
          <w:bCs/>
          <w:rtl/>
          <w:lang w:bidi="ar-EG"/>
        </w:rPr>
        <w:t>الملحقات:</w:t>
      </w:r>
      <w:r w:rsidRPr="00E0463A">
        <w:rPr>
          <w:rFonts w:hint="cs"/>
          <w:rtl/>
          <w:lang w:bidi="ar-EG"/>
        </w:rPr>
        <w:t xml:space="preserve"> </w:t>
      </w:r>
      <w:r w:rsidRPr="00E0463A">
        <w:rPr>
          <w:lang w:bidi="ar-EG"/>
        </w:rPr>
        <w:t>1</w:t>
      </w:r>
    </w:p>
    <w:p w:rsidR="006D2B4D" w:rsidRDefault="006D2B4D" w:rsidP="006D2B4D">
      <w:pPr>
        <w:rPr>
          <w:lang w:bidi="ar-EG"/>
        </w:rPr>
      </w:pPr>
    </w:p>
    <w:p w:rsidR="00513572" w:rsidRDefault="00513572" w:rsidP="00513572">
      <w:pPr>
        <w:tabs>
          <w:tab w:val="clear" w:pos="1134"/>
        </w:tabs>
        <w:spacing w:before="0" w:after="160" w:line="259" w:lineRule="auto"/>
        <w:jc w:val="left"/>
        <w:rPr>
          <w:rtl/>
        </w:rPr>
        <w:sectPr w:rsidR="00513572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6352B" w:rsidRDefault="00E0463A" w:rsidP="00F6352B">
      <w:pPr>
        <w:pStyle w:val="AnnexNo"/>
        <w:spacing w:before="0"/>
      </w:pPr>
      <w:r>
        <w:rPr>
          <w:rFonts w:hint="cs"/>
          <w:rtl/>
        </w:rPr>
        <w:lastRenderedPageBreak/>
        <w:t>الملحـق</w:t>
      </w:r>
    </w:p>
    <w:p w:rsidR="0022345D" w:rsidRDefault="00F6352B" w:rsidP="00E0463A">
      <w:pPr>
        <w:pStyle w:val="Annextitle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البلدان ال‍مشاركة من</w:t>
      </w:r>
      <w:r w:rsidRPr="00E3570A">
        <w:rPr>
          <w:rFonts w:hint="cs"/>
          <w:rtl/>
          <w:lang w:bidi="ar-EG"/>
        </w:rPr>
        <w:t xml:space="preserve"> الكومنولث الإقليمي في مجال الاتصالات التي تؤيد المقترحات المشتركة بشأن أعمال الجمعية </w:t>
      </w:r>
      <w:r w:rsidRPr="00E3570A">
        <w:rPr>
          <w:lang w:bidi="ar-EG"/>
        </w:rPr>
        <w:t>WTSA-1</w:t>
      </w:r>
      <w:r w:rsidR="005E7E99">
        <w:rPr>
          <w:lang w:bidi="ar-EG"/>
        </w:rPr>
        <w:t>6</w:t>
      </w:r>
    </w:p>
    <w:tbl>
      <w:tblPr>
        <w:tblStyle w:val="TableGrid"/>
        <w:bidiVisual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979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F6352B" w:rsidRPr="00B95D91" w:rsidTr="00DC2451">
        <w:trPr>
          <w:cantSplit/>
          <w:trHeight w:val="1176"/>
          <w:tblHeader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352B" w:rsidRPr="00B95D91" w:rsidRDefault="00C86413" w:rsidP="00C20A7C">
            <w:pPr>
              <w:pStyle w:val="Tablehead"/>
              <w:spacing w:line="280" w:lineRule="exact"/>
              <w:rPr>
                <w:rtl/>
                <w:lang w:val="en-US"/>
              </w:rPr>
            </w:pPr>
            <w:r w:rsidRPr="00B95D91">
              <w:rPr>
                <w:rFonts w:hint="cs"/>
                <w:rtl/>
              </w:rPr>
              <w:t>الإضافات إلى</w:t>
            </w:r>
            <w:r w:rsidR="00A10D88" w:rsidRPr="00B95D91">
              <w:rPr>
                <w:rtl/>
              </w:rPr>
              <w:br/>
            </w:r>
            <w:r w:rsidRPr="00B95D91">
              <w:rPr>
                <w:rFonts w:hint="cs"/>
                <w:rtl/>
              </w:rPr>
              <w:t xml:space="preserve">الوثيقة </w:t>
            </w:r>
            <w:r w:rsidR="00C20A7C">
              <w:rPr>
                <w:lang w:val="en-US"/>
              </w:rPr>
              <w:t>XX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352B" w:rsidRPr="00B95D91" w:rsidRDefault="00B05EA4" w:rsidP="00B95D91">
            <w:pPr>
              <w:pStyle w:val="Tablehead"/>
              <w:spacing w:line="280" w:lineRule="exact"/>
            </w:pPr>
            <w:r w:rsidRPr="00B95D91">
              <w:rPr>
                <w:rFonts w:hint="cs"/>
                <w:rtl/>
                <w:lang w:val="fr-CH"/>
              </w:rPr>
              <w:t>عنوان المقترح المقدم من الكومنولث الإقليمي في مجال الاتصالات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أذربيجان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أرمينيا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بيلاروس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جورجيا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كازاخستان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قيرغيزستان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مولدوفا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Fonts w:hint="cs"/>
                <w:rtl/>
              </w:rPr>
              <w:t>روسيا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طاجيكستان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تركمانستان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أوزبكستان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أوكرانيا</w:t>
            </w: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head"/>
              <w:spacing w:line="280" w:lineRule="exact"/>
              <w:rPr>
                <w:color w:val="000000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:rsidR="00F6352B" w:rsidRPr="00B95D91" w:rsidRDefault="005E7E9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أولاً </w:t>
            </w:r>
            <w:r w:rsidRPr="00B95D91">
              <w:rPr>
                <w:color w:val="000000"/>
                <w:rtl/>
                <w:lang w:val="en-US"/>
              </w:rPr>
              <w:t>–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أساليب العمل (اللجنة </w:t>
            </w:r>
            <w:r w:rsidR="0028701E" w:rsidRPr="00B95D91">
              <w:rPr>
                <w:color w:val="000000"/>
                <w:lang w:val="en-US"/>
              </w:rPr>
              <w:t>3</w:t>
            </w:r>
            <w:r w:rsidRPr="00B95D91">
              <w:rPr>
                <w:rFonts w:hint="cs"/>
                <w:color w:val="000000"/>
                <w:rtl/>
                <w:lang w:val="en-US"/>
              </w:rPr>
              <w:t>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head"/>
              <w:spacing w:line="280" w:lineRule="exact"/>
              <w:rPr>
                <w:color w:val="000000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B95D91">
              <w:rPr>
                <w:color w:val="000000"/>
                <w:lang w:val="en-US"/>
              </w:rPr>
              <w:t>1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F6352B" w:rsidRPr="00B95D91" w:rsidRDefault="00394032" w:rsidP="00E402C7">
            <w:pPr>
              <w:pStyle w:val="Tabletext"/>
              <w:spacing w:line="280" w:lineRule="exact"/>
              <w:jc w:val="both"/>
              <w:rPr>
                <w:highlight w:val="cyan"/>
                <w:rtl/>
                <w:lang w:val="en-US"/>
              </w:rPr>
            </w:pPr>
            <w:r w:rsidRPr="00B95D91">
              <w:rPr>
                <w:rFonts w:hint="cs"/>
                <w:rtl/>
                <w:lang w:val="en-US" w:bidi="ar-SA"/>
              </w:rPr>
              <w:t xml:space="preserve">مراجعة </w:t>
            </w:r>
            <w:r w:rsidR="00073529" w:rsidRPr="00B95D91">
              <w:rPr>
                <w:rFonts w:hint="cs"/>
                <w:rtl/>
                <w:lang w:val="en-US"/>
              </w:rPr>
              <w:t>ا</w:t>
            </w:r>
            <w:r w:rsidRPr="00B95D91">
              <w:rPr>
                <w:rFonts w:hint="cs"/>
                <w:rtl/>
                <w:lang w:val="en-US" w:bidi="ar-SA"/>
              </w:rPr>
              <w:t xml:space="preserve">لقرار </w:t>
            </w:r>
            <w:r w:rsidRPr="00B95D91">
              <w:rPr>
                <w:lang w:val="en-US"/>
              </w:rPr>
              <w:t>1</w:t>
            </w:r>
            <w:r w:rsidRPr="00B95D91">
              <w:rPr>
                <w:rFonts w:hint="cs"/>
                <w:rtl/>
                <w:lang w:val="en-US"/>
              </w:rPr>
              <w:t xml:space="preserve"> 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  <w:r w:rsidRPr="00B95D91">
              <w:rPr>
                <w:rtl/>
                <w:lang w:val="en-US" w:bidi="ar-SA"/>
              </w:rPr>
              <w:t>النظام الداخلي لقطاع تقييس الاتصالات للاتحاد الدولي</w:t>
            </w:r>
            <w:r w:rsidRPr="00B95D91">
              <w:rPr>
                <w:rFonts w:hint="cs"/>
                <w:rtl/>
                <w:lang w:val="en-US" w:bidi="ar-SA"/>
              </w:rPr>
              <w:t> </w:t>
            </w:r>
            <w:r w:rsidRPr="00B95D91">
              <w:rPr>
                <w:rtl/>
                <w:lang w:val="en-US" w:bidi="ar-SA"/>
              </w:rPr>
              <w:t>للاتصالات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en-US"/>
              </w:rPr>
              <w:t>2</w:t>
            </w:r>
          </w:p>
        </w:tc>
        <w:tc>
          <w:tcPr>
            <w:tcW w:w="5979" w:type="dxa"/>
            <w:vAlign w:val="center"/>
          </w:tcPr>
          <w:p w:rsidR="00F6352B" w:rsidRPr="00B95D91" w:rsidRDefault="00394032" w:rsidP="00E402C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التعاون مع المنظمة الدولية للتوحيد القياسي واللجنة الكهرتقنية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الدولية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3</w:t>
            </w:r>
          </w:p>
        </w:tc>
        <w:tc>
          <w:tcPr>
            <w:tcW w:w="5979" w:type="dxa"/>
            <w:vAlign w:val="center"/>
          </w:tcPr>
          <w:p w:rsidR="00F6352B" w:rsidRPr="00B95D91" w:rsidRDefault="001A21B7" w:rsidP="00E402C7">
            <w:pPr>
              <w:pStyle w:val="Tabletext"/>
              <w:spacing w:line="280" w:lineRule="exact"/>
              <w:jc w:val="both"/>
              <w:rPr>
                <w:color w:val="000000"/>
                <w:lang w:val="en-US" w:bidi="ar-SA"/>
              </w:rPr>
            </w:pPr>
            <w:r w:rsidRPr="00B95D91">
              <w:rPr>
                <w:color w:val="000000"/>
                <w:rtl/>
                <w:lang w:val="en-US" w:bidi="ar-SA"/>
              </w:rPr>
              <w:t xml:space="preserve">مراجعة </w:t>
            </w:r>
            <w:r w:rsidR="00C20A7C">
              <w:rPr>
                <w:rFonts w:hint="cs"/>
                <w:color w:val="000000"/>
                <w:rtl/>
                <w:lang w:val="en-US" w:bidi="ar-SA"/>
              </w:rPr>
              <w:t xml:space="preserve">القرار </w:t>
            </w:r>
            <w:r w:rsidRPr="00B95D91">
              <w:rPr>
                <w:color w:val="000000"/>
                <w:lang w:val="en-US" w:bidi="ar-SA"/>
              </w:rPr>
              <w:t>18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مبادئ وإجراءات توزيع العمل على قطاعي الاتصالات الراديوية وتقييس الاتصالات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للاتحاد الدولي للاتصالات والتنسيق فيما بينهما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4</w:t>
            </w:r>
          </w:p>
        </w:tc>
        <w:tc>
          <w:tcPr>
            <w:tcW w:w="5979" w:type="dxa"/>
            <w:vAlign w:val="center"/>
          </w:tcPr>
          <w:p w:rsidR="00F6352B" w:rsidRPr="00B95D91" w:rsidRDefault="00830E28" w:rsidP="00E402C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57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تعزيز التنسيق والتعاون فيما بين القطاعات الثلاثة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في المسائل ذات الاهتمام المشترك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5</w:t>
            </w:r>
          </w:p>
        </w:tc>
        <w:tc>
          <w:tcPr>
            <w:tcW w:w="5979" w:type="dxa"/>
            <w:vAlign w:val="center"/>
          </w:tcPr>
          <w:p w:rsidR="00F6352B" w:rsidRPr="00B95D91" w:rsidRDefault="00FD3AFE" w:rsidP="00E402C7">
            <w:pPr>
              <w:pStyle w:val="Tabletext"/>
              <w:spacing w:line="280" w:lineRule="exact"/>
              <w:jc w:val="both"/>
              <w:rPr>
                <w:color w:val="000000"/>
                <w:highlight w:val="cyan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 </w:t>
            </w:r>
            <w:r w:rsidRPr="00B95D91">
              <w:rPr>
                <w:color w:val="000000"/>
                <w:lang w:val="en-US"/>
              </w:rPr>
              <w:t>67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rFonts w:hint="cs"/>
                <w:color w:val="000000"/>
                <w:rtl/>
                <w:lang w:val="en-US" w:bidi="ar-SY"/>
              </w:rPr>
              <w:t>استعمال لغات الاتحاد على قدم المساواة في قطاع تقييس الاتصالات للاتحاد الدولي للاتصالات</w:t>
            </w:r>
            <w:r w:rsidR="004F6697"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6352B" w:rsidRPr="00B95D91" w:rsidRDefault="005E7E99" w:rsidP="00B95D91">
            <w:pPr>
              <w:pStyle w:val="Tablehead"/>
              <w:spacing w:line="280" w:lineRule="exact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ثانياً </w:t>
            </w:r>
            <w:r w:rsidRPr="00B95D91">
              <w:rPr>
                <w:color w:val="000000"/>
                <w:rtl/>
                <w:lang w:val="en-US"/>
              </w:rPr>
              <w:t>–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برنامج عمل لجان الدراسات وهيكلها (اللجنة </w:t>
            </w:r>
            <w:r w:rsidR="00622228" w:rsidRPr="00B95D91">
              <w:rPr>
                <w:color w:val="000000"/>
                <w:lang w:val="en-US"/>
              </w:rPr>
              <w:t>4</w:t>
            </w:r>
            <w:r w:rsidRPr="00B95D91">
              <w:rPr>
                <w:rFonts w:hint="cs"/>
                <w:color w:val="000000"/>
                <w:rtl/>
                <w:lang w:val="en-US"/>
              </w:rPr>
              <w:t>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861B9A" w:rsidRPr="00B95D91" w:rsidRDefault="005E7E9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الهيكل المقبل للجان دراسات قطاع تقييس الاتصالات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6</w:t>
            </w:r>
          </w:p>
        </w:tc>
        <w:tc>
          <w:tcPr>
            <w:tcW w:w="5979" w:type="dxa"/>
            <w:vAlign w:val="center"/>
          </w:tcPr>
          <w:p w:rsidR="00F6352B" w:rsidRPr="00B95D91" w:rsidRDefault="00394032" w:rsidP="00B95D91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هيكل ل‍جان دراسات قطاع تقييس الاتصالات</w:t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7</w:t>
            </w:r>
          </w:p>
        </w:tc>
        <w:tc>
          <w:tcPr>
            <w:tcW w:w="5979" w:type="dxa"/>
            <w:vAlign w:val="center"/>
          </w:tcPr>
          <w:p w:rsidR="00F6352B" w:rsidRPr="00B95D91" w:rsidRDefault="00141776" w:rsidP="00B95D91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إنهاء عمل لجنة الاستعراض</w:t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326DDA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8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مراجعة للقرار </w:t>
            </w:r>
            <w:r w:rsidRPr="00B95D91">
              <w:rPr>
                <w:color w:val="000000"/>
                <w:lang w:val="en-US"/>
              </w:rPr>
              <w:t>54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="00264AF2"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إنشاء أفرقة إقليمية ومساعدتها</w:t>
            </w:r>
            <w:r w:rsidR="00264AF2"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26DDA" w:rsidRPr="00B95D91" w:rsidRDefault="00326DD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E078F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FE078F" w:rsidRPr="00B95D91" w:rsidRDefault="00FE078F" w:rsidP="00B95D91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FE078F" w:rsidRPr="00B95D91" w:rsidRDefault="005E7E9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مسائل تتعلق بالقمة العالمية لمجتمع المعلومات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FE078F" w:rsidRPr="00B95D91" w:rsidRDefault="00FE078F" w:rsidP="00B95D91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9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930BDF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75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مساهمة قطاع تقييس الاتصالات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في تنفيذ نواتج القمة العالمية لمجتمع المعلومات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861B9A" w:rsidRPr="00C20A7C" w:rsidRDefault="005E7E99" w:rsidP="00C20A7C">
            <w:pPr>
              <w:pStyle w:val="Tablehead"/>
              <w:keepNext/>
              <w:spacing w:line="280" w:lineRule="exact"/>
              <w:rPr>
                <w:color w:val="000000"/>
              </w:rPr>
            </w:pPr>
            <w:r w:rsidRPr="00C20A7C">
              <w:rPr>
                <w:rFonts w:hint="cs"/>
                <w:color w:val="000000"/>
                <w:rtl/>
                <w:lang w:val="en-US"/>
              </w:rPr>
              <w:t>المطابقة وقابلية التشغيل البيني</w:t>
            </w:r>
            <w:r w:rsidR="00C20A7C" w:rsidRPr="00C20A7C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C20A7C" w:rsidRPr="00C20A7C">
              <w:rPr>
                <w:color w:val="000000"/>
                <w:lang w:val="en-US"/>
              </w:rPr>
              <w:t>(C&amp;I)</w:t>
            </w:r>
            <w:r w:rsidRPr="00C20A7C">
              <w:rPr>
                <w:rFonts w:hint="cs"/>
                <w:color w:val="000000"/>
                <w:rtl/>
                <w:lang w:val="en-US"/>
              </w:rPr>
              <w:t xml:space="preserve"> ومكافحة المنتجات المزيفة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10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52B" w:rsidRPr="00B95D91" w:rsidRDefault="00394032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مشروع قرار جديد للجمعية العالمية لتقييس الاتصالات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4720A7" w:rsidRPr="00B95D91">
              <w:rPr>
                <w:rFonts w:hint="cs"/>
                <w:color w:val="000000"/>
                <w:rtl/>
                <w:lang w:val="en-US"/>
              </w:rPr>
              <w:t>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مكافحة سرقة الأجهزة المتنقلة باستخدام تكنولوجيا المعلومات والاتصالات المتقدمة</w:t>
            </w:r>
            <w:r w:rsidR="004720A7"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11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52B" w:rsidRPr="00B95D91" w:rsidRDefault="00394032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مشروع قرار جديد للجمعية العالمية لتقييس الاتصالات </w:t>
            </w:r>
            <w:r w:rsidR="004720A7"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دراسات بشأن مكافحة المنتجات الزائفة بما فيها أجهزة الاتصالات/تكنولوجيا المعلومات والاتصالات</w:t>
            </w:r>
            <w:r w:rsidR="004720A7"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12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4720A7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76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الاتحاد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861B9A" w:rsidRPr="00B95D91" w:rsidRDefault="005E7E9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إدارة الموارد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13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52B" w:rsidRPr="00B95D91" w:rsidRDefault="004720A7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مشروع قرار جديد للجمعية العالمية لتقييس الاتصالات "دراسات تتعلق بحماية مستعملي خدمات الاتصالات/تكنولوجيا المعلومات والاتصالات"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14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4720A7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 w:bidi="ar-SA"/>
              </w:rPr>
              <w:t xml:space="preserve">مراجعة </w:t>
            </w:r>
            <w:r w:rsidR="005E4EA6">
              <w:rPr>
                <w:rFonts w:hint="cs"/>
                <w:color w:val="000000"/>
                <w:rtl/>
                <w:lang w:val="en-US" w:bidi="ar-SA"/>
              </w:rPr>
              <w:t>ا</w:t>
            </w:r>
            <w:r w:rsidRPr="00B95D91">
              <w:rPr>
                <w:color w:val="000000"/>
                <w:rtl/>
                <w:lang w:val="en-US" w:bidi="ar-SA"/>
              </w:rPr>
              <w:t>لقرار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lang w:val="en-US"/>
              </w:rPr>
              <w:t>20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إجراءات تخصيص وإدارة الموارد الدولية للترقيم والتسمية والعنونة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وتحديد الهوية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في مجال الاتصالات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15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2F50A1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29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إجراءات النداء البديلة على شبكات الاتصالات الدولية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16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41493D" w:rsidRDefault="004720A7" w:rsidP="00003B97">
            <w:pPr>
              <w:pStyle w:val="Tabletext"/>
              <w:spacing w:line="280" w:lineRule="exact"/>
              <w:jc w:val="both"/>
              <w:rPr>
                <w:color w:val="000000"/>
                <w:spacing w:val="4"/>
                <w:lang w:val="en-US"/>
              </w:rPr>
            </w:pPr>
            <w:r w:rsidRPr="0041493D">
              <w:rPr>
                <w:rFonts w:hint="cs"/>
                <w:color w:val="000000"/>
                <w:spacing w:val="4"/>
                <w:rtl/>
                <w:lang w:val="en-US" w:bidi="ar-SA"/>
              </w:rPr>
              <w:t xml:space="preserve">مراجعة القرار </w:t>
            </w:r>
            <w:r w:rsidRPr="0041493D">
              <w:rPr>
                <w:color w:val="000000"/>
                <w:spacing w:val="4"/>
                <w:lang w:val="en-US"/>
              </w:rPr>
              <w:t>61</w:t>
            </w:r>
            <w:r w:rsidRPr="0041493D">
              <w:rPr>
                <w:rFonts w:hint="cs"/>
                <w:color w:val="000000"/>
                <w:spacing w:val="4"/>
                <w:rtl/>
                <w:lang w:val="en-US"/>
              </w:rPr>
              <w:t xml:space="preserve"> "</w:t>
            </w:r>
            <w:r w:rsidRPr="0041493D">
              <w:rPr>
                <w:rFonts w:hint="cs"/>
                <w:color w:val="000000"/>
                <w:spacing w:val="4"/>
                <w:rtl/>
                <w:lang w:val="en-US" w:bidi="ar-SA"/>
              </w:rPr>
              <w:t>مواجهة ومكافحة سوء استغلال وسوء استعمال موارد الترقيم الدولية للاتصالات</w:t>
            </w:r>
            <w:r w:rsidR="001137EF" w:rsidRPr="0041493D">
              <w:rPr>
                <w:rFonts w:hint="cs"/>
                <w:color w:val="000000"/>
                <w:spacing w:val="4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cantSplit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17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15422" w:rsidRDefault="00166AA7" w:rsidP="00003B97">
            <w:pPr>
              <w:pStyle w:val="Tabletext"/>
              <w:spacing w:line="280" w:lineRule="exact"/>
              <w:jc w:val="both"/>
              <w:rPr>
                <w:color w:val="000000"/>
                <w:spacing w:val="4"/>
                <w:lang w:val="en-US" w:bidi="ar-SA"/>
              </w:rPr>
            </w:pPr>
            <w:r w:rsidRPr="00B15422">
              <w:rPr>
                <w:color w:val="000000"/>
                <w:spacing w:val="4"/>
                <w:rtl/>
                <w:lang w:val="en-US" w:bidi="ar-SA"/>
              </w:rPr>
              <w:t xml:space="preserve">مراجعة القرار </w:t>
            </w:r>
            <w:r w:rsidRPr="00B15422">
              <w:rPr>
                <w:color w:val="000000"/>
                <w:spacing w:val="4"/>
                <w:lang w:val="en-US" w:bidi="ar-SA"/>
              </w:rPr>
              <w:t>65</w:t>
            </w:r>
            <w:r w:rsidRPr="00B15422">
              <w:rPr>
                <w:rFonts w:hint="cs"/>
                <w:color w:val="000000"/>
                <w:spacing w:val="4"/>
                <w:rtl/>
                <w:lang w:val="en-US" w:bidi="ar-SA"/>
              </w:rPr>
              <w:t xml:space="preserve"> </w:t>
            </w:r>
            <w:r w:rsidR="00C04FF8" w:rsidRPr="00B15422">
              <w:rPr>
                <w:rFonts w:hint="cs"/>
                <w:color w:val="000000"/>
                <w:spacing w:val="4"/>
                <w:rtl/>
                <w:lang w:val="en-US" w:bidi="ar-SA"/>
              </w:rPr>
              <w:t>"</w:t>
            </w:r>
            <w:r w:rsidRPr="00B15422">
              <w:rPr>
                <w:color w:val="000000"/>
                <w:spacing w:val="4"/>
                <w:rtl/>
                <w:lang w:val="en-US" w:bidi="ar-SA"/>
              </w:rPr>
              <w:t>توفير رقم الطرف طالب النداء وتعرف هوية الخط الطالب وتحديد منشأ الاتصال</w:t>
            </w:r>
            <w:r w:rsidR="00C04FF8" w:rsidRPr="00B15422">
              <w:rPr>
                <w:rFonts w:hint="cs"/>
                <w:color w:val="000000"/>
                <w:spacing w:val="4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18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166AA7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>مشروع قرار جديد للجمعية العالمية لتقييس الاتصالات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  <w:r w:rsidRPr="00B95D91">
              <w:rPr>
                <w:color w:val="000000"/>
                <w:rtl/>
                <w:lang w:val="en-US"/>
              </w:rPr>
              <w:t>إنشاء قاعدة بيانات عالمية لقطاع تقييس الاتصالات تضم الأرقام الهاتفية الموزَّعة/المعيَّنة في خطط الترقيم الوطنية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19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07868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64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توزيع عناوين بروتوكول الإنترنت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وتسهيل الانتقال إلى الإصدار السادس لبروتوكول الإنترنت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(IPv6)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ونشره"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861B9A" w:rsidRPr="00B95D91" w:rsidRDefault="005E7E99" w:rsidP="00B95D91">
            <w:pPr>
              <w:pStyle w:val="Tablehead"/>
              <w:keepNext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أعمال التقييس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keepNext/>
              <w:spacing w:line="280" w:lineRule="exact"/>
              <w:rPr>
                <w:color w:val="000000"/>
                <w:lang w:val="ru-RU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B95D91">
              <w:rPr>
                <w:color w:val="000000"/>
                <w:lang w:val="ru-RU"/>
              </w:rPr>
              <w:t>20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F6352B" w:rsidRPr="00B95D91" w:rsidRDefault="001472E5" w:rsidP="00003B97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  <w:r w:rsidRPr="00B95D91">
              <w:rPr>
                <w:color w:val="000000"/>
                <w:rtl/>
                <w:lang w:val="en-US"/>
              </w:rPr>
              <w:t>أعمال التقييس المتعلقة بالتوصيل الشبكي المعرّف بالبرمجيات في</w:t>
            </w:r>
            <w:r w:rsidRPr="00B95D91">
              <w:rPr>
                <w:rFonts w:hint="cs"/>
                <w:color w:val="000000"/>
                <w:rtl/>
                <w:lang w:val="en-US"/>
              </w:rPr>
              <w:t> </w:t>
            </w:r>
            <w:r w:rsidRPr="00B95D91">
              <w:rPr>
                <w:color w:val="000000"/>
                <w:rtl/>
                <w:lang w:val="en-US"/>
              </w:rPr>
              <w:t>قطاع تقييس الاتصالات للاتحاد الدولي للاتصالات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861B9A" w:rsidRPr="00B95D91" w:rsidRDefault="005E7E99" w:rsidP="00756229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سد الفجوة </w:t>
            </w:r>
            <w:r w:rsidR="00756229">
              <w:rPr>
                <w:rFonts w:hint="cs"/>
                <w:color w:val="000000"/>
                <w:rtl/>
                <w:lang w:val="en-US"/>
              </w:rPr>
              <w:t>الرقمية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21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F6352B" w:rsidRPr="00B95D91" w:rsidRDefault="0035213F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</w:t>
            </w:r>
            <w:r w:rsidR="00364239">
              <w:rPr>
                <w:rFonts w:hint="cs"/>
                <w:color w:val="000000"/>
                <w:rtl/>
                <w:lang w:val="en-US"/>
              </w:rPr>
              <w:t>ا</w:t>
            </w:r>
            <w:r w:rsidRPr="00B95D91">
              <w:rPr>
                <w:color w:val="000000"/>
                <w:rtl/>
                <w:lang w:val="en-US"/>
              </w:rPr>
              <w:t xml:space="preserve">لقرار </w:t>
            </w:r>
            <w:r w:rsidRPr="00B95D91">
              <w:rPr>
                <w:color w:val="000000"/>
                <w:lang w:val="en-US"/>
              </w:rPr>
              <w:t>44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  <w:r w:rsidRPr="00B95D91">
              <w:rPr>
                <w:color w:val="000000"/>
                <w:rtl/>
                <w:lang w:val="en-US"/>
              </w:rPr>
              <w:t>سد الفجوة التقييسية بين البلدان النامية والبلدان المتقدمة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من حيث إقامة مراكز اختبار في البلدان النامية</w:t>
            </w:r>
            <w:r w:rsidR="003F6B8D"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861B9A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861B9A" w:rsidRPr="00B95D91" w:rsidRDefault="00E91B2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مسائل أخرى (تنظيمية وسياساتية واقتصادية)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861B9A" w:rsidRPr="00B95D91" w:rsidRDefault="00861B9A" w:rsidP="00B95D91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22</w:t>
            </w:r>
          </w:p>
        </w:tc>
        <w:tc>
          <w:tcPr>
            <w:tcW w:w="5979" w:type="dxa"/>
            <w:vAlign w:val="center"/>
          </w:tcPr>
          <w:p w:rsidR="00F6352B" w:rsidRPr="00B95D91" w:rsidRDefault="00D474C4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rtl/>
                <w:lang w:val="en-US" w:bidi="ar-SA"/>
              </w:rPr>
              <w:t>قرار جديد للجمعية العالمية لتقييس الاتصالات "</w:t>
            </w:r>
            <w:r w:rsidRPr="00B95D91">
              <w:rPr>
                <w:rtl/>
                <w:lang w:val="en-US" w:bidi="ar-SA"/>
              </w:rPr>
              <w:t xml:space="preserve">التوصيل البيني </w:t>
            </w:r>
            <w:r w:rsidRPr="00B95D91">
              <w:rPr>
                <w:rFonts w:hint="cs"/>
                <w:rtl/>
                <w:lang w:val="en-US" w:bidi="ar-SA"/>
              </w:rPr>
              <w:t xml:space="preserve">لشبكات الجيل الرابع وشبكات </w:t>
            </w:r>
            <w:r w:rsidRPr="00B95D91">
              <w:rPr>
                <w:rtl/>
                <w:lang w:val="en-US" w:bidi="ar-SA"/>
              </w:rPr>
              <w:t>الجيل الخامس/الاتصالات</w:t>
            </w:r>
            <w:r w:rsidRPr="00B95D91">
              <w:rPr>
                <w:rFonts w:hint="cs"/>
                <w:rtl/>
                <w:lang w:val="en-US" w:bidi="ar-SA"/>
              </w:rPr>
              <w:t xml:space="preserve"> المتنقلة الدولية</w:t>
            </w:r>
            <w:r w:rsidRPr="00B95D91">
              <w:rPr>
                <w:rtl/>
                <w:lang w:val="en-US" w:bidi="ar-SA"/>
              </w:rPr>
              <w:noBreakHyphen/>
            </w:r>
            <w:r w:rsidRPr="00B95D91">
              <w:rPr>
                <w:lang w:val="en-US" w:bidi="ar-SA"/>
              </w:rPr>
              <w:t>2020</w:t>
            </w:r>
            <w:r w:rsidRPr="00B95D91">
              <w:rPr>
                <w:rFonts w:hint="cs"/>
                <w:rtl/>
                <w:lang w:val="en-US" w:bidi="ar-SA"/>
              </w:rPr>
              <w:t xml:space="preserve"> </w:t>
            </w:r>
            <w:r w:rsidRPr="00B95D91">
              <w:rPr>
                <w:rtl/>
                <w:lang w:val="en-US" w:bidi="ar-SA"/>
              </w:rPr>
              <w:t>وما</w:t>
            </w:r>
            <w:r w:rsidRPr="00B95D91">
              <w:rPr>
                <w:rFonts w:hint="cs"/>
                <w:rtl/>
                <w:lang w:val="en-US" w:bidi="ar-SA"/>
              </w:rPr>
              <w:t> </w:t>
            </w:r>
            <w:r w:rsidRPr="00B95D91">
              <w:rPr>
                <w:rtl/>
                <w:lang w:val="en-US" w:bidi="ar-SA"/>
              </w:rPr>
              <w:t>بعدها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23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F6352B" w:rsidRPr="00B95D91" w:rsidRDefault="00372B6D" w:rsidP="00003B97">
            <w:pPr>
              <w:pStyle w:val="Tabletext"/>
              <w:spacing w:line="280" w:lineRule="exact"/>
              <w:jc w:val="both"/>
              <w:rPr>
                <w:spacing w:val="-4"/>
                <w:lang w:val="en-US"/>
              </w:rPr>
            </w:pPr>
            <w:r w:rsidRPr="00B95D91">
              <w:rPr>
                <w:spacing w:val="-4"/>
                <w:rtl/>
                <w:lang w:val="en-US"/>
              </w:rPr>
              <w:t xml:space="preserve">مراجعة القرار </w:t>
            </w:r>
            <w:r w:rsidRPr="00B95D91">
              <w:rPr>
                <w:spacing w:val="-4"/>
                <w:lang w:val="en-US"/>
              </w:rPr>
              <w:t>2</w:t>
            </w:r>
            <w:r w:rsidRPr="00B95D91">
              <w:rPr>
                <w:rFonts w:hint="cs"/>
                <w:spacing w:val="-4"/>
                <w:rtl/>
                <w:lang w:val="en-US"/>
              </w:rPr>
              <w:t xml:space="preserve"> </w:t>
            </w:r>
            <w:r w:rsidR="003F6B8D" w:rsidRPr="00B95D91">
              <w:rPr>
                <w:rFonts w:hint="cs"/>
                <w:spacing w:val="-4"/>
                <w:rtl/>
                <w:lang w:val="en-US"/>
              </w:rPr>
              <w:t>"</w:t>
            </w:r>
            <w:r w:rsidRPr="00B95D91">
              <w:rPr>
                <w:spacing w:val="-4"/>
                <w:rtl/>
                <w:lang w:val="en-US"/>
              </w:rPr>
              <w:t>مسؤوليات لجان دراسات قطاع تقييس الاتصالات</w:t>
            </w:r>
            <w:r w:rsidR="003F6B8D" w:rsidRPr="00B95D91">
              <w:rPr>
                <w:rFonts w:hint="cs"/>
                <w:spacing w:val="-4"/>
                <w:rtl/>
                <w:lang w:val="en-US"/>
              </w:rPr>
              <w:t> </w:t>
            </w:r>
            <w:r w:rsidRPr="00B95D91">
              <w:rPr>
                <w:color w:val="000000"/>
                <w:spacing w:val="-4"/>
                <w:rtl/>
                <w:lang w:val="en-US"/>
              </w:rPr>
              <w:t>واختصاصاتها</w:t>
            </w:r>
            <w:r w:rsidR="003F6B8D" w:rsidRPr="00B95D91">
              <w:rPr>
                <w:rFonts w:hint="cs"/>
                <w:color w:val="000000"/>
                <w:spacing w:val="-4"/>
                <w:rtl/>
                <w:lang w:val="en-US"/>
              </w:rPr>
              <w:t>"</w:t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en-US"/>
              </w:rPr>
              <w:t>2</w:t>
            </w:r>
            <w:r w:rsidRPr="00B95D91">
              <w:rPr>
                <w:lang w:val="ru-RU"/>
              </w:rPr>
              <w:t>4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F6352B" w:rsidRPr="00342E99" w:rsidRDefault="00141776" w:rsidP="00003B97">
            <w:pPr>
              <w:pStyle w:val="Tabletext"/>
              <w:spacing w:line="280" w:lineRule="exact"/>
              <w:jc w:val="both"/>
              <w:rPr>
                <w:spacing w:val="-8"/>
                <w:lang w:val="en-US"/>
              </w:rPr>
            </w:pPr>
            <w:r w:rsidRPr="00342E99">
              <w:rPr>
                <w:rFonts w:hint="cs"/>
                <w:spacing w:val="-8"/>
                <w:rtl/>
                <w:lang w:val="en-US" w:bidi="ar-SA"/>
              </w:rPr>
              <w:t xml:space="preserve">مراجعة التوصية </w:t>
            </w:r>
            <w:r w:rsidRPr="00342E99">
              <w:rPr>
                <w:spacing w:val="-8"/>
                <w:lang w:val="en-US"/>
              </w:rPr>
              <w:t>ITU-T A.12</w:t>
            </w:r>
            <w:r w:rsidRPr="00342E99">
              <w:rPr>
                <w:rFonts w:hint="cs"/>
                <w:spacing w:val="-8"/>
                <w:rtl/>
                <w:lang w:val="en-US"/>
              </w:rPr>
              <w:t xml:space="preserve"> "</w:t>
            </w:r>
            <w:r w:rsidRPr="00342E99">
              <w:rPr>
                <w:rFonts w:hint="cs"/>
                <w:spacing w:val="-8"/>
                <w:rtl/>
                <w:lang w:val="en-US" w:bidi="ar-SA"/>
              </w:rPr>
              <w:t>تعريف التوصيات الصادرة عن قطاع تقييس الاتصالات</w:t>
            </w:r>
            <w:r w:rsidR="00DA16DE" w:rsidRPr="00342E99">
              <w:rPr>
                <w:rFonts w:hint="eastAsia"/>
                <w:spacing w:val="-8"/>
                <w:rtl/>
                <w:lang w:val="en-US" w:bidi="ar-SA"/>
              </w:rPr>
              <w:t> </w:t>
            </w:r>
            <w:r w:rsidRPr="00342E99">
              <w:rPr>
                <w:rFonts w:hint="cs"/>
                <w:spacing w:val="-8"/>
                <w:rtl/>
                <w:lang w:val="en-US" w:bidi="ar-SA"/>
              </w:rPr>
              <w:t>وتنسيقها"</w:t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</w:p>
        </w:tc>
      </w:tr>
      <w:tr w:rsidR="00F6352B" w:rsidRPr="00B95D91" w:rsidTr="00DC2451">
        <w:trPr>
          <w:cantSplit/>
          <w:jc w:val="center"/>
        </w:trPr>
        <w:tc>
          <w:tcPr>
            <w:tcW w:w="1384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</w:t>
            </w:r>
            <w:r w:rsidRPr="00B95D91">
              <w:rPr>
                <w:lang w:val="en-US"/>
              </w:rPr>
              <w:t>5</w:t>
            </w:r>
          </w:p>
        </w:tc>
        <w:tc>
          <w:tcPr>
            <w:tcW w:w="5979" w:type="dxa"/>
            <w:vAlign w:val="center"/>
          </w:tcPr>
          <w:p w:rsidR="00F6352B" w:rsidRPr="00B95D91" w:rsidRDefault="00141776" w:rsidP="00003B97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rtl/>
                <w:lang w:val="en-US" w:bidi="ar-SA"/>
              </w:rPr>
              <w:t>قرار جديد للجمعية العالمية لتقييس الاتصالات "مشاركة قطاع تقييس الاتصالات في</w:t>
            </w:r>
            <w:r w:rsidRPr="00B95D91">
              <w:rPr>
                <w:rFonts w:hint="eastAsia"/>
                <w:rtl/>
                <w:lang w:val="en-US" w:bidi="ar-SA"/>
              </w:rPr>
              <w:t> </w:t>
            </w:r>
            <w:r w:rsidRPr="00B95D91">
              <w:rPr>
                <w:rFonts w:hint="cs"/>
                <w:rtl/>
                <w:lang w:val="en-US" w:bidi="ar-SA"/>
              </w:rPr>
              <w:t>استعراض لوائح الاتصالات الدولية ومراجعتها بصورة دورية"</w:t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B0248B" w:rsidP="00B95D91">
            <w:pPr>
              <w:pStyle w:val="Tabletext"/>
              <w:spacing w:line="280" w:lineRule="exact"/>
              <w:rPr>
                <w:lang w:val="en-US"/>
              </w:rPr>
            </w:pPr>
            <w:r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F6352B" w:rsidRPr="00B95D91" w:rsidRDefault="00F6352B" w:rsidP="00B95D91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</w:tbl>
    <w:p w:rsidR="00A76850" w:rsidRDefault="00A76850" w:rsidP="00A76850">
      <w:pPr>
        <w:rPr>
          <w:rtl/>
          <w:lang w:bidi="ar-EG"/>
        </w:rPr>
      </w:pPr>
      <w:r>
        <w:rPr>
          <w:rFonts w:hint="cs"/>
          <w:rtl/>
          <w:lang w:bidi="ar-EG"/>
        </w:rPr>
        <w:t>شرح الرموز:</w:t>
      </w:r>
    </w:p>
    <w:p w:rsidR="00A76850" w:rsidRDefault="00B0248B" w:rsidP="00B0248B">
      <w:pPr>
        <w:tabs>
          <w:tab w:val="clear" w:pos="1134"/>
          <w:tab w:val="left" w:pos="680"/>
          <w:tab w:val="left" w:pos="1105"/>
        </w:tabs>
        <w:rPr>
          <w:rFonts w:hint="cs"/>
          <w:rtl/>
          <w:lang w:bidi="ar-EG"/>
        </w:rPr>
      </w:pPr>
      <w:r>
        <w:rPr>
          <w:rFonts w:eastAsia="Calibri"/>
          <w:color w:val="000000"/>
          <w:szCs w:val="28"/>
        </w:rPr>
        <w:t>"</w:t>
      </w:r>
      <w:r w:rsidR="00A76850">
        <w:rPr>
          <w:rFonts w:eastAsia="Calibri"/>
          <w:color w:val="000000"/>
          <w:szCs w:val="28"/>
        </w:rPr>
        <w:sym w:font="Wingdings" w:char="F0FC"/>
      </w:r>
      <w:r>
        <w:rPr>
          <w:rFonts w:eastAsia="Calibri"/>
          <w:color w:val="000000"/>
          <w:szCs w:val="28"/>
        </w:rPr>
        <w:t>"</w:t>
      </w:r>
      <w:r w:rsidR="00A76850">
        <w:rPr>
          <w:rFonts w:hint="cs"/>
          <w:rtl/>
          <w:lang w:bidi="ar-EG"/>
        </w:rPr>
        <w:tab/>
        <w:t>-</w:t>
      </w:r>
      <w:r w:rsidR="00A76850">
        <w:rPr>
          <w:rFonts w:hint="cs"/>
          <w:rtl/>
          <w:lang w:bidi="ar-EG"/>
        </w:rPr>
        <w:tab/>
        <w:t>إدارة تؤيد المقترح</w:t>
      </w:r>
    </w:p>
    <w:p w:rsidR="00251DEA" w:rsidRDefault="00251DEA" w:rsidP="00251DEA">
      <w:pPr>
        <w:pStyle w:val="Reasons"/>
        <w:rPr>
          <w:rFonts w:hint="cs"/>
          <w:rtl/>
          <w:lang w:bidi="ar-EG"/>
        </w:rPr>
      </w:pPr>
    </w:p>
    <w:p w:rsidR="00251DEA" w:rsidRPr="00251DEA" w:rsidRDefault="00E60236" w:rsidP="00251DE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51DEA" w:rsidRPr="00251DEA" w:rsidSect="00C20A7C">
      <w:headerReference w:type="first" r:id="rId15"/>
      <w:pgSz w:w="1684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37587" w:rsidRDefault="00E07379" w:rsidP="005431CF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3758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5431CF">
      <w:rPr>
        <w:rFonts w:cs="Times New Roman"/>
        <w:noProof/>
        <w:sz w:val="16"/>
        <w:szCs w:val="16"/>
        <w:lang w:val="fr-CH"/>
      </w:rPr>
      <w:t>P:\ARA\ITU-T\CONF-T\WTSA16\000\047A.docx</w:t>
    </w:r>
    <w:r w:rsidRPr="00E07379">
      <w:rPr>
        <w:rFonts w:cs="Times New Roman"/>
        <w:sz w:val="16"/>
        <w:szCs w:val="16"/>
      </w:rPr>
      <w:fldChar w:fldCharType="end"/>
    </w:r>
    <w:r w:rsidR="005431CF">
      <w:rPr>
        <w:rFonts w:cs="Times New Roman"/>
        <w:sz w:val="16"/>
        <w:szCs w:val="16"/>
        <w:lang w:val="fr-CH"/>
      </w:rPr>
      <w:t>   </w:t>
    </w:r>
    <w:r w:rsidR="00937587" w:rsidRPr="00937587">
      <w:rPr>
        <w:rFonts w:cs="Times New Roman"/>
        <w:sz w:val="16"/>
        <w:szCs w:val="16"/>
        <w:lang w:val="fr-CH"/>
      </w:rPr>
      <w:t>(400976)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37587" w:rsidRDefault="0022345D" w:rsidP="006D03B6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3758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6D03B6">
      <w:rPr>
        <w:noProof/>
        <w:szCs w:val="12"/>
        <w:lang w:val="fr-CH"/>
      </w:rPr>
      <w:t>P:\ARA\ITU-T\CONF-T\WTSA16\000\047A.docx</w:t>
    </w:r>
    <w:r w:rsidRPr="0022345D">
      <w:rPr>
        <w:szCs w:val="12"/>
      </w:rPr>
      <w:fldChar w:fldCharType="end"/>
    </w:r>
    <w:r w:rsidR="006D03B6">
      <w:rPr>
        <w:szCs w:val="12"/>
        <w:lang w:val="fr-CH"/>
      </w:rPr>
      <w:t>   </w:t>
    </w:r>
    <w:r w:rsidR="00937587" w:rsidRPr="00937587">
      <w:rPr>
        <w:szCs w:val="12"/>
        <w:lang w:val="fr-CH"/>
      </w:rPr>
      <w:t>(400976)</w:t>
    </w:r>
  </w:p>
  <w:p w:rsidR="00E07379" w:rsidRPr="00937587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B621BA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WTSA16/47-A</w:t>
    </w:r>
  </w:p>
  <w:p w:rsidR="002E3E3F" w:rsidRDefault="002E3E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C1" w:rsidRPr="00F6352B" w:rsidRDefault="00551AC1" w:rsidP="00F6352B">
    <w:pPr>
      <w:bidi w:val="0"/>
      <w:spacing w:after="360" w:line="240" w:lineRule="auto"/>
      <w:jc w:val="center"/>
      <w:rPr>
        <w:rFonts w:cs="Times New Roman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A31E1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WTSA16/47-A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B97"/>
    <w:rsid w:val="000124CC"/>
    <w:rsid w:val="00034BE3"/>
    <w:rsid w:val="0004094A"/>
    <w:rsid w:val="00046444"/>
    <w:rsid w:val="0006023B"/>
    <w:rsid w:val="000629DF"/>
    <w:rsid w:val="00073529"/>
    <w:rsid w:val="0008638B"/>
    <w:rsid w:val="00090574"/>
    <w:rsid w:val="00092FC2"/>
    <w:rsid w:val="000A1677"/>
    <w:rsid w:val="000A716D"/>
    <w:rsid w:val="000B407F"/>
    <w:rsid w:val="000B6600"/>
    <w:rsid w:val="000F0B1C"/>
    <w:rsid w:val="000F1D42"/>
    <w:rsid w:val="000F4D07"/>
    <w:rsid w:val="00102A03"/>
    <w:rsid w:val="001040A3"/>
    <w:rsid w:val="001137EF"/>
    <w:rsid w:val="00141776"/>
    <w:rsid w:val="001472E5"/>
    <w:rsid w:val="00166AA7"/>
    <w:rsid w:val="00173915"/>
    <w:rsid w:val="001A21B7"/>
    <w:rsid w:val="0022345D"/>
    <w:rsid w:val="00225854"/>
    <w:rsid w:val="0023283D"/>
    <w:rsid w:val="00251DEA"/>
    <w:rsid w:val="00252E0C"/>
    <w:rsid w:val="00264AF2"/>
    <w:rsid w:val="00276881"/>
    <w:rsid w:val="0028701E"/>
    <w:rsid w:val="002978F4"/>
    <w:rsid w:val="002B028D"/>
    <w:rsid w:val="002B435E"/>
    <w:rsid w:val="002C4DAE"/>
    <w:rsid w:val="002E3E3F"/>
    <w:rsid w:val="002E6541"/>
    <w:rsid w:val="002F50A1"/>
    <w:rsid w:val="002F5560"/>
    <w:rsid w:val="0030486B"/>
    <w:rsid w:val="003231B9"/>
    <w:rsid w:val="00326DDA"/>
    <w:rsid w:val="003275AC"/>
    <w:rsid w:val="00333D29"/>
    <w:rsid w:val="003409F4"/>
    <w:rsid w:val="00342E99"/>
    <w:rsid w:val="0035213F"/>
    <w:rsid w:val="00357185"/>
    <w:rsid w:val="00364239"/>
    <w:rsid w:val="00372B6D"/>
    <w:rsid w:val="00394032"/>
    <w:rsid w:val="003947CB"/>
    <w:rsid w:val="00395ABC"/>
    <w:rsid w:val="003C475F"/>
    <w:rsid w:val="003E4132"/>
    <w:rsid w:val="003F678F"/>
    <w:rsid w:val="003F6B8D"/>
    <w:rsid w:val="0041493D"/>
    <w:rsid w:val="0042686F"/>
    <w:rsid w:val="004367CE"/>
    <w:rsid w:val="00443869"/>
    <w:rsid w:val="004712C6"/>
    <w:rsid w:val="004720A7"/>
    <w:rsid w:val="00497703"/>
    <w:rsid w:val="004F0F06"/>
    <w:rsid w:val="004F6697"/>
    <w:rsid w:val="00501E0E"/>
    <w:rsid w:val="00513572"/>
    <w:rsid w:val="005204D7"/>
    <w:rsid w:val="00530420"/>
    <w:rsid w:val="005431CF"/>
    <w:rsid w:val="00551AC1"/>
    <w:rsid w:val="00552BC5"/>
    <w:rsid w:val="0055516A"/>
    <w:rsid w:val="0056374C"/>
    <w:rsid w:val="0056614F"/>
    <w:rsid w:val="005712E3"/>
    <w:rsid w:val="0057656F"/>
    <w:rsid w:val="00576731"/>
    <w:rsid w:val="0059285F"/>
    <w:rsid w:val="005A24B1"/>
    <w:rsid w:val="005B7B8A"/>
    <w:rsid w:val="005D19C5"/>
    <w:rsid w:val="005D6476"/>
    <w:rsid w:val="005D6C0D"/>
    <w:rsid w:val="005E4EA6"/>
    <w:rsid w:val="005E5283"/>
    <w:rsid w:val="005E58F5"/>
    <w:rsid w:val="005E7E99"/>
    <w:rsid w:val="00606660"/>
    <w:rsid w:val="006157A3"/>
    <w:rsid w:val="00620E60"/>
    <w:rsid w:val="00622228"/>
    <w:rsid w:val="0063315A"/>
    <w:rsid w:val="0065591D"/>
    <w:rsid w:val="00662C5A"/>
    <w:rsid w:val="00670AF5"/>
    <w:rsid w:val="006C1556"/>
    <w:rsid w:val="006D03B6"/>
    <w:rsid w:val="006D2B4D"/>
    <w:rsid w:val="006F267F"/>
    <w:rsid w:val="006F63F7"/>
    <w:rsid w:val="006F6F03"/>
    <w:rsid w:val="00706D7A"/>
    <w:rsid w:val="00722725"/>
    <w:rsid w:val="00726AEC"/>
    <w:rsid w:val="007530CA"/>
    <w:rsid w:val="00756229"/>
    <w:rsid w:val="0079553D"/>
    <w:rsid w:val="007B01CC"/>
    <w:rsid w:val="007F6238"/>
    <w:rsid w:val="007F646C"/>
    <w:rsid w:val="00801FCD"/>
    <w:rsid w:val="00803D7E"/>
    <w:rsid w:val="00803F08"/>
    <w:rsid w:val="008235CD"/>
    <w:rsid w:val="00823A07"/>
    <w:rsid w:val="00830E28"/>
    <w:rsid w:val="00835FEC"/>
    <w:rsid w:val="008513CB"/>
    <w:rsid w:val="00861B9A"/>
    <w:rsid w:val="00874D9C"/>
    <w:rsid w:val="008A1810"/>
    <w:rsid w:val="00917694"/>
    <w:rsid w:val="009263CD"/>
    <w:rsid w:val="00930BDF"/>
    <w:rsid w:val="00930E6D"/>
    <w:rsid w:val="00937587"/>
    <w:rsid w:val="00972CA2"/>
    <w:rsid w:val="00982B28"/>
    <w:rsid w:val="00984EA5"/>
    <w:rsid w:val="00992593"/>
    <w:rsid w:val="009C17E1"/>
    <w:rsid w:val="009C35ED"/>
    <w:rsid w:val="009F1C12"/>
    <w:rsid w:val="00A10D88"/>
    <w:rsid w:val="00A25A43"/>
    <w:rsid w:val="00A3295B"/>
    <w:rsid w:val="00A42AE5"/>
    <w:rsid w:val="00A52B61"/>
    <w:rsid w:val="00A64820"/>
    <w:rsid w:val="00A71DD6"/>
    <w:rsid w:val="00A723C7"/>
    <w:rsid w:val="00A76850"/>
    <w:rsid w:val="00A80E11"/>
    <w:rsid w:val="00A97F94"/>
    <w:rsid w:val="00AB1309"/>
    <w:rsid w:val="00AC2C52"/>
    <w:rsid w:val="00AD1503"/>
    <w:rsid w:val="00AE7244"/>
    <w:rsid w:val="00AF3FEE"/>
    <w:rsid w:val="00B0248B"/>
    <w:rsid w:val="00B02F46"/>
    <w:rsid w:val="00B05EA4"/>
    <w:rsid w:val="00B06F80"/>
    <w:rsid w:val="00B15422"/>
    <w:rsid w:val="00B2000C"/>
    <w:rsid w:val="00B20ADE"/>
    <w:rsid w:val="00B621BA"/>
    <w:rsid w:val="00B66B9A"/>
    <w:rsid w:val="00B82089"/>
    <w:rsid w:val="00B95D91"/>
    <w:rsid w:val="00B970AE"/>
    <w:rsid w:val="00BA1427"/>
    <w:rsid w:val="00BD056D"/>
    <w:rsid w:val="00BE49D0"/>
    <w:rsid w:val="00BF2C38"/>
    <w:rsid w:val="00C04FF8"/>
    <w:rsid w:val="00C20A7C"/>
    <w:rsid w:val="00C23331"/>
    <w:rsid w:val="00C265DA"/>
    <w:rsid w:val="00C27B21"/>
    <w:rsid w:val="00C442F2"/>
    <w:rsid w:val="00C54155"/>
    <w:rsid w:val="00C674FE"/>
    <w:rsid w:val="00C7297D"/>
    <w:rsid w:val="00C75633"/>
    <w:rsid w:val="00C8242E"/>
    <w:rsid w:val="00C82615"/>
    <w:rsid w:val="00C86413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474C4"/>
    <w:rsid w:val="00D77D0F"/>
    <w:rsid w:val="00DA16DE"/>
    <w:rsid w:val="00DA1CF0"/>
    <w:rsid w:val="00DB2271"/>
    <w:rsid w:val="00DB5659"/>
    <w:rsid w:val="00DC2451"/>
    <w:rsid w:val="00DC24B4"/>
    <w:rsid w:val="00DD7A05"/>
    <w:rsid w:val="00DF16DC"/>
    <w:rsid w:val="00DF5361"/>
    <w:rsid w:val="00E009A1"/>
    <w:rsid w:val="00E00D15"/>
    <w:rsid w:val="00E0463A"/>
    <w:rsid w:val="00E071BE"/>
    <w:rsid w:val="00E07379"/>
    <w:rsid w:val="00E14494"/>
    <w:rsid w:val="00E17033"/>
    <w:rsid w:val="00E32189"/>
    <w:rsid w:val="00E402C7"/>
    <w:rsid w:val="00E45211"/>
    <w:rsid w:val="00E60236"/>
    <w:rsid w:val="00E7380C"/>
    <w:rsid w:val="00E74BE7"/>
    <w:rsid w:val="00E754F3"/>
    <w:rsid w:val="00E761BE"/>
    <w:rsid w:val="00E86CC9"/>
    <w:rsid w:val="00E91B29"/>
    <w:rsid w:val="00E96624"/>
    <w:rsid w:val="00E97EAF"/>
    <w:rsid w:val="00EA31E1"/>
    <w:rsid w:val="00EE4C01"/>
    <w:rsid w:val="00F07868"/>
    <w:rsid w:val="00F126F1"/>
    <w:rsid w:val="00F178DE"/>
    <w:rsid w:val="00F2106A"/>
    <w:rsid w:val="00F36D8B"/>
    <w:rsid w:val="00F401D0"/>
    <w:rsid w:val="00F45F2B"/>
    <w:rsid w:val="00F57AE4"/>
    <w:rsid w:val="00F6352B"/>
    <w:rsid w:val="00F67150"/>
    <w:rsid w:val="00F71E36"/>
    <w:rsid w:val="00F84366"/>
    <w:rsid w:val="00F85089"/>
    <w:rsid w:val="00F85564"/>
    <w:rsid w:val="00F86CFA"/>
    <w:rsid w:val="00FD3AFE"/>
    <w:rsid w:val="00FD58BD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6352B"/>
    <w:pPr>
      <w:spacing w:after="0" w:line="240" w:lineRule="auto"/>
    </w:pPr>
    <w:rPr>
      <w:rFonts w:ascii="Calibri" w:eastAsia="Calibri" w:hAnsi="Calibri"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2B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a0b55f-d1d7-4c77-a5d0-9b6ffcc0e2d2">Documents Proposals Manager (DPM)</DPM_x0020_Author>
    <DPM_x0020_File_x0020_name xmlns="00a0b55f-d1d7-4c77-a5d0-9b6ffcc0e2d2">T13-WTSA.16-C-0047!!MSW-A</DPM_x0020_File_x0020_name>
    <DPM_x0020_Version xmlns="00a0b55f-d1d7-4c77-a5d0-9b6ffcc0e2d2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a0b55f-d1d7-4c77-a5d0-9b6ffcc0e2d2" targetNamespace="http://schemas.microsoft.com/office/2006/metadata/properties" ma:root="true" ma:fieldsID="d41af5c836d734370eb92e7ee5f83852" ns2:_="" ns3:_="">
    <xsd:import namespace="996b2e75-67fd-4955-a3b0-5ab9934cb50b"/>
    <xsd:import namespace="00a0b55f-d1d7-4c77-a5d0-9b6ffcc0e2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b55f-d1d7-4c77-a5d0-9b6ffcc0e2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996b2e75-67fd-4955-a3b0-5ab9934cb50b"/>
    <ds:schemaRef ds:uri="00a0b55f-d1d7-4c77-a5d0-9b6ffcc0e2d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a0b55f-d1d7-4c77-a5d0-9b6ffcc0e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4BCA-87E6-467D-A1A6-0C04F1E6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T13-WTSA.16-C-0047!!MSW-A</vt:lpstr>
    </vt:vector>
  </TitlesOfParts>
  <Company>International Telecommunication Union (ITU)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53</cp:revision>
  <cp:lastPrinted>2016-10-19T12:25:00Z</cp:lastPrinted>
  <dcterms:created xsi:type="dcterms:W3CDTF">2016-10-19T11:58:00Z</dcterms:created>
  <dcterms:modified xsi:type="dcterms:W3CDTF">2016-10-20T10:48:00Z</dcterms:modified>
  <cp:category>Conference document</cp:category>
</cp:coreProperties>
</file>