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102A03" w:rsidRDefault="00102A03" w:rsidP="00A25A43">
            <w:pPr>
              <w:spacing w:before="80"/>
              <w:jc w:val="left"/>
              <w:rPr>
                <w:rFonts w:ascii="Calibri" w:hAnsi="Calibri"/>
                <w:b/>
                <w:bCs/>
                <w:sz w:val="20"/>
                <w:szCs w:val="28"/>
                <w:rtl/>
                <w:lang w:bidi="ar-EG"/>
              </w:rPr>
            </w:pPr>
            <w:r w:rsidRPr="001040A3">
              <w:rPr>
                <w:rFonts w:ascii="Calibri" w:hAnsi="Calibri" w:hint="cs"/>
                <w:b/>
                <w:bCs/>
                <w:rtl/>
                <w:lang w:bidi="ar-EG"/>
              </w:rPr>
              <w:t>الحمامات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،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25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أكتوبر</w:t>
            </w:r>
            <w:r w:rsidR="00092FC2" w:rsidRPr="00102A03">
              <w:rPr>
                <w:rFonts w:ascii="Calibri" w:hAnsi="Calibri" w:cs="Times New Roman" w:hint="cs"/>
                <w:b/>
                <w:bCs/>
                <w:sz w:val="20"/>
                <w:szCs w:val="28"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- </w:t>
            </w:r>
            <w:r w:rsidR="00092FC2" w:rsidRPr="001040A3">
              <w:rPr>
                <w:rFonts w:ascii="Calibri" w:hAnsi="Calibri"/>
                <w:b/>
                <w:bCs/>
                <w:lang w:bidi="ar-EG"/>
              </w:rPr>
              <w:t>3</w:t>
            </w:r>
            <w:r w:rsidR="00092FC2" w:rsidRPr="001040A3">
              <w:rPr>
                <w:rFonts w:ascii="Calibri" w:hAnsi="Calibri" w:cs="Times New Roman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 w:hint="cs"/>
                <w:b/>
                <w:bCs/>
                <w:rtl/>
                <w:lang w:bidi="ar-EG"/>
              </w:rPr>
              <w:t>نوفمبر</w:t>
            </w:r>
            <w:r w:rsidR="0059285F" w:rsidRPr="001040A3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092FC2" w:rsidRPr="001040A3">
              <w:rPr>
                <w:rFonts w:ascii="Calibri" w:hAnsi="Calibri"/>
                <w:b/>
                <w:bCs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A25A43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A25A43">
            <w:pPr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A25A43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A25A43">
            <w:pPr>
              <w:spacing w:before="0" w:line="34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A25A43">
            <w:pPr>
              <w:spacing w:before="0" w:line="34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332893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32893" w:rsidRDefault="0022345D" w:rsidP="00332893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line="300" w:lineRule="exact"/>
              <w:rPr>
                <w:rFonts w:ascii="Verdana" w:hAnsi="Verdana" w:cs="Traditional Arabic"/>
                <w:sz w:val="30"/>
                <w:szCs w:val="30"/>
                <w:rtl/>
              </w:rPr>
            </w:pPr>
            <w:r w:rsidRPr="00332893">
              <w:rPr>
                <w:rFonts w:ascii="Verdana" w:hAnsi="Verdana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332893" w:rsidRDefault="0022345D" w:rsidP="00AC5E69">
            <w:pPr>
              <w:pStyle w:val="Adress"/>
              <w:framePr w:hSpace="0" w:wrap="auto" w:xAlign="left" w:yAlign="inline"/>
              <w:spacing w:line="300" w:lineRule="exact"/>
              <w:rPr>
                <w:rFonts w:ascii="Verdana" w:hAnsi="Verdana"/>
                <w:rtl/>
              </w:rPr>
            </w:pPr>
            <w:r w:rsidRPr="00332893">
              <w:rPr>
                <w:rFonts w:ascii="Verdana" w:hAnsi="Verdana"/>
                <w:rtl/>
              </w:rPr>
              <w:t xml:space="preserve">الإضافة </w:t>
            </w:r>
            <w:r w:rsidRPr="00332893">
              <w:rPr>
                <w:rFonts w:ascii="Verdana" w:hAnsi="Verdana"/>
              </w:rPr>
              <w:t>8</w:t>
            </w:r>
            <w:r w:rsidRPr="00332893">
              <w:rPr>
                <w:rFonts w:ascii="Verdana" w:hAnsi="Verdana"/>
              </w:rPr>
              <w:br/>
            </w:r>
            <w:r w:rsidRPr="00332893">
              <w:rPr>
                <w:rFonts w:ascii="Verdana" w:hAnsi="Verdana"/>
                <w:rtl/>
              </w:rPr>
              <w:t xml:space="preserve">للوثيقة </w:t>
            </w:r>
            <w:r w:rsidR="00332893">
              <w:rPr>
                <w:rFonts w:ascii="Verdana" w:hAnsi="Verdana"/>
              </w:rPr>
              <w:t>46-A</w:t>
            </w:r>
          </w:p>
        </w:tc>
      </w:tr>
      <w:tr w:rsidR="0022345D" w:rsidRPr="00332893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32893" w:rsidRDefault="0022345D" w:rsidP="00332893">
            <w:pPr>
              <w:pStyle w:val="Adress"/>
              <w:framePr w:hSpace="0" w:wrap="auto" w:xAlign="left" w:yAlign="inline"/>
              <w:spacing w:line="300" w:lineRule="exact"/>
              <w:rPr>
                <w:rFonts w:ascii="Verdana" w:hAnsi="Verdana"/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32893" w:rsidRDefault="0022345D" w:rsidP="00332893">
            <w:pPr>
              <w:pStyle w:val="Adress"/>
              <w:framePr w:hSpace="0" w:wrap="auto" w:xAlign="left" w:yAlign="inline"/>
              <w:spacing w:line="300" w:lineRule="exact"/>
              <w:rPr>
                <w:rFonts w:ascii="Verdana" w:hAnsi="Verdana"/>
                <w:rtl/>
              </w:rPr>
            </w:pPr>
            <w:r w:rsidRPr="00332893">
              <w:rPr>
                <w:rFonts w:ascii="Verdana" w:eastAsia="SimSun" w:hAnsi="Verdana"/>
              </w:rPr>
              <w:t>22</w:t>
            </w:r>
            <w:r w:rsidRPr="00332893">
              <w:rPr>
                <w:rFonts w:ascii="Verdana" w:eastAsia="SimSun" w:hAnsi="Verdana"/>
                <w:rtl/>
              </w:rPr>
              <w:t xml:space="preserve"> سبتمبر </w:t>
            </w:r>
            <w:r w:rsidRPr="00332893">
              <w:rPr>
                <w:rFonts w:ascii="Verdana" w:eastAsia="SimSun" w:hAnsi="Verdana"/>
              </w:rPr>
              <w:t>2016</w:t>
            </w:r>
          </w:p>
        </w:tc>
      </w:tr>
      <w:tr w:rsidR="0022345D" w:rsidRPr="00332893" w:rsidTr="00A25A43">
        <w:trPr>
          <w:cantSplit/>
          <w:jc w:val="right"/>
        </w:trPr>
        <w:tc>
          <w:tcPr>
            <w:tcW w:w="3428" w:type="pct"/>
            <w:gridSpan w:val="2"/>
          </w:tcPr>
          <w:p w:rsidR="0022345D" w:rsidRPr="00332893" w:rsidRDefault="0022345D" w:rsidP="00332893">
            <w:pPr>
              <w:pStyle w:val="Adress"/>
              <w:framePr w:hSpace="0" w:wrap="auto" w:xAlign="left" w:yAlign="inline"/>
              <w:spacing w:line="300" w:lineRule="exact"/>
              <w:rPr>
                <w:rFonts w:ascii="Verdana" w:hAnsi="Verdana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332893" w:rsidRDefault="0022345D" w:rsidP="00332893">
            <w:pPr>
              <w:pStyle w:val="Adress"/>
              <w:framePr w:hSpace="0" w:wrap="auto" w:xAlign="left" w:yAlign="inline"/>
              <w:spacing w:line="300" w:lineRule="exact"/>
              <w:rPr>
                <w:rFonts w:ascii="Verdana" w:eastAsia="SimSun" w:hAnsi="Verdana"/>
              </w:rPr>
            </w:pPr>
            <w:r w:rsidRPr="00332893">
              <w:rPr>
                <w:rFonts w:ascii="Verdana" w:eastAsia="SimSun" w:hAnsi="Verdana"/>
                <w:rtl/>
              </w:rPr>
              <w:t>الأصل: بالإنكليزية</w:t>
            </w: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A25A43">
            <w:pPr>
              <w:spacing w:before="0" w:line="34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CC43BE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33289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 xml:space="preserve">الدول الأعضاء في لجنة البلدان الأمريكية للاتصالات </w:t>
            </w:r>
            <w:r w:rsidR="00332893">
              <w:t>(CITEL)</w:t>
            </w:r>
          </w:p>
        </w:tc>
      </w:tr>
      <w:tr w:rsidR="0022345D" w:rsidRPr="00E07379" w:rsidTr="00CC43BE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B27CF8" w:rsidP="00B27CF8">
            <w:pPr>
              <w:pStyle w:val="Title1"/>
              <w:spacing w:before="240"/>
            </w:pPr>
            <w:r>
              <w:rPr>
                <w:rFonts w:hint="cs"/>
                <w:rtl/>
              </w:rPr>
              <w:t xml:space="preserve">اقتراح </w:t>
            </w:r>
            <w:r w:rsidR="00332893">
              <w:rPr>
                <w:rFonts w:hint="cs"/>
                <w:rtl/>
              </w:rPr>
              <w:t xml:space="preserve">قرار جديد </w:t>
            </w:r>
            <w:r w:rsidR="00332893">
              <w:t>[IAP-4]</w:t>
            </w:r>
            <w:r w:rsidR="00332893">
              <w:rPr>
                <w:rFonts w:hint="cs"/>
                <w:rtl/>
              </w:rPr>
              <w:t xml:space="preserve"> - التجوال الدولي المتنقل </w:t>
            </w:r>
            <w:r w:rsidR="00332893">
              <w:t>(IMR)</w:t>
            </w:r>
          </w:p>
        </w:tc>
      </w:tr>
      <w:tr w:rsidR="0022345D" w:rsidRPr="00E07379" w:rsidTr="00CC43BE">
        <w:trPr>
          <w:cantSplit/>
          <w:trHeight w:val="844"/>
          <w:jc w:val="right"/>
        </w:trPr>
        <w:tc>
          <w:tcPr>
            <w:tcW w:w="5000" w:type="pct"/>
            <w:gridSpan w:val="4"/>
          </w:tcPr>
          <w:p w:rsidR="0022345D" w:rsidRPr="00BD6EF3" w:rsidRDefault="0022345D" w:rsidP="00A25A43">
            <w:pPr>
              <w:pStyle w:val="Title2"/>
              <w:rPr>
                <w:rtl/>
              </w:rPr>
            </w:pPr>
          </w:p>
        </w:tc>
      </w:tr>
      <w:tr w:rsidR="0022345D" w:rsidRPr="00E07379" w:rsidTr="00A25A43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5000" w:type="pct"/>
        <w:jc w:val="right"/>
        <w:tblLayout w:type="fixed"/>
        <w:tblLook w:val="0000" w:firstRow="0" w:lastRow="0" w:firstColumn="0" w:lastColumn="0" w:noHBand="0" w:noVBand="0"/>
      </w:tblPr>
      <w:tblGrid>
        <w:gridCol w:w="8587"/>
        <w:gridCol w:w="1052"/>
      </w:tblGrid>
      <w:tr w:rsidR="006157A3" w:rsidRPr="00E70E87" w:rsidTr="0061686C">
        <w:trPr>
          <w:cantSplit/>
          <w:jc w:val="right"/>
        </w:trPr>
        <w:tc>
          <w:tcPr>
            <w:tcW w:w="8648" w:type="dxa"/>
          </w:tcPr>
          <w:p w:rsidR="006157A3" w:rsidRPr="00332893" w:rsidRDefault="00CF0D4A" w:rsidP="0061686C">
            <w:pPr>
              <w:rPr>
                <w:highlight w:val="green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تقدم هذه المساهمة مقترح </w:t>
            </w:r>
            <w:r w:rsidR="00332893" w:rsidRPr="00B46453">
              <w:rPr>
                <w:rFonts w:hint="cs"/>
                <w:rtl/>
                <w:lang w:bidi="ar-EG"/>
              </w:rPr>
              <w:t>قرار جديد بشأن تنفيذ التوصية </w:t>
            </w:r>
            <w:r w:rsidR="00332893" w:rsidRPr="00B46453">
              <w:rPr>
                <w:lang w:bidi="ar-EG"/>
              </w:rPr>
              <w:t>ITU</w:t>
            </w:r>
            <w:r w:rsidR="00332893" w:rsidRPr="00B46453">
              <w:rPr>
                <w:lang w:bidi="ar-EG"/>
              </w:rPr>
              <w:noBreakHyphen/>
              <w:t>T D.98</w:t>
            </w:r>
            <w:r w:rsidR="00332893" w:rsidRPr="00B46453">
              <w:rPr>
                <w:rFonts w:hint="cs"/>
                <w:rtl/>
                <w:lang w:bidi="ar-EG"/>
              </w:rPr>
              <w:t xml:space="preserve"> </w:t>
            </w:r>
            <w:r w:rsidR="00B27CF8">
              <w:rPr>
                <w:rFonts w:hint="cs"/>
                <w:rtl/>
                <w:lang w:bidi="ar-EG"/>
              </w:rPr>
              <w:t>اعترافاً</w:t>
            </w:r>
            <w:r w:rsidR="00332893" w:rsidRPr="00B46453">
              <w:rPr>
                <w:rFonts w:hint="cs"/>
                <w:rtl/>
                <w:lang w:bidi="ar-EG"/>
              </w:rPr>
              <w:t xml:space="preserve"> بأهمية </w:t>
            </w:r>
            <w:r w:rsidR="00B27CF8">
              <w:rPr>
                <w:rFonts w:hint="cs"/>
                <w:rtl/>
                <w:lang w:bidi="ar-EG"/>
              </w:rPr>
              <w:t xml:space="preserve">جهود </w:t>
            </w:r>
            <w:r w:rsidR="00332893" w:rsidRPr="00B46453">
              <w:rPr>
                <w:rFonts w:hint="cs"/>
                <w:rtl/>
                <w:lang w:bidi="ar-EG"/>
              </w:rPr>
              <w:t xml:space="preserve">العمل الجاري </w:t>
            </w:r>
            <w:r>
              <w:rPr>
                <w:rFonts w:hint="cs"/>
                <w:rtl/>
                <w:lang w:bidi="ar-EG"/>
              </w:rPr>
              <w:t>على</w:t>
            </w:r>
            <w:r w:rsidR="00332893" w:rsidRPr="00B46453">
              <w:rPr>
                <w:rFonts w:hint="cs"/>
                <w:rtl/>
                <w:lang w:bidi="ar-EG"/>
              </w:rPr>
              <w:t xml:space="preserve"> خفض أسعار التجوال الدولي المتنقل </w:t>
            </w:r>
            <w:r>
              <w:rPr>
                <w:rFonts w:hint="cs"/>
                <w:rtl/>
                <w:lang w:bidi="ar-EG"/>
              </w:rPr>
              <w:t>ب</w:t>
            </w:r>
            <w:r w:rsidR="00576819" w:rsidRPr="00B46453">
              <w:rPr>
                <w:rFonts w:hint="cs"/>
                <w:rtl/>
                <w:lang w:bidi="ar-EG"/>
              </w:rPr>
              <w:t>اتخاذ</w:t>
            </w:r>
            <w:r w:rsidR="00332893" w:rsidRPr="00B46453">
              <w:rPr>
                <w:rFonts w:hint="cs"/>
                <w:rtl/>
                <w:lang w:bidi="ar-EG"/>
              </w:rPr>
              <w:t xml:space="preserve"> تدابير تنظيمية حسب الاقتضاء</w:t>
            </w:r>
            <w:r w:rsidR="007354DA" w:rsidRPr="00B46453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D8504A" w:rsidRDefault="00D8504A" w:rsidP="00D8504A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:rsidR="00D8504A" w:rsidRDefault="00D8504A" w:rsidP="0061686C">
      <w:pPr>
        <w:rPr>
          <w:rtl/>
          <w:lang w:bidi="ar-EG"/>
        </w:rPr>
      </w:pPr>
      <w:r w:rsidRPr="00FE59DC">
        <w:rPr>
          <w:rFonts w:hint="cs"/>
          <w:rtl/>
          <w:lang w:bidi="ar-EG"/>
        </w:rPr>
        <w:t>نجحت التوصية </w:t>
      </w:r>
      <w:r w:rsidRPr="00FE59DC">
        <w:rPr>
          <w:lang w:bidi="ar-EG"/>
        </w:rPr>
        <w:t>ITU</w:t>
      </w:r>
      <w:r w:rsidRPr="00FE59DC">
        <w:rPr>
          <w:lang w:bidi="ar-EG"/>
        </w:rPr>
        <w:noBreakHyphen/>
        <w:t>T D.98</w:t>
      </w:r>
      <w:r w:rsidR="00FE59DC">
        <w:rPr>
          <w:rFonts w:hint="cs"/>
          <w:rtl/>
          <w:lang w:bidi="ar-EG"/>
        </w:rPr>
        <w:t xml:space="preserve"> في تمكين المستهلكين وتعزيز ال</w:t>
      </w:r>
      <w:r w:rsidRPr="00FE59DC">
        <w:rPr>
          <w:rtl/>
          <w:lang w:bidi="ar-EG"/>
        </w:rPr>
        <w:t xml:space="preserve">تدابير </w:t>
      </w:r>
      <w:r w:rsidR="006D6E38">
        <w:rPr>
          <w:rtl/>
          <w:lang w:bidi="ar-EG"/>
        </w:rPr>
        <w:t>و</w:t>
      </w:r>
      <w:r w:rsidRPr="00FE59DC">
        <w:rPr>
          <w:rtl/>
          <w:lang w:bidi="ar-EG"/>
        </w:rPr>
        <w:t xml:space="preserve">الحلول </w:t>
      </w:r>
      <w:r w:rsidR="006D6E38" w:rsidRPr="00FE59DC">
        <w:rPr>
          <w:rtl/>
          <w:lang w:bidi="ar-EG"/>
        </w:rPr>
        <w:t>التنظيم</w:t>
      </w:r>
      <w:r w:rsidR="006D6E38">
        <w:rPr>
          <w:rFonts w:hint="cs"/>
          <w:rtl/>
          <w:lang w:bidi="ar-EG"/>
        </w:rPr>
        <w:t>ية</w:t>
      </w:r>
      <w:r w:rsidR="006D6E38">
        <w:rPr>
          <w:rtl/>
          <w:lang w:bidi="ar-EG"/>
        </w:rPr>
        <w:t xml:space="preserve"> </w:t>
      </w:r>
      <w:r w:rsidRPr="00FE59DC">
        <w:rPr>
          <w:rtl/>
          <w:lang w:bidi="ar-EG"/>
        </w:rPr>
        <w:t>في سوق التجوال الدولي المتنقل</w:t>
      </w:r>
      <w:r w:rsidRPr="00FE59DC">
        <w:rPr>
          <w:rFonts w:hint="cs"/>
          <w:rtl/>
          <w:lang w:bidi="ar-EG"/>
        </w:rPr>
        <w:t>. و</w:t>
      </w:r>
      <w:r w:rsidR="006D6E38" w:rsidRPr="00FE59DC">
        <w:rPr>
          <w:rFonts w:hint="cs"/>
          <w:rtl/>
          <w:lang w:bidi="ar-EG"/>
        </w:rPr>
        <w:t xml:space="preserve">تشدد </w:t>
      </w:r>
      <w:r w:rsidRPr="00FE59DC">
        <w:rPr>
          <w:rFonts w:hint="cs"/>
          <w:rtl/>
          <w:lang w:bidi="ar-EG"/>
        </w:rPr>
        <w:t xml:space="preserve">على </w:t>
      </w:r>
      <w:r w:rsidRPr="00FE59DC">
        <w:rPr>
          <w:rtl/>
          <w:lang w:bidi="ar-EG"/>
        </w:rPr>
        <w:t>ضرورة تشجيع المنافسة في مجال التجوال</w:t>
      </w:r>
      <w:r w:rsidRPr="00FE59DC">
        <w:rPr>
          <w:rFonts w:hint="cs"/>
          <w:rtl/>
          <w:lang w:bidi="ar-EG"/>
        </w:rPr>
        <w:t xml:space="preserve"> </w:t>
      </w:r>
      <w:r w:rsidR="006D6E38">
        <w:rPr>
          <w:rtl/>
          <w:lang w:bidi="ar-EG"/>
        </w:rPr>
        <w:t>وتثقيف المستهلكين</w:t>
      </w:r>
      <w:r w:rsidRPr="00FE59DC">
        <w:rPr>
          <w:rtl/>
          <w:lang w:bidi="ar-EG"/>
        </w:rPr>
        <w:t xml:space="preserve"> والنظر في إجراءات تنظيمية مناسبة مثل استعمال هيئات التنظيم لأسقف الأسعار أو</w:t>
      </w:r>
      <w:r w:rsidR="0061686C">
        <w:rPr>
          <w:rFonts w:hint="cs"/>
          <w:rtl/>
          <w:lang w:bidi="ar-EG"/>
        </w:rPr>
        <w:t> </w:t>
      </w:r>
      <w:r w:rsidRPr="00FE59DC">
        <w:rPr>
          <w:rtl/>
          <w:lang w:bidi="ar-EG"/>
        </w:rPr>
        <w:t>الرسوم.</w:t>
      </w:r>
    </w:p>
    <w:p w:rsidR="007354DA" w:rsidRDefault="00CB1F28" w:rsidP="00B27CF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ولذلك، من </w:t>
      </w:r>
      <w:r w:rsidR="000A16D7">
        <w:rPr>
          <w:rFonts w:hint="cs"/>
          <w:rtl/>
          <w:lang w:bidi="ar-EG"/>
        </w:rPr>
        <w:t>المهم أن تل</w:t>
      </w:r>
      <w:r w:rsidR="00D3785E">
        <w:rPr>
          <w:rFonts w:hint="cs"/>
          <w:rtl/>
          <w:lang w:bidi="ar-EG"/>
        </w:rPr>
        <w:t xml:space="preserve">زم الإدارات </w:t>
      </w:r>
      <w:r w:rsidR="000A16D7">
        <w:rPr>
          <w:rFonts w:hint="cs"/>
          <w:rtl/>
          <w:lang w:bidi="ar-EG"/>
        </w:rPr>
        <w:t xml:space="preserve">نفسها </w:t>
      </w:r>
      <w:r w:rsidR="00D3785E">
        <w:rPr>
          <w:rFonts w:hint="cs"/>
          <w:rtl/>
          <w:lang w:bidi="ar-EG"/>
        </w:rPr>
        <w:t xml:space="preserve">بالعمل </w:t>
      </w:r>
      <w:r w:rsidR="005111BA">
        <w:rPr>
          <w:rFonts w:hint="cs"/>
          <w:rtl/>
          <w:lang w:bidi="ar-EG"/>
        </w:rPr>
        <w:t>من أجل</w:t>
      </w:r>
      <w:r w:rsidR="00D3785E">
        <w:rPr>
          <w:rFonts w:hint="cs"/>
          <w:rtl/>
          <w:lang w:bidi="ar-EG"/>
        </w:rPr>
        <w:t xml:space="preserve"> وضع معايير </w:t>
      </w:r>
      <w:r w:rsidR="00B41560">
        <w:rPr>
          <w:rFonts w:hint="cs"/>
          <w:rtl/>
          <w:lang w:bidi="ar-EG"/>
        </w:rPr>
        <w:t>تمكّن هيئات التنظيم</w:t>
      </w:r>
      <w:r>
        <w:rPr>
          <w:rFonts w:hint="cs"/>
          <w:rtl/>
          <w:lang w:bidi="ar-EG"/>
        </w:rPr>
        <w:t xml:space="preserve"> </w:t>
      </w:r>
      <w:r w:rsidR="00B41560">
        <w:rPr>
          <w:rFonts w:hint="cs"/>
          <w:rtl/>
          <w:lang w:bidi="ar-EG"/>
        </w:rPr>
        <w:t xml:space="preserve">من تفادي </w:t>
      </w:r>
      <w:r w:rsidR="00521B07">
        <w:rPr>
          <w:rFonts w:hint="cs"/>
          <w:rtl/>
          <w:lang w:bidi="ar-EG"/>
        </w:rPr>
        <w:t xml:space="preserve">تأثير </w:t>
      </w:r>
      <w:r w:rsidR="00B27CF8">
        <w:rPr>
          <w:rFonts w:hint="cs"/>
          <w:rtl/>
          <w:lang w:bidi="ar-EG"/>
        </w:rPr>
        <w:t>أسعار الجملة</w:t>
      </w:r>
      <w:r w:rsidR="00E8288D">
        <w:rPr>
          <w:rFonts w:hint="cs"/>
          <w:rtl/>
          <w:lang w:bidi="ar-EG"/>
        </w:rPr>
        <w:t xml:space="preserve"> </w:t>
      </w:r>
      <w:r w:rsidR="00B27CF8">
        <w:rPr>
          <w:rFonts w:hint="cs"/>
          <w:rtl/>
          <w:lang w:bidi="ar-EG"/>
        </w:rPr>
        <w:t>ل</w:t>
      </w:r>
      <w:r w:rsidR="00E8288D">
        <w:rPr>
          <w:rFonts w:hint="cs"/>
          <w:rtl/>
          <w:lang w:bidi="ar-EG"/>
        </w:rPr>
        <w:t xml:space="preserve">لتجوال الدولي المتنقل </w:t>
      </w:r>
      <w:r w:rsidR="00B27CF8" w:rsidRPr="00B27CF8">
        <w:rPr>
          <w:szCs w:val="22"/>
          <w:lang w:bidi="ar-EG"/>
        </w:rPr>
        <w:t>(</w:t>
      </w:r>
      <w:r w:rsidR="00E8288D" w:rsidRPr="00B27CF8">
        <w:rPr>
          <w:rFonts w:cs="Times New Roman"/>
          <w:szCs w:val="22"/>
        </w:rPr>
        <w:t>IMR</w:t>
      </w:r>
      <w:r w:rsidR="00B27CF8" w:rsidRPr="00B27CF8">
        <w:rPr>
          <w:szCs w:val="22"/>
          <w:lang w:bidi="ar-EG"/>
        </w:rPr>
        <w:t>)</w:t>
      </w:r>
      <w:r w:rsidR="00964C9A">
        <w:rPr>
          <w:rFonts w:hint="cs"/>
          <w:rtl/>
          <w:lang w:bidi="ar-EG"/>
        </w:rPr>
        <w:t xml:space="preserve">، </w:t>
      </w:r>
      <w:r w:rsidR="00652479">
        <w:rPr>
          <w:rFonts w:hint="cs"/>
          <w:rtl/>
          <w:lang w:bidi="ar-EG"/>
        </w:rPr>
        <w:t>غير المرتبطة</w:t>
      </w:r>
      <w:r w:rsidR="00964C9A">
        <w:rPr>
          <w:rFonts w:hint="cs"/>
          <w:rtl/>
          <w:lang w:bidi="ar-EG"/>
        </w:rPr>
        <w:t xml:space="preserve"> </w:t>
      </w:r>
      <w:r w:rsidR="00652479">
        <w:rPr>
          <w:rFonts w:hint="cs"/>
          <w:rtl/>
          <w:lang w:bidi="ar-EG"/>
        </w:rPr>
        <w:t>ب</w:t>
      </w:r>
      <w:r w:rsidR="00964C9A">
        <w:rPr>
          <w:rFonts w:hint="cs"/>
          <w:rtl/>
          <w:lang w:bidi="ar-EG"/>
        </w:rPr>
        <w:t>التكاليف</w:t>
      </w:r>
      <w:r w:rsidR="00E8288D" w:rsidRPr="00E8288D">
        <w:rPr>
          <w:rtl/>
          <w:lang w:bidi="ar-EG"/>
        </w:rPr>
        <w:t xml:space="preserve"> الأساسية، على </w:t>
      </w:r>
      <w:r w:rsidR="00772479">
        <w:rPr>
          <w:rFonts w:hint="cs"/>
          <w:rtl/>
          <w:lang w:bidi="ar-EG"/>
        </w:rPr>
        <w:t xml:space="preserve">المنافسة في السوق </w:t>
      </w:r>
      <w:r w:rsidR="00652479">
        <w:rPr>
          <w:rFonts w:hint="cs"/>
          <w:rtl/>
          <w:lang w:bidi="ar-EG"/>
        </w:rPr>
        <w:t>و</w:t>
      </w:r>
      <w:r w:rsidR="00772479">
        <w:rPr>
          <w:rFonts w:hint="cs"/>
          <w:rtl/>
          <w:lang w:bidi="ar-EG"/>
        </w:rPr>
        <w:t xml:space="preserve">على الابتكار ورفاهية المستهلك </w:t>
      </w:r>
      <w:bookmarkStart w:id="0" w:name="_GoBack"/>
      <w:r w:rsidR="00772479">
        <w:rPr>
          <w:rFonts w:hint="cs"/>
          <w:rtl/>
          <w:lang w:bidi="ar-EG"/>
        </w:rPr>
        <w:t>والتجارة والاقتصاد</w:t>
      </w:r>
      <w:r w:rsidR="0061686C">
        <w:rPr>
          <w:rFonts w:hint="cs"/>
          <w:rtl/>
          <w:lang w:bidi="ar-EG"/>
        </w:rPr>
        <w:t> </w:t>
      </w:r>
      <w:r w:rsidR="00772479">
        <w:rPr>
          <w:rFonts w:hint="cs"/>
          <w:rtl/>
          <w:lang w:bidi="ar-EG"/>
        </w:rPr>
        <w:t>ككل</w:t>
      </w:r>
      <w:r w:rsidR="00E8288D" w:rsidRPr="00E8288D">
        <w:rPr>
          <w:rtl/>
          <w:lang w:bidi="ar-EG"/>
        </w:rPr>
        <w:t>.</w:t>
      </w:r>
    </w:p>
    <w:bookmarkEnd w:id="0"/>
    <w:p w:rsidR="00772479" w:rsidRDefault="00C238E9" w:rsidP="00B27CF8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F8013A">
        <w:rPr>
          <w:rFonts w:hint="cs"/>
          <w:rtl/>
          <w:lang w:bidi="ar-EG"/>
        </w:rPr>
        <w:t xml:space="preserve">أخذاً </w:t>
      </w:r>
      <w:r w:rsidR="00D33BEA">
        <w:rPr>
          <w:rFonts w:hint="cs"/>
          <w:rtl/>
          <w:lang w:bidi="ar-EG"/>
        </w:rPr>
        <w:t>حالة الاقتصاد العالمي</w:t>
      </w:r>
      <w:r w:rsidR="00B27CF8" w:rsidRPr="00B27CF8">
        <w:rPr>
          <w:rFonts w:hint="cs"/>
          <w:rtl/>
          <w:lang w:bidi="ar-EG"/>
        </w:rPr>
        <w:t xml:space="preserve"> </w:t>
      </w:r>
      <w:r w:rsidR="00B27CF8">
        <w:rPr>
          <w:rFonts w:hint="cs"/>
          <w:rtl/>
          <w:lang w:bidi="ar-EG"/>
        </w:rPr>
        <w:t>في الاعتبار</w:t>
      </w:r>
      <w:r w:rsidR="00D33BEA">
        <w:rPr>
          <w:rFonts w:hint="cs"/>
          <w:rtl/>
          <w:lang w:bidi="ar-EG"/>
        </w:rPr>
        <w:t>، لا</w:t>
      </w:r>
      <w:r w:rsidR="00B27CF8">
        <w:rPr>
          <w:rFonts w:hint="eastAsia"/>
          <w:rtl/>
          <w:lang w:bidi="ar-EG"/>
        </w:rPr>
        <w:t> </w:t>
      </w:r>
      <w:r w:rsidR="00D33BEA">
        <w:rPr>
          <w:rFonts w:hint="cs"/>
          <w:rtl/>
          <w:lang w:bidi="ar-EG"/>
        </w:rPr>
        <w:t xml:space="preserve">سيما فيما يتعلق بسوق الاتصالات الدولية، </w:t>
      </w:r>
      <w:r>
        <w:rPr>
          <w:rFonts w:hint="cs"/>
          <w:rtl/>
          <w:lang w:bidi="ar-EG"/>
        </w:rPr>
        <w:t xml:space="preserve">يسلم هذا المقترح أيضاً </w:t>
      </w:r>
      <w:r w:rsidR="00960548">
        <w:rPr>
          <w:rFonts w:hint="cs"/>
          <w:rtl/>
          <w:lang w:bidi="ar-EG"/>
        </w:rPr>
        <w:t>بضرورة</w:t>
      </w:r>
      <w:r w:rsidR="00B127F0">
        <w:rPr>
          <w:rFonts w:hint="cs"/>
          <w:rtl/>
          <w:lang w:bidi="ar-EG"/>
        </w:rPr>
        <w:t xml:space="preserve"> توفير نُهج لأطول فترة ممكنة، </w:t>
      </w:r>
      <w:r w:rsidR="00FE0B71">
        <w:rPr>
          <w:rFonts w:hint="cs"/>
          <w:rtl/>
          <w:lang w:bidi="ar-EG"/>
        </w:rPr>
        <w:t xml:space="preserve">للحد من أسعار التجوال </w:t>
      </w:r>
      <w:r w:rsidR="005B7D68">
        <w:rPr>
          <w:rFonts w:hint="cs"/>
          <w:rtl/>
          <w:lang w:bidi="ar-EG"/>
        </w:rPr>
        <w:t>المفرطة</w:t>
      </w:r>
      <w:r w:rsidR="00FE0B71">
        <w:rPr>
          <w:rFonts w:hint="cs"/>
          <w:rtl/>
          <w:lang w:bidi="ar-EG"/>
        </w:rPr>
        <w:t xml:space="preserve"> </w:t>
      </w:r>
      <w:r w:rsidR="00B127F0">
        <w:rPr>
          <w:rFonts w:hint="cs"/>
          <w:rtl/>
          <w:lang w:bidi="ar-EG"/>
        </w:rPr>
        <w:t xml:space="preserve">تبرز الحاجة إلى تشجيع المنافسة في سوق </w:t>
      </w:r>
      <w:r w:rsidR="00EC3B3D">
        <w:rPr>
          <w:rFonts w:hint="cs"/>
          <w:rtl/>
          <w:lang w:bidi="ar-EG"/>
        </w:rPr>
        <w:t xml:space="preserve">التجوال </w:t>
      </w:r>
      <w:r w:rsidR="00EC3B3D">
        <w:rPr>
          <w:rtl/>
          <w:lang w:bidi="ar-EG"/>
        </w:rPr>
        <w:t>وتثقيف المستهلكين</w:t>
      </w:r>
      <w:r w:rsidR="00EC3B3D" w:rsidRPr="00FE59DC">
        <w:rPr>
          <w:rtl/>
          <w:lang w:bidi="ar-EG"/>
        </w:rPr>
        <w:t xml:space="preserve"> والنظر في إجراءات تنظيمية مناسبة مثل</w:t>
      </w:r>
      <w:r w:rsidR="00EC3B3D">
        <w:rPr>
          <w:rFonts w:hint="cs"/>
          <w:rtl/>
          <w:lang w:bidi="ar-EG"/>
        </w:rPr>
        <w:t xml:space="preserve"> اعتماد أسقف لأسعار</w:t>
      </w:r>
      <w:r w:rsidR="0061686C">
        <w:rPr>
          <w:rFonts w:hint="cs"/>
          <w:rtl/>
          <w:lang w:bidi="ar-EG"/>
        </w:rPr>
        <w:t> </w:t>
      </w:r>
      <w:r w:rsidR="00EC3B3D">
        <w:rPr>
          <w:rFonts w:hint="cs"/>
          <w:rtl/>
          <w:lang w:bidi="ar-EG"/>
        </w:rPr>
        <w:t>التجوال.</w:t>
      </w:r>
    </w:p>
    <w:p w:rsidR="00C82615" w:rsidRDefault="00C82615" w:rsidP="00D8504A">
      <w:pPr>
        <w:tabs>
          <w:tab w:val="clear" w:pos="1134"/>
        </w:tabs>
        <w:bidi w:val="0"/>
        <w:spacing w:before="0" w:after="160" w:line="259" w:lineRule="auto"/>
        <w:jc w:val="left"/>
      </w:pPr>
      <w:r>
        <w:br w:type="page"/>
      </w:r>
    </w:p>
    <w:p w:rsidR="00D16B70" w:rsidRDefault="00AC5E69">
      <w:pPr>
        <w:pStyle w:val="Proposal"/>
      </w:pPr>
      <w:r>
        <w:lastRenderedPageBreak/>
        <w:t>ADD</w:t>
      </w:r>
      <w:r>
        <w:tab/>
        <w:t>IAP/46A8/1</w:t>
      </w:r>
    </w:p>
    <w:p w:rsidR="0022345D" w:rsidRDefault="00AC5E69" w:rsidP="005F5274">
      <w:pPr>
        <w:pStyle w:val="ResNo"/>
        <w:rPr>
          <w:rtl/>
        </w:rPr>
      </w:pPr>
      <w:r>
        <w:rPr>
          <w:rFonts w:hint="cs"/>
          <w:rtl/>
        </w:rPr>
        <w:t xml:space="preserve">مشروع </w:t>
      </w:r>
      <w:r w:rsidR="00B314E7">
        <w:rPr>
          <w:rFonts w:hint="cs"/>
          <w:rtl/>
        </w:rPr>
        <w:t>ال</w:t>
      </w:r>
      <w:r>
        <w:rPr>
          <w:rFonts w:hint="cs"/>
          <w:rtl/>
        </w:rPr>
        <w:t xml:space="preserve">قرار </w:t>
      </w:r>
      <w:r w:rsidR="00B314E7">
        <w:rPr>
          <w:rFonts w:hint="cs"/>
          <w:rtl/>
        </w:rPr>
        <w:t>ال</w:t>
      </w:r>
      <w:r>
        <w:rPr>
          <w:rFonts w:hint="cs"/>
          <w:rtl/>
        </w:rPr>
        <w:t>جديد</w:t>
      </w:r>
      <w:r w:rsidR="006D7FEE">
        <w:rPr>
          <w:rFonts w:hint="cs"/>
          <w:rtl/>
        </w:rPr>
        <w:t xml:space="preserve"> </w:t>
      </w:r>
      <w:r w:rsidR="006D7FEE">
        <w:t>[IAP-4]</w:t>
      </w:r>
    </w:p>
    <w:p w:rsidR="005F5274" w:rsidRPr="005F5274" w:rsidRDefault="005F5274" w:rsidP="005F5274">
      <w:pPr>
        <w:pStyle w:val="Restitle"/>
        <w:rPr>
          <w:lang w:bidi="ar-EG"/>
        </w:rPr>
      </w:pPr>
      <w:r>
        <w:rPr>
          <w:rFonts w:hint="cs"/>
          <w:rtl/>
          <w:lang w:bidi="ar-EG"/>
        </w:rPr>
        <w:t>التجوال الدولي المتنقل </w:t>
      </w:r>
      <w:r>
        <w:rPr>
          <w:lang w:bidi="ar-EG"/>
        </w:rPr>
        <w:t>(IMR)</w:t>
      </w:r>
    </w:p>
    <w:p w:rsidR="00D16B70" w:rsidRPr="008B7B1F" w:rsidRDefault="008B7B1F" w:rsidP="008B7B1F">
      <w:pPr>
        <w:pStyle w:val="Resref"/>
        <w:rPr>
          <w:rFonts w:ascii="Times New Roman italic" w:hAnsi="Times New Roman italic"/>
          <w:iCs/>
          <w:rtl/>
          <w:lang w:bidi="ar-EG"/>
        </w:rPr>
      </w:pPr>
      <w:r w:rsidRPr="008B7B1F">
        <w:rPr>
          <w:rFonts w:ascii="Times New Roman italic" w:hAnsi="Times New Roman italic" w:hint="cs"/>
          <w:iCs/>
          <w:rtl/>
          <w:lang w:bidi="ar-EG"/>
        </w:rPr>
        <w:t xml:space="preserve">(الحمامات، </w:t>
      </w:r>
      <w:r w:rsidRPr="008B7B1F">
        <w:rPr>
          <w:rFonts w:ascii="Times New Roman italic" w:hAnsi="Times New Roman italic"/>
          <w:iCs/>
          <w:lang w:bidi="ar-EG"/>
        </w:rPr>
        <w:t>2016</w:t>
      </w:r>
      <w:r w:rsidRPr="008B7B1F">
        <w:rPr>
          <w:rFonts w:ascii="Times New Roman italic" w:hAnsi="Times New Roman italic" w:hint="cs"/>
          <w:iCs/>
          <w:rtl/>
          <w:lang w:bidi="ar-EG"/>
        </w:rPr>
        <w:t>)</w:t>
      </w:r>
    </w:p>
    <w:p w:rsidR="008B7B1F" w:rsidRDefault="008B7B1F" w:rsidP="008B7B1F">
      <w:pPr>
        <w:pStyle w:val="Normalaftertitle"/>
        <w:rPr>
          <w:rtl/>
          <w:lang w:bidi="ar-EG"/>
        </w:rPr>
      </w:pPr>
      <w:r>
        <w:rPr>
          <w:rFonts w:hint="cs"/>
          <w:rtl/>
        </w:rPr>
        <w:t xml:space="preserve">إن الجمعية العالمية لتقييس الاتصالات (ياسمين الحمامات، </w:t>
      </w:r>
      <w:r>
        <w:t>2016</w:t>
      </w:r>
      <w:r>
        <w:rPr>
          <w:rFonts w:hint="cs"/>
          <w:rtl/>
          <w:lang w:bidi="ar-EG"/>
        </w:rPr>
        <w:t>)</w:t>
      </w:r>
      <w:r w:rsidR="002F07ED">
        <w:rPr>
          <w:rFonts w:hint="cs"/>
          <w:rtl/>
          <w:lang w:bidi="ar-EG"/>
        </w:rPr>
        <w:t>،</w:t>
      </w:r>
    </w:p>
    <w:p w:rsidR="008B7B1F" w:rsidRDefault="008B7B1F" w:rsidP="008B7B1F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تضع في اعتبارها</w:t>
      </w:r>
    </w:p>
    <w:p w:rsidR="008B7B1F" w:rsidRDefault="008B7B1F" w:rsidP="00660BE5">
      <w:pPr>
        <w:rPr>
          <w:rtl/>
          <w:lang w:bidi="ar-EG"/>
        </w:rPr>
      </w:pPr>
      <w:r w:rsidRPr="003F6F6C">
        <w:rPr>
          <w:rFonts w:hint="eastAsia"/>
          <w:rtl/>
          <w:lang w:bidi="ar-EG"/>
        </w:rPr>
        <w:t> أ )</w:t>
      </w:r>
      <w:r>
        <w:rPr>
          <w:rFonts w:hint="eastAsia"/>
          <w:rtl/>
          <w:lang w:bidi="ar-EG"/>
        </w:rPr>
        <w:tab/>
      </w:r>
      <w:r w:rsidR="00EC6F51">
        <w:rPr>
          <w:rFonts w:hint="cs"/>
          <w:rtl/>
          <w:lang w:bidi="ar-EG"/>
        </w:rPr>
        <w:t xml:space="preserve">نتائج ورشة </w:t>
      </w:r>
      <w:r w:rsidR="00B314E7">
        <w:rPr>
          <w:rFonts w:hint="cs"/>
          <w:rtl/>
          <w:lang w:bidi="ar-EG"/>
        </w:rPr>
        <w:t>ال</w:t>
      </w:r>
      <w:r w:rsidR="00EC6F51">
        <w:rPr>
          <w:rFonts w:hint="cs"/>
          <w:rtl/>
          <w:lang w:bidi="ar-EG"/>
        </w:rPr>
        <w:t xml:space="preserve">عمل الرفيعة المستوى </w:t>
      </w:r>
      <w:r w:rsidR="00B314E7">
        <w:rPr>
          <w:rFonts w:hint="cs"/>
          <w:rtl/>
          <w:lang w:bidi="ar-EG"/>
        </w:rPr>
        <w:t xml:space="preserve">التي نظمها الاتحاد الدولي للاتصالات </w:t>
      </w:r>
      <w:r w:rsidR="00EC6F51">
        <w:rPr>
          <w:rFonts w:hint="cs"/>
          <w:rtl/>
          <w:lang w:bidi="ar-EG"/>
        </w:rPr>
        <w:t>بشأن التجوال الدولي المتنقل التي عُقدت في</w:t>
      </w:r>
      <w:r w:rsidR="00660BE5">
        <w:rPr>
          <w:rFonts w:hint="eastAsia"/>
          <w:rtl/>
          <w:lang w:bidi="ar-EG"/>
        </w:rPr>
        <w:t> </w:t>
      </w:r>
      <w:r w:rsidR="00EC6F51">
        <w:rPr>
          <w:rFonts w:hint="cs"/>
          <w:rtl/>
          <w:lang w:bidi="ar-EG"/>
        </w:rPr>
        <w:t>جنيف يومي</w:t>
      </w:r>
      <w:r w:rsidR="008C35C1">
        <w:rPr>
          <w:rFonts w:hint="cs"/>
          <w:rtl/>
          <w:lang w:bidi="ar-EG"/>
        </w:rPr>
        <w:t xml:space="preserve">ْ </w:t>
      </w:r>
      <w:r w:rsidR="008C35C1">
        <w:rPr>
          <w:lang w:bidi="ar-EG"/>
        </w:rPr>
        <w:t>23</w:t>
      </w:r>
      <w:r w:rsidR="008C35C1">
        <w:rPr>
          <w:rFonts w:hint="cs"/>
          <w:rtl/>
          <w:lang w:bidi="ar-EG"/>
        </w:rPr>
        <w:t xml:space="preserve"> و</w:t>
      </w:r>
      <w:r w:rsidR="008C35C1">
        <w:rPr>
          <w:lang w:bidi="ar-EG"/>
        </w:rPr>
        <w:t>24</w:t>
      </w:r>
      <w:r w:rsidR="00EC6F51">
        <w:rPr>
          <w:rFonts w:hint="cs"/>
          <w:rtl/>
          <w:lang w:bidi="ar-EG"/>
        </w:rPr>
        <w:t xml:space="preserve"> </w:t>
      </w:r>
      <w:r w:rsidR="00EC6F51">
        <w:rPr>
          <w:rFonts w:hint="eastAsia"/>
          <w:rtl/>
          <w:lang w:bidi="ar-EG"/>
        </w:rPr>
        <w:t>سبتمبر </w:t>
      </w:r>
      <w:r w:rsidR="00EC6F51">
        <w:rPr>
          <w:lang w:bidi="ar-EG"/>
        </w:rPr>
        <w:t>2013</w:t>
      </w:r>
      <w:r w:rsidR="00EC6F51">
        <w:rPr>
          <w:rFonts w:hint="cs"/>
          <w:rtl/>
          <w:lang w:bidi="ar-EG"/>
        </w:rPr>
        <w:t>؛</w:t>
      </w:r>
    </w:p>
    <w:p w:rsidR="00EC6F51" w:rsidRDefault="00EC6F51" w:rsidP="00341080">
      <w:pPr>
        <w:rPr>
          <w:rtl/>
          <w:lang w:bidi="ar-EG"/>
        </w:rPr>
      </w:pPr>
      <w:r w:rsidRPr="00CD060D">
        <w:rPr>
          <w:rtl/>
          <w:lang w:bidi="ar-LB"/>
        </w:rPr>
        <w:t>ﺏ)</w:t>
      </w:r>
      <w:r w:rsidRPr="00CD060D">
        <w:rPr>
          <w:i/>
          <w:iCs/>
          <w:rtl/>
          <w:lang w:bidi="ar-EG"/>
        </w:rPr>
        <w:tab/>
      </w:r>
      <w:r w:rsidRPr="00CD060D">
        <w:rPr>
          <w:rFonts w:hint="cs"/>
          <w:rtl/>
          <w:lang w:bidi="ar-EG"/>
        </w:rPr>
        <w:t xml:space="preserve">نتائج الحوار العالمي للاتحاد </w:t>
      </w:r>
      <w:r w:rsidR="00CD060D">
        <w:rPr>
          <w:rFonts w:hint="cs"/>
          <w:rtl/>
          <w:lang w:bidi="ar-EG"/>
        </w:rPr>
        <w:t xml:space="preserve">الدولي للاتصالات </w:t>
      </w:r>
      <w:r w:rsidRPr="00CD060D">
        <w:rPr>
          <w:rFonts w:hint="cs"/>
          <w:rtl/>
          <w:lang w:bidi="ar-EG"/>
        </w:rPr>
        <w:t xml:space="preserve">بشأن التجوال الدولي المتنقل </w:t>
      </w:r>
      <w:r w:rsidRPr="00CD060D">
        <w:rPr>
          <w:lang w:bidi="ar-EG"/>
        </w:rPr>
        <w:t>(IMR)</w:t>
      </w:r>
      <w:r w:rsidRPr="00CD060D">
        <w:rPr>
          <w:rFonts w:hint="cs"/>
          <w:rtl/>
          <w:lang w:bidi="ar-EG"/>
        </w:rPr>
        <w:t xml:space="preserve"> الذي عُقد في</w:t>
      </w:r>
      <w:r w:rsidR="00660BE5">
        <w:rPr>
          <w:rFonts w:hint="eastAsia"/>
          <w:rtl/>
          <w:lang w:bidi="ar-EG"/>
        </w:rPr>
        <w:t> </w:t>
      </w:r>
      <w:r w:rsidRPr="00CD060D">
        <w:rPr>
          <w:rFonts w:hint="cs"/>
          <w:rtl/>
          <w:lang w:bidi="ar-EG"/>
        </w:rPr>
        <w:t>جنيف في</w:t>
      </w:r>
      <w:r w:rsidR="00341080">
        <w:rPr>
          <w:rFonts w:hint="eastAsia"/>
          <w:rtl/>
          <w:lang w:bidi="ar-EG"/>
        </w:rPr>
        <w:t> </w:t>
      </w:r>
      <w:r w:rsidRPr="00CD060D">
        <w:rPr>
          <w:lang w:bidi="ar-EG"/>
        </w:rPr>
        <w:t>18</w:t>
      </w:r>
      <w:r w:rsidRPr="00CD060D">
        <w:rPr>
          <w:rFonts w:hint="eastAsia"/>
          <w:rtl/>
          <w:lang w:bidi="ar-EG"/>
        </w:rPr>
        <w:t> سبتمبر </w:t>
      </w:r>
      <w:r w:rsidRPr="00CD060D">
        <w:rPr>
          <w:lang w:bidi="ar-EG"/>
        </w:rPr>
        <w:t>2015</w:t>
      </w:r>
      <w:r w:rsidRPr="00CD060D">
        <w:rPr>
          <w:rFonts w:hint="cs"/>
          <w:rtl/>
          <w:lang w:bidi="ar-EG"/>
        </w:rPr>
        <w:t>،</w:t>
      </w:r>
    </w:p>
    <w:p w:rsidR="00EC6F51" w:rsidRDefault="00EC6F51" w:rsidP="00EC6F51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تُدرك</w:t>
      </w:r>
    </w:p>
    <w:p w:rsidR="003C0FA6" w:rsidRDefault="00887CAD" w:rsidP="00887CAD">
      <w:pPr>
        <w:rPr>
          <w:rtl/>
        </w:rPr>
      </w:pPr>
      <w:r>
        <w:rPr>
          <w:rFonts w:hint="eastAsia"/>
          <w:rtl/>
          <w:lang w:bidi="ar-EG"/>
        </w:rPr>
        <w:t> </w:t>
      </w:r>
      <w:r w:rsidR="003C0FA6" w:rsidRPr="003F6F6C">
        <w:rPr>
          <w:rFonts w:hint="cs"/>
          <w:rtl/>
          <w:lang w:bidi="ar-EG"/>
        </w:rPr>
        <w:t>أ</w:t>
      </w:r>
      <w:r>
        <w:rPr>
          <w:rFonts w:hint="eastAsia"/>
          <w:rtl/>
          <w:lang w:bidi="ar-EG"/>
        </w:rPr>
        <w:t> </w:t>
      </w:r>
      <w:r w:rsidR="003C0FA6" w:rsidRPr="003F6F6C">
        <w:rPr>
          <w:rFonts w:hint="cs"/>
          <w:rtl/>
        </w:rPr>
        <w:t>)</w:t>
      </w:r>
      <w:r w:rsidR="003C0FA6" w:rsidRPr="00802D49">
        <w:rPr>
          <w:rFonts w:hint="cs"/>
          <w:rtl/>
        </w:rPr>
        <w:tab/>
        <w:t>أن المهام التي يضطلع بها قطاع تقييس الاتصالات</w:t>
      </w:r>
      <w:r w:rsidR="003C0FA6">
        <w:rPr>
          <w:rFonts w:hint="cs"/>
          <w:rtl/>
        </w:rPr>
        <w:t xml:space="preserve"> بالاتحاد </w:t>
      </w:r>
      <w:r w:rsidR="003C0FA6">
        <w:t>(ITU</w:t>
      </w:r>
      <w:r w:rsidR="003C0FA6">
        <w:noBreakHyphen/>
        <w:t>T)</w:t>
      </w:r>
      <w:r w:rsidR="003C0FA6" w:rsidRPr="00802D49">
        <w:rPr>
          <w:rFonts w:hint="cs"/>
          <w:rtl/>
        </w:rPr>
        <w:t xml:space="preserve"> تشمل التوصيات وتقييم المطابقة والمسائل ذات الآثار السياس</w:t>
      </w:r>
      <w:r w:rsidR="00B314E7">
        <w:rPr>
          <w:rFonts w:hint="cs"/>
          <w:rtl/>
        </w:rPr>
        <w:t>ات</w:t>
      </w:r>
      <w:r w:rsidR="003C0FA6" w:rsidRPr="00802D49">
        <w:rPr>
          <w:rFonts w:hint="cs"/>
          <w:rtl/>
        </w:rPr>
        <w:t>ية أو التنظيمية؛</w:t>
      </w:r>
    </w:p>
    <w:p w:rsidR="003C0FA6" w:rsidRPr="003C0FA6" w:rsidRDefault="003C0FA6" w:rsidP="00485075">
      <w:pPr>
        <w:rPr>
          <w:rtl/>
          <w:lang w:bidi="ar-EG"/>
        </w:rPr>
      </w:pPr>
      <w:r w:rsidRPr="003F6F6C">
        <w:rPr>
          <w:rFonts w:hint="cs"/>
          <w:rtl/>
        </w:rPr>
        <w:t>ب)</w:t>
      </w:r>
      <w:r w:rsidRPr="003C0FA6">
        <w:rPr>
          <w:rFonts w:hint="cs"/>
          <w:i/>
          <w:iCs/>
          <w:rtl/>
        </w:rPr>
        <w:tab/>
      </w:r>
      <w:r>
        <w:rPr>
          <w:rFonts w:hint="cs"/>
          <w:rtl/>
        </w:rPr>
        <w:t xml:space="preserve">أن </w:t>
      </w:r>
      <w:r w:rsidRPr="003C0FA6">
        <w:rPr>
          <w:rtl/>
          <w:lang w:bidi="ar-EG"/>
        </w:rPr>
        <w:t>الاقتصاد</w:t>
      </w:r>
      <w:r>
        <w:rPr>
          <w:rFonts w:hint="cs"/>
          <w:rtl/>
          <w:lang w:bidi="ar-EG"/>
        </w:rPr>
        <w:t xml:space="preserve"> يزداد</w:t>
      </w:r>
      <w:r w:rsidRPr="003C0FA6">
        <w:rPr>
          <w:rtl/>
          <w:lang w:bidi="ar-EG"/>
        </w:rPr>
        <w:t xml:space="preserve"> اعتماداً على تكنولوجيا الاتصالا</w:t>
      </w:r>
      <w:r w:rsidR="00BE674B">
        <w:rPr>
          <w:rtl/>
          <w:lang w:bidi="ar-EG"/>
        </w:rPr>
        <w:t>ت المتنقلة التي تتسم بال</w:t>
      </w:r>
      <w:r w:rsidR="00BE674B">
        <w:rPr>
          <w:rFonts w:hint="cs"/>
          <w:rtl/>
          <w:lang w:bidi="ar-EG"/>
        </w:rPr>
        <w:t>موثوقية</w:t>
      </w:r>
      <w:r w:rsidRPr="003C0FA6">
        <w:rPr>
          <w:rtl/>
          <w:lang w:bidi="ar-EG"/>
        </w:rPr>
        <w:t xml:space="preserve"> والفعالية من حيث التكاليف والتنافسية </w:t>
      </w:r>
      <w:proofErr w:type="spellStart"/>
      <w:r w:rsidR="00485075">
        <w:rPr>
          <w:rFonts w:hint="cs"/>
          <w:rtl/>
          <w:lang w:bidi="ar-EG"/>
        </w:rPr>
        <w:t>وميسورية</w:t>
      </w:r>
      <w:proofErr w:type="spellEnd"/>
      <w:r w:rsidR="00485075">
        <w:rPr>
          <w:rFonts w:hint="cs"/>
          <w:rtl/>
          <w:lang w:bidi="ar-EG"/>
        </w:rPr>
        <w:t xml:space="preserve"> التكاليف</w:t>
      </w:r>
      <w:r w:rsidRPr="003C0FA6">
        <w:rPr>
          <w:rtl/>
          <w:lang w:bidi="ar-EG"/>
        </w:rPr>
        <w:t xml:space="preserve"> على الصعيد العالمي</w:t>
      </w:r>
      <w:r>
        <w:rPr>
          <w:rFonts w:hint="cs"/>
          <w:rtl/>
          <w:lang w:bidi="ar-EG"/>
        </w:rPr>
        <w:t>؛</w:t>
      </w:r>
    </w:p>
    <w:p w:rsidR="00EC6F51" w:rsidRDefault="003C0FA6" w:rsidP="00EF46C5">
      <w:pPr>
        <w:rPr>
          <w:rtl/>
          <w:lang w:bidi="ar-EG"/>
        </w:rPr>
      </w:pPr>
      <w:r w:rsidRPr="007C369E">
        <w:rPr>
          <w:rtl/>
          <w:lang w:bidi="ar-LB"/>
        </w:rPr>
        <w:t>ﺝ)</w:t>
      </w:r>
      <w:r w:rsidRPr="007C369E">
        <w:rPr>
          <w:rFonts w:hint="cs"/>
          <w:i/>
          <w:iCs/>
          <w:rtl/>
          <w:lang w:bidi="ar-EG"/>
        </w:rPr>
        <w:tab/>
      </w:r>
      <w:r w:rsidRPr="00341080">
        <w:rPr>
          <w:rFonts w:hint="cs"/>
          <w:spacing w:val="-6"/>
          <w:rtl/>
          <w:lang w:bidi="ar-EG"/>
        </w:rPr>
        <w:t xml:space="preserve">أن </w:t>
      </w:r>
      <w:r w:rsidR="00EF46C5" w:rsidRPr="00341080">
        <w:rPr>
          <w:rFonts w:hint="cs"/>
          <w:spacing w:val="-6"/>
          <w:rtl/>
          <w:lang w:bidi="ar-EG"/>
        </w:rPr>
        <w:t>أسعار الجملة</w:t>
      </w:r>
      <w:r w:rsidRPr="00341080">
        <w:rPr>
          <w:spacing w:val="-6"/>
          <w:rtl/>
          <w:lang w:bidi="ar-EG"/>
        </w:rPr>
        <w:t xml:space="preserve"> </w:t>
      </w:r>
      <w:r w:rsidR="00EF46C5" w:rsidRPr="00341080">
        <w:rPr>
          <w:rFonts w:hint="cs"/>
          <w:spacing w:val="-6"/>
          <w:rtl/>
          <w:lang w:bidi="ar-EG"/>
        </w:rPr>
        <w:t>ل</w:t>
      </w:r>
      <w:r w:rsidRPr="00341080">
        <w:rPr>
          <w:spacing w:val="-6"/>
          <w:rtl/>
          <w:lang w:bidi="ar-EG"/>
        </w:rPr>
        <w:t xml:space="preserve">لتجوال الدولي المتنقل </w:t>
      </w:r>
      <w:r w:rsidRPr="00341080">
        <w:rPr>
          <w:spacing w:val="-6"/>
          <w:lang w:bidi="ar-EG"/>
        </w:rPr>
        <w:t>(IMR)</w:t>
      </w:r>
      <w:r w:rsidRPr="00341080">
        <w:rPr>
          <w:spacing w:val="-6"/>
          <w:rtl/>
          <w:lang w:bidi="ar-EG"/>
        </w:rPr>
        <w:t xml:space="preserve"> </w:t>
      </w:r>
      <w:r w:rsidR="00036476" w:rsidRPr="00341080">
        <w:rPr>
          <w:rFonts w:hint="cs"/>
          <w:spacing w:val="-6"/>
          <w:rtl/>
          <w:lang w:bidi="ar-EG"/>
        </w:rPr>
        <w:t>غير</w:t>
      </w:r>
      <w:r w:rsidRPr="00341080">
        <w:rPr>
          <w:rFonts w:hint="cs"/>
          <w:spacing w:val="-6"/>
          <w:rtl/>
          <w:lang w:bidi="ar-EG"/>
        </w:rPr>
        <w:t xml:space="preserve"> </w:t>
      </w:r>
      <w:r w:rsidR="00036476" w:rsidRPr="00341080">
        <w:rPr>
          <w:rFonts w:hint="cs"/>
          <w:spacing w:val="-6"/>
          <w:rtl/>
          <w:lang w:bidi="ar-EG"/>
        </w:rPr>
        <w:t>مرتبطة</w:t>
      </w:r>
      <w:r w:rsidRPr="00341080">
        <w:rPr>
          <w:rFonts w:hint="cs"/>
          <w:spacing w:val="-6"/>
          <w:rtl/>
          <w:lang w:bidi="ar-EG"/>
        </w:rPr>
        <w:t xml:space="preserve"> </w:t>
      </w:r>
      <w:r w:rsidR="00036476" w:rsidRPr="00341080">
        <w:rPr>
          <w:rFonts w:hint="cs"/>
          <w:spacing w:val="-6"/>
          <w:rtl/>
          <w:lang w:bidi="ar-EG"/>
        </w:rPr>
        <w:t>بالتكاليف</w:t>
      </w:r>
      <w:r w:rsidRPr="00341080">
        <w:rPr>
          <w:rFonts w:hint="cs"/>
          <w:spacing w:val="-6"/>
          <w:rtl/>
          <w:lang w:bidi="ar-EG"/>
        </w:rPr>
        <w:t xml:space="preserve"> الأساسية، </w:t>
      </w:r>
      <w:r w:rsidR="00036476" w:rsidRPr="00341080">
        <w:rPr>
          <w:rFonts w:hint="cs"/>
          <w:spacing w:val="-6"/>
          <w:rtl/>
          <w:lang w:bidi="ar-EG"/>
        </w:rPr>
        <w:t>ما من شأنه</w:t>
      </w:r>
      <w:r w:rsidRPr="00341080">
        <w:rPr>
          <w:rFonts w:hint="cs"/>
          <w:spacing w:val="-6"/>
          <w:rtl/>
          <w:lang w:bidi="ar-EG"/>
        </w:rPr>
        <w:t xml:space="preserve"> أن يؤثر على أسعار التجزئة،</w:t>
      </w:r>
      <w:r w:rsidRPr="007C369E">
        <w:rPr>
          <w:rFonts w:hint="cs"/>
          <w:rtl/>
          <w:lang w:bidi="ar-EG"/>
        </w:rPr>
        <w:t xml:space="preserve"> بما</w:t>
      </w:r>
      <w:r w:rsidR="00660BE5">
        <w:rPr>
          <w:rFonts w:hint="eastAsia"/>
          <w:rtl/>
          <w:lang w:bidi="ar-EG"/>
        </w:rPr>
        <w:t> </w:t>
      </w:r>
      <w:r w:rsidRPr="007C369E">
        <w:rPr>
          <w:rFonts w:hint="cs"/>
          <w:rtl/>
          <w:lang w:bidi="ar-EG"/>
        </w:rPr>
        <w:t>في</w:t>
      </w:r>
      <w:r w:rsidR="00660BE5">
        <w:rPr>
          <w:rFonts w:hint="eastAsia"/>
          <w:rtl/>
          <w:lang w:bidi="ar-EG"/>
        </w:rPr>
        <w:t> </w:t>
      </w:r>
      <w:r w:rsidRPr="007C369E">
        <w:rPr>
          <w:rFonts w:hint="cs"/>
          <w:rtl/>
          <w:lang w:bidi="ar-EG"/>
        </w:rPr>
        <w:t>ذلك وجود رسوم غير متسقة وعشوائية؛</w:t>
      </w:r>
    </w:p>
    <w:p w:rsidR="003C0FA6" w:rsidRDefault="003C0FA6" w:rsidP="00CD59F7">
      <w:pPr>
        <w:rPr>
          <w:rtl/>
          <w:lang w:bidi="ar-SY"/>
        </w:rPr>
      </w:pPr>
      <w:r w:rsidRPr="003F6F6C">
        <w:rPr>
          <w:rtl/>
          <w:lang w:bidi="ar-LB"/>
        </w:rPr>
        <w:t>ﺩ )</w:t>
      </w:r>
      <w:r w:rsidRPr="003C0FA6">
        <w:rPr>
          <w:i/>
          <w:iCs/>
          <w:rtl/>
          <w:lang w:bidi="ar-EG"/>
        </w:rPr>
        <w:tab/>
      </w:r>
      <w:r w:rsidRPr="003C0FA6">
        <w:rPr>
          <w:rtl/>
          <w:lang w:bidi="ar-SY"/>
        </w:rPr>
        <w:t xml:space="preserve">أن </w:t>
      </w:r>
      <w:r w:rsidR="007F43C8">
        <w:rPr>
          <w:rFonts w:hint="cs"/>
          <w:rtl/>
          <w:lang w:bidi="ar-SY"/>
        </w:rPr>
        <w:t xml:space="preserve">استمرار وجود </w:t>
      </w:r>
      <w:r w:rsidR="00B97908">
        <w:rPr>
          <w:rFonts w:hint="cs"/>
          <w:rtl/>
          <w:lang w:bidi="ar-EG"/>
        </w:rPr>
        <w:t xml:space="preserve">اختلافات </w:t>
      </w:r>
      <w:r w:rsidR="007F43C8">
        <w:rPr>
          <w:rFonts w:hint="cs"/>
          <w:rtl/>
          <w:lang w:bidi="ar-SY"/>
        </w:rPr>
        <w:t xml:space="preserve">كبيرة </w:t>
      </w:r>
      <w:r w:rsidR="00B97908" w:rsidRPr="003C0FA6">
        <w:rPr>
          <w:rtl/>
          <w:lang w:bidi="ar-SY"/>
        </w:rPr>
        <w:t>بين الأسعار المحلية والأسعار ال</w:t>
      </w:r>
      <w:r w:rsidR="00B97908">
        <w:rPr>
          <w:rtl/>
          <w:lang w:bidi="ar-SY"/>
        </w:rPr>
        <w:t>دولية للتجوال المتنقل</w:t>
      </w:r>
      <w:r w:rsidR="00B97908" w:rsidRPr="003C0FA6">
        <w:rPr>
          <w:rtl/>
          <w:lang w:bidi="ar-SY"/>
        </w:rPr>
        <w:t xml:space="preserve"> </w:t>
      </w:r>
      <w:r w:rsidR="00B97908">
        <w:rPr>
          <w:rFonts w:hint="cs"/>
          <w:rtl/>
          <w:lang w:bidi="ar-SY"/>
        </w:rPr>
        <w:t>قد لا</w:t>
      </w:r>
      <w:r w:rsidR="00CD59F7">
        <w:rPr>
          <w:rFonts w:hint="eastAsia"/>
          <w:rtl/>
          <w:lang w:bidi="ar-SY"/>
        </w:rPr>
        <w:t> </w:t>
      </w:r>
      <w:r w:rsidR="00B97908">
        <w:rPr>
          <w:rFonts w:hint="cs"/>
          <w:rtl/>
          <w:lang w:bidi="ar-SY"/>
        </w:rPr>
        <w:t xml:space="preserve">يسمح بوجود </w:t>
      </w:r>
      <w:r w:rsidR="00B97908">
        <w:rPr>
          <w:rtl/>
          <w:lang w:bidi="ar-SY"/>
        </w:rPr>
        <w:t>سوق اتصالات دولية تنافسية</w:t>
      </w:r>
      <w:r>
        <w:rPr>
          <w:rFonts w:hint="cs"/>
          <w:rtl/>
          <w:lang w:bidi="ar-SY"/>
        </w:rPr>
        <w:t>؛</w:t>
      </w:r>
    </w:p>
    <w:p w:rsidR="003C0FA6" w:rsidRDefault="003C0FA6" w:rsidP="008C01D8">
      <w:pPr>
        <w:rPr>
          <w:rtl/>
          <w:lang w:bidi="ar-EG"/>
        </w:rPr>
      </w:pPr>
      <w:r w:rsidRPr="003F6F6C">
        <w:rPr>
          <w:rtl/>
          <w:lang w:bidi="ar-LB"/>
        </w:rPr>
        <w:t>ﻫ )</w:t>
      </w:r>
      <w:r w:rsidRPr="003C0FA6">
        <w:rPr>
          <w:i/>
          <w:iCs/>
          <w:rtl/>
          <w:lang w:bidi="ar-EG"/>
        </w:rPr>
        <w:tab/>
      </w:r>
      <w:r>
        <w:rPr>
          <w:rFonts w:hint="cs"/>
          <w:rtl/>
          <w:lang w:bidi="ar-EG"/>
        </w:rPr>
        <w:t xml:space="preserve">أن هناك </w:t>
      </w:r>
      <w:r w:rsidR="008C01D8">
        <w:rPr>
          <w:rFonts w:hint="cs"/>
          <w:rtl/>
          <w:lang w:bidi="ar-EG"/>
        </w:rPr>
        <w:t>اختلافات في التكاليف بين البلدان والمناطق،</w:t>
      </w:r>
    </w:p>
    <w:p w:rsidR="008F4749" w:rsidRDefault="008F4749" w:rsidP="008F4749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تلاحظ</w:t>
      </w:r>
    </w:p>
    <w:p w:rsidR="008F4749" w:rsidRDefault="00426609" w:rsidP="00EF46C5">
      <w:pPr>
        <w:rPr>
          <w:rtl/>
          <w:lang w:bidi="ar-EG"/>
        </w:rPr>
      </w:pPr>
      <w:r>
        <w:rPr>
          <w:rFonts w:hint="eastAsia"/>
          <w:rtl/>
          <w:lang w:bidi="ar-EG"/>
        </w:rPr>
        <w:t> </w:t>
      </w:r>
      <w:r w:rsidRPr="003F6F6C">
        <w:rPr>
          <w:rFonts w:hint="cs"/>
          <w:rtl/>
          <w:lang w:bidi="ar-EG"/>
        </w:rPr>
        <w:t>أ</w:t>
      </w:r>
      <w:r>
        <w:rPr>
          <w:rFonts w:hint="eastAsia"/>
          <w:rtl/>
          <w:lang w:bidi="ar-EG"/>
        </w:rPr>
        <w:t> </w:t>
      </w:r>
      <w:r w:rsidRPr="003F6F6C">
        <w:rPr>
          <w:rFonts w:hint="cs"/>
          <w:rtl/>
        </w:rPr>
        <w:t>)</w:t>
      </w:r>
      <w:r>
        <w:rPr>
          <w:rtl/>
          <w:lang w:bidi="ar-EG"/>
        </w:rPr>
        <w:tab/>
      </w:r>
      <w:r w:rsidR="00A65849">
        <w:rPr>
          <w:rFonts w:hint="cs"/>
          <w:rtl/>
          <w:lang w:bidi="ar-EG"/>
        </w:rPr>
        <w:t xml:space="preserve">أن </w:t>
      </w:r>
      <w:r w:rsidR="00A65849" w:rsidRPr="00A65849">
        <w:rPr>
          <w:rtl/>
          <w:lang w:bidi="ar-EG"/>
        </w:rPr>
        <w:t>التوصية </w:t>
      </w:r>
      <w:r w:rsidR="00A65849" w:rsidRPr="00A65849">
        <w:rPr>
          <w:lang w:val="en-GB" w:bidi="ar-EG"/>
        </w:rPr>
        <w:t>ITU</w:t>
      </w:r>
      <w:r w:rsidR="00A65849" w:rsidRPr="00A65849">
        <w:rPr>
          <w:lang w:val="en-GB" w:bidi="ar-EG"/>
        </w:rPr>
        <w:noBreakHyphen/>
        <w:t>T D.98</w:t>
      </w:r>
      <w:r w:rsidR="00A65849" w:rsidRPr="00A65849">
        <w:rPr>
          <w:rtl/>
          <w:lang w:bidi="ar-EG"/>
        </w:rPr>
        <w:t xml:space="preserve"> </w:t>
      </w:r>
      <w:r w:rsidR="000D5E06">
        <w:rPr>
          <w:rFonts w:hint="cs"/>
          <w:rtl/>
          <w:lang w:bidi="ar-EG"/>
        </w:rPr>
        <w:t>تمثل</w:t>
      </w:r>
      <w:r w:rsidR="00A65849" w:rsidRPr="00A65849">
        <w:rPr>
          <w:rtl/>
          <w:lang w:bidi="ar-EG"/>
        </w:rPr>
        <w:t xml:space="preserve"> اتفاق</w:t>
      </w:r>
      <w:r w:rsidR="000D5E06">
        <w:rPr>
          <w:rFonts w:hint="cs"/>
          <w:rtl/>
          <w:lang w:bidi="ar-EG"/>
        </w:rPr>
        <w:t>اً</w:t>
      </w:r>
      <w:r w:rsidR="00A65849" w:rsidRPr="00A65849">
        <w:rPr>
          <w:rtl/>
          <w:lang w:bidi="ar-EG"/>
        </w:rPr>
        <w:t xml:space="preserve"> أُبرم بين الدول الأعضاء وأعضاء </w:t>
      </w:r>
      <w:r w:rsidR="00EF46C5">
        <w:rPr>
          <w:rFonts w:hint="cs"/>
          <w:rtl/>
          <w:lang w:bidi="ar-EG"/>
        </w:rPr>
        <w:t>ال</w:t>
      </w:r>
      <w:r w:rsidR="00A65849" w:rsidRPr="00A65849">
        <w:rPr>
          <w:rtl/>
          <w:lang w:bidi="ar-EG"/>
        </w:rPr>
        <w:t>قطاعات في </w:t>
      </w:r>
      <w:r w:rsidR="00A65849" w:rsidRPr="00A65849">
        <w:rPr>
          <w:lang w:bidi="ar-EG"/>
        </w:rPr>
        <w:t>2012</w:t>
      </w:r>
      <w:r w:rsidR="00A65849">
        <w:rPr>
          <w:rFonts w:hint="cs"/>
          <w:rtl/>
          <w:lang w:bidi="ar-EG"/>
        </w:rPr>
        <w:t>؛</w:t>
      </w:r>
    </w:p>
    <w:p w:rsidR="00426609" w:rsidRDefault="00426609" w:rsidP="00DC3566">
      <w:pPr>
        <w:rPr>
          <w:rtl/>
          <w:lang w:bidi="ar-EG"/>
        </w:rPr>
      </w:pPr>
      <w:r w:rsidRPr="003F6F6C">
        <w:rPr>
          <w:rFonts w:hint="cs"/>
          <w:rtl/>
        </w:rPr>
        <w:t>ب)</w:t>
      </w:r>
      <w:r>
        <w:rPr>
          <w:rtl/>
          <w:lang w:bidi="ar-EG"/>
        </w:rPr>
        <w:tab/>
      </w:r>
      <w:r w:rsidR="00A65849">
        <w:rPr>
          <w:rFonts w:hint="cs"/>
          <w:rtl/>
          <w:lang w:bidi="ar-EG"/>
        </w:rPr>
        <w:t xml:space="preserve">أن </w:t>
      </w:r>
      <w:r w:rsidR="00A65849" w:rsidRPr="00A65849">
        <w:rPr>
          <w:rtl/>
        </w:rPr>
        <w:t>التوصية</w:t>
      </w:r>
      <w:r w:rsidR="00DC3566">
        <w:rPr>
          <w:rFonts w:hint="eastAsia"/>
          <w:rtl/>
        </w:rPr>
        <w:t> </w:t>
      </w:r>
      <w:r w:rsidR="00A65849" w:rsidRPr="00A65849">
        <w:rPr>
          <w:lang w:bidi="ar-EG"/>
        </w:rPr>
        <w:t>ITU-T D.97</w:t>
      </w:r>
      <w:r w:rsidR="00F12A71">
        <w:rPr>
          <w:rFonts w:hint="cs"/>
          <w:rtl/>
        </w:rPr>
        <w:t>، التي يُنظر في إقرارها،</w:t>
      </w:r>
      <w:r w:rsidR="00E65592">
        <w:rPr>
          <w:rFonts w:hint="cs"/>
          <w:rtl/>
        </w:rPr>
        <w:t xml:space="preserve"> تُقترح فيها</w:t>
      </w:r>
      <w:r w:rsidR="00F12A71">
        <w:rPr>
          <w:rFonts w:hint="cs"/>
          <w:rtl/>
        </w:rPr>
        <w:t xml:space="preserve"> </w:t>
      </w:r>
      <w:r w:rsidR="00A65849" w:rsidRPr="00A65849">
        <w:rPr>
          <w:rtl/>
        </w:rPr>
        <w:t xml:space="preserve">نُهُج يمكن اتباعها </w:t>
      </w:r>
      <w:r w:rsidR="005B7D68">
        <w:rPr>
          <w:rFonts w:hint="cs"/>
          <w:rtl/>
        </w:rPr>
        <w:t>للحد من</w:t>
      </w:r>
      <w:r w:rsidR="00A65849" w:rsidRPr="00A65849">
        <w:rPr>
          <w:rtl/>
        </w:rPr>
        <w:t xml:space="preserve"> أسعار التجوال المفرطة وتسلط الضوء على ضرورة تشجيع المنافسة في سوق التجوال وتثقيف المستهلكين والنظر في إجراءات تنظيمية مناسبة مثل </w:t>
      </w:r>
      <w:r w:rsidR="00E24B68">
        <w:rPr>
          <w:rFonts w:hint="cs"/>
          <w:rtl/>
        </w:rPr>
        <w:t>اعتماد</w:t>
      </w:r>
      <w:r w:rsidR="00A65849" w:rsidRPr="00A65849">
        <w:rPr>
          <w:rtl/>
        </w:rPr>
        <w:t xml:space="preserve"> أسقف لأسعار</w:t>
      </w:r>
      <w:r w:rsidR="00660BE5">
        <w:rPr>
          <w:rFonts w:hint="eastAsia"/>
          <w:rtl/>
          <w:lang w:bidi="ar-EG"/>
        </w:rPr>
        <w:t> </w:t>
      </w:r>
      <w:r w:rsidR="00A65849" w:rsidRPr="00A65849">
        <w:rPr>
          <w:rtl/>
        </w:rPr>
        <w:t>التجوال</w:t>
      </w:r>
      <w:r w:rsidR="00A65849">
        <w:rPr>
          <w:rFonts w:hint="cs"/>
          <w:b/>
          <w:bCs/>
          <w:rtl/>
        </w:rPr>
        <w:t>،</w:t>
      </w:r>
    </w:p>
    <w:p w:rsidR="00EC50C5" w:rsidRDefault="00EC50C5" w:rsidP="00EC50C5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تقرر</w:t>
      </w:r>
    </w:p>
    <w:p w:rsidR="00EC50C5" w:rsidRDefault="00EC50C5" w:rsidP="00660BE5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أن </w:t>
      </w:r>
      <w:r w:rsidR="00E24B68">
        <w:rPr>
          <w:rFonts w:hint="cs"/>
          <w:rtl/>
          <w:lang w:bidi="ar-EG"/>
        </w:rPr>
        <w:t xml:space="preserve">على </w:t>
      </w:r>
      <w:r>
        <w:rPr>
          <w:rFonts w:hint="cs"/>
          <w:rtl/>
          <w:lang w:bidi="ar-EG"/>
        </w:rPr>
        <w:t>لجنة الدراسات </w:t>
      </w:r>
      <w:r>
        <w:rPr>
          <w:lang w:bidi="ar-EG"/>
        </w:rPr>
        <w:t>3</w:t>
      </w:r>
      <w:r>
        <w:rPr>
          <w:rFonts w:hint="cs"/>
          <w:rtl/>
          <w:lang w:bidi="ar-EG"/>
        </w:rPr>
        <w:t xml:space="preserve"> لقطاع تقييس الاتصالات </w:t>
      </w:r>
      <w:r w:rsidR="00D669BE">
        <w:rPr>
          <w:rFonts w:hint="cs"/>
          <w:rtl/>
          <w:lang w:bidi="ar-EG"/>
        </w:rPr>
        <w:t>مواصلة</w:t>
      </w:r>
      <w:r w:rsidR="00E24B68">
        <w:rPr>
          <w:rFonts w:hint="cs"/>
          <w:rtl/>
          <w:lang w:bidi="ar-EG"/>
        </w:rPr>
        <w:t xml:space="preserve"> دراسة الآثار الاقتصادية لأسعار التجوال </w:t>
      </w:r>
      <w:r w:rsidR="003F0601">
        <w:rPr>
          <w:rFonts w:hint="cs"/>
          <w:rtl/>
          <w:lang w:bidi="ar-EG"/>
        </w:rPr>
        <w:t>الدولي</w:t>
      </w:r>
      <w:r w:rsidR="00660BE5">
        <w:rPr>
          <w:rFonts w:hint="eastAsia"/>
          <w:rtl/>
          <w:lang w:bidi="ar-EG"/>
        </w:rPr>
        <w:t> </w:t>
      </w:r>
      <w:r w:rsidR="003F0601">
        <w:rPr>
          <w:rFonts w:hint="cs"/>
          <w:rtl/>
          <w:lang w:bidi="ar-EG"/>
        </w:rPr>
        <w:t>المتنقل،</w:t>
      </w:r>
    </w:p>
    <w:p w:rsidR="00EC50C5" w:rsidRDefault="00EC50C5" w:rsidP="00D2196D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تكلف مكتب تقييس الاتصالات، بالتعاون الوثيق مع مكتب تنمية الاتصالات</w:t>
      </w:r>
    </w:p>
    <w:p w:rsidR="00EC50C5" w:rsidRDefault="00EC50C5" w:rsidP="00660BE5">
      <w:pPr>
        <w:keepNext/>
        <w:keepLines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بتنظيم مبادرات لإذكاء الوعي بشأن استفادة المستهلك من خفض أسعار التجوال الدولي</w:t>
      </w:r>
      <w:r w:rsidR="00660BE5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المتنقل؛</w:t>
      </w:r>
    </w:p>
    <w:p w:rsidR="003F0601" w:rsidRDefault="00EC50C5" w:rsidP="00660BE5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بدراسة واقتراح نُهج </w:t>
      </w:r>
      <w:r w:rsidR="003F0601">
        <w:rPr>
          <w:rFonts w:hint="cs"/>
          <w:rtl/>
          <w:lang w:bidi="ar-EG"/>
        </w:rPr>
        <w:t xml:space="preserve">تعاونية لتعزيز تنفيذ التوصية </w:t>
      </w:r>
      <w:r w:rsidR="003F0601">
        <w:rPr>
          <w:lang w:bidi="ar-EG"/>
        </w:rPr>
        <w:t>D.98</w:t>
      </w:r>
      <w:r w:rsidR="003F0601">
        <w:rPr>
          <w:rFonts w:hint="cs"/>
          <w:rtl/>
          <w:lang w:bidi="ar-EG"/>
        </w:rPr>
        <w:t xml:space="preserve"> [والتوصية </w:t>
      </w:r>
      <w:r w:rsidR="003F0601">
        <w:rPr>
          <w:lang w:bidi="ar-EG"/>
        </w:rPr>
        <w:t>D.97</w:t>
      </w:r>
      <w:r w:rsidR="003F0601">
        <w:rPr>
          <w:rFonts w:hint="cs"/>
          <w:rtl/>
          <w:lang w:bidi="ar-EG"/>
        </w:rPr>
        <w:t>]</w:t>
      </w:r>
      <w:r w:rsidR="004F0699">
        <w:rPr>
          <w:rFonts w:hint="cs"/>
          <w:rtl/>
          <w:lang w:bidi="ar-EG"/>
        </w:rPr>
        <w:t xml:space="preserve"> لقطاع تقييس الاتصالات، وخفض أسعار التجوال الدولي المتنقل بين الدول الأعضاء</w:t>
      </w:r>
      <w:r w:rsidR="00681257">
        <w:rPr>
          <w:rFonts w:hint="cs"/>
          <w:rtl/>
          <w:lang w:bidi="ar-EG"/>
        </w:rPr>
        <w:t>،</w:t>
      </w:r>
      <w:r w:rsidR="004F0699">
        <w:rPr>
          <w:rFonts w:hint="cs"/>
          <w:rtl/>
          <w:lang w:bidi="ar-EG"/>
        </w:rPr>
        <w:t xml:space="preserve"> من خلال </w:t>
      </w:r>
      <w:r w:rsidR="00681257">
        <w:rPr>
          <w:rFonts w:hint="cs"/>
          <w:rtl/>
          <w:lang w:bidi="ar-EG"/>
        </w:rPr>
        <w:t>الترويج لبرامج</w:t>
      </w:r>
      <w:r w:rsidR="004F0699">
        <w:rPr>
          <w:rFonts w:hint="cs"/>
          <w:rtl/>
          <w:lang w:bidi="ar-EG"/>
        </w:rPr>
        <w:t xml:space="preserve"> بناء القدرات </w:t>
      </w:r>
      <w:r w:rsidR="00B057E2">
        <w:rPr>
          <w:rFonts w:hint="cs"/>
          <w:rtl/>
          <w:lang w:bidi="ar-EG"/>
        </w:rPr>
        <w:t>وورش العمل والمبادئ التوجيهية لاتفاقات التعاون</w:t>
      </w:r>
      <w:r w:rsidR="00660BE5">
        <w:rPr>
          <w:rFonts w:hint="eastAsia"/>
          <w:rtl/>
          <w:lang w:bidi="ar-EG"/>
        </w:rPr>
        <w:t> </w:t>
      </w:r>
      <w:r w:rsidR="00B057E2">
        <w:rPr>
          <w:rFonts w:hint="cs"/>
          <w:rtl/>
          <w:lang w:bidi="ar-EG"/>
        </w:rPr>
        <w:t>الدولية،</w:t>
      </w:r>
    </w:p>
    <w:p w:rsidR="00EC50C5" w:rsidRDefault="00EC50C5" w:rsidP="00D2196D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تدعو الدول الأعضاء</w:t>
      </w:r>
    </w:p>
    <w:p w:rsidR="00EC50C5" w:rsidRDefault="00EC50C5" w:rsidP="00B057E2">
      <w:pPr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إلى اتخاذ تدابير </w:t>
      </w:r>
      <w:r w:rsidR="00B057E2">
        <w:rPr>
          <w:rFonts w:hint="cs"/>
          <w:rtl/>
          <w:lang w:bidi="ar-EG"/>
        </w:rPr>
        <w:t>من أجل</w:t>
      </w:r>
      <w:r>
        <w:rPr>
          <w:rFonts w:hint="cs"/>
          <w:rtl/>
          <w:lang w:bidi="ar-EG"/>
        </w:rPr>
        <w:t xml:space="preserve"> تنفيذ التوصية </w:t>
      </w:r>
      <w:r>
        <w:rPr>
          <w:lang w:bidi="ar-EG"/>
        </w:rPr>
        <w:t>ITU</w:t>
      </w:r>
      <w:r>
        <w:rPr>
          <w:lang w:bidi="ar-EG"/>
        </w:rPr>
        <w:noBreakHyphen/>
        <w:t>T D.98</w:t>
      </w:r>
      <w:r>
        <w:rPr>
          <w:rFonts w:hint="cs"/>
          <w:rtl/>
          <w:lang w:bidi="ar-EG"/>
        </w:rPr>
        <w:t xml:space="preserve"> [والتوصية </w:t>
      </w:r>
      <w:r>
        <w:rPr>
          <w:lang w:bidi="ar-EG"/>
        </w:rPr>
        <w:t>ITU</w:t>
      </w:r>
      <w:r>
        <w:rPr>
          <w:lang w:bidi="ar-EG"/>
        </w:rPr>
        <w:noBreakHyphen/>
        <w:t>T D.97</w:t>
      </w:r>
      <w:r>
        <w:rPr>
          <w:rFonts w:hint="cs"/>
          <w:rtl/>
          <w:lang w:bidi="ar-EG"/>
        </w:rPr>
        <w:t>]؛</w:t>
      </w:r>
    </w:p>
    <w:p w:rsidR="00EC50C5" w:rsidRDefault="00EC50C5" w:rsidP="00660BE5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إلى التعاون في جهود خفض أسعار التجوال الدولي المتنقل</w:t>
      </w:r>
      <w:r w:rsidR="001476BB">
        <w:rPr>
          <w:rFonts w:hint="cs"/>
          <w:rtl/>
          <w:lang w:bidi="ar-EG"/>
        </w:rPr>
        <w:t xml:space="preserve"> باتخاذ تدابير تنظيمية </w:t>
      </w:r>
      <w:r w:rsidR="004E57F7">
        <w:rPr>
          <w:rFonts w:hint="cs"/>
          <w:rtl/>
          <w:lang w:bidi="ar-EG"/>
        </w:rPr>
        <w:t>عند</w:t>
      </w:r>
      <w:r w:rsidR="00660BE5">
        <w:rPr>
          <w:rFonts w:hint="eastAsia"/>
          <w:rtl/>
          <w:lang w:bidi="ar-EG"/>
        </w:rPr>
        <w:t> </w:t>
      </w:r>
      <w:r w:rsidR="001476BB">
        <w:rPr>
          <w:rFonts w:hint="cs"/>
          <w:rtl/>
          <w:lang w:bidi="ar-EG"/>
        </w:rPr>
        <w:t>الاقتضاء.</w:t>
      </w:r>
    </w:p>
    <w:p w:rsidR="00551BB6" w:rsidRDefault="00551BB6" w:rsidP="00551BB6">
      <w:pPr>
        <w:pStyle w:val="Reasons"/>
        <w:rPr>
          <w:rtl/>
          <w:lang w:bidi="ar-EG"/>
        </w:rPr>
      </w:pPr>
    </w:p>
    <w:p w:rsidR="001476BB" w:rsidRDefault="001476BB" w:rsidP="00A65849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476BB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332893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332893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B27CF8">
      <w:rPr>
        <w:rFonts w:cs="Times New Roman"/>
        <w:noProof/>
        <w:sz w:val="16"/>
        <w:szCs w:val="16"/>
        <w:lang w:val="fr-CH"/>
      </w:rPr>
      <w:t>P:\ARA\ITU-T\CONF-T\WTSA16\000\046ADD08A.docx</w:t>
    </w:r>
    <w:r w:rsidRPr="00E07379">
      <w:rPr>
        <w:rFonts w:cs="Times New Roman"/>
        <w:sz w:val="16"/>
        <w:szCs w:val="16"/>
      </w:rPr>
      <w:fldChar w:fldCharType="end"/>
    </w:r>
    <w:r w:rsidR="00332893" w:rsidRPr="00332893">
      <w:rPr>
        <w:rFonts w:cs="Times New Roman"/>
        <w:sz w:val="16"/>
        <w:szCs w:val="16"/>
        <w:lang w:val="fr-CH"/>
      </w:rPr>
      <w:t xml:space="preserve">   (405063)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1569"/>
      <w:gridCol w:w="3960"/>
      <w:gridCol w:w="4110"/>
    </w:tblGrid>
    <w:tr w:rsidR="00BF4DA5" w:rsidRPr="009A1D8C" w:rsidTr="00BF4DA5">
      <w:trPr>
        <w:cantSplit/>
        <w:jc w:val="center"/>
      </w:trPr>
      <w:tc>
        <w:tcPr>
          <w:tcW w:w="814" w:type="pct"/>
        </w:tcPr>
        <w:p w:rsidR="00BF4DA5" w:rsidRPr="009A1D8C" w:rsidRDefault="00BF4DA5" w:rsidP="00BF4DA5">
          <w:pPr>
            <w:spacing w:before="60" w:after="60" w:line="300" w:lineRule="exact"/>
            <w:rPr>
              <w:b/>
              <w:bCs/>
              <w:sz w:val="20"/>
              <w:szCs w:val="26"/>
            </w:rPr>
          </w:pPr>
          <w:r w:rsidRPr="009A1D8C">
            <w:rPr>
              <w:rFonts w:hint="cs"/>
              <w:b/>
              <w:bCs/>
              <w:sz w:val="20"/>
              <w:szCs w:val="26"/>
              <w:rtl/>
            </w:rPr>
            <w:t>للاتصال:</w:t>
          </w:r>
        </w:p>
      </w:tc>
      <w:tc>
        <w:tcPr>
          <w:tcW w:w="2054" w:type="pct"/>
        </w:tcPr>
        <w:p w:rsidR="00BF4DA5" w:rsidRPr="009A1D8C" w:rsidRDefault="008C35C1" w:rsidP="00B372F6">
          <w:pPr>
            <w:spacing w:before="60" w:after="60" w:line="300" w:lineRule="exact"/>
            <w:jc w:val="left"/>
            <w:rPr>
              <w:sz w:val="20"/>
              <w:szCs w:val="26"/>
              <w:rtl/>
              <w:lang w:bidi="ar-EG"/>
            </w:rPr>
          </w:pPr>
          <w:r w:rsidRPr="009A1D8C">
            <w:rPr>
              <w:rFonts w:hint="cs"/>
              <w:sz w:val="20"/>
              <w:szCs w:val="26"/>
              <w:rtl/>
              <w:lang w:val="es-ES" w:bidi="ar-SY"/>
            </w:rPr>
            <w:t>أوسكار ليون</w:t>
          </w:r>
          <w:r w:rsidR="00BF4DA5" w:rsidRPr="009A1D8C">
            <w:rPr>
              <w:sz w:val="20"/>
              <w:szCs w:val="26"/>
              <w:rtl/>
              <w:lang w:bidi="ar-SY"/>
            </w:rPr>
            <w:tab/>
          </w:r>
          <w:r w:rsidR="00BF4DA5" w:rsidRPr="009A1D8C">
            <w:rPr>
              <w:sz w:val="20"/>
              <w:szCs w:val="26"/>
              <w:rtl/>
              <w:lang w:bidi="ar-SY"/>
            </w:rPr>
            <w:br/>
          </w:r>
          <w:r w:rsidR="00BF4DA5" w:rsidRPr="009A1D8C">
            <w:rPr>
              <w:rFonts w:hint="cs"/>
              <w:sz w:val="20"/>
              <w:szCs w:val="26"/>
              <w:rtl/>
              <w:lang w:bidi="ar-EG"/>
            </w:rPr>
            <w:t>لجنة البلدان الأمريكية للاتصالات</w:t>
          </w:r>
          <w:r w:rsidR="00B372F6" w:rsidRPr="009A1D8C">
            <w:rPr>
              <w:rFonts w:hint="cs"/>
              <w:sz w:val="20"/>
              <w:szCs w:val="26"/>
              <w:rtl/>
              <w:lang w:bidi="ar-EG"/>
            </w:rPr>
            <w:t xml:space="preserve"> </w:t>
          </w:r>
          <w:r w:rsidR="00B372F6" w:rsidRPr="009A1D8C">
            <w:rPr>
              <w:sz w:val="20"/>
              <w:szCs w:val="26"/>
              <w:lang w:bidi="ar-EG"/>
            </w:rPr>
            <w:t>(CITEL)</w:t>
          </w:r>
          <w:r w:rsidR="00BF4DA5" w:rsidRPr="009A1D8C">
            <w:rPr>
              <w:sz w:val="20"/>
              <w:szCs w:val="26"/>
              <w:rtl/>
              <w:lang w:bidi="ar-EG"/>
            </w:rPr>
            <w:br/>
          </w:r>
          <w:r w:rsidR="00BF4DA5" w:rsidRPr="009A1D8C">
            <w:rPr>
              <w:rFonts w:hint="cs"/>
              <w:sz w:val="20"/>
              <w:szCs w:val="26"/>
              <w:rtl/>
              <w:lang w:bidi="ar-EG"/>
            </w:rPr>
            <w:t>واشنطن العاصمة، الولايات المتحدة الأمريكية</w:t>
          </w:r>
        </w:p>
      </w:tc>
      <w:tc>
        <w:tcPr>
          <w:tcW w:w="2132" w:type="pct"/>
        </w:tcPr>
        <w:p w:rsidR="00BF4DA5" w:rsidRPr="009A1D8C" w:rsidRDefault="00BF4DA5" w:rsidP="00BF4DA5">
          <w:pPr>
            <w:spacing w:before="60" w:after="60" w:line="300" w:lineRule="exact"/>
            <w:rPr>
              <w:sz w:val="20"/>
              <w:szCs w:val="26"/>
            </w:rPr>
          </w:pPr>
          <w:r w:rsidRPr="009A1D8C">
            <w:rPr>
              <w:rFonts w:hint="cs"/>
              <w:sz w:val="20"/>
              <w:szCs w:val="26"/>
              <w:rtl/>
            </w:rPr>
            <w:t>الهاتف:</w:t>
          </w:r>
          <w:r w:rsidRPr="009A1D8C">
            <w:rPr>
              <w:sz w:val="20"/>
              <w:szCs w:val="26"/>
            </w:rPr>
            <w:tab/>
            <w:t>+1 (202) 370-4713</w:t>
          </w:r>
        </w:p>
        <w:p w:rsidR="00BF4DA5" w:rsidRPr="009A1D8C" w:rsidRDefault="00BF4DA5" w:rsidP="00BF4DA5">
          <w:pPr>
            <w:spacing w:before="60" w:after="60" w:line="300" w:lineRule="exact"/>
            <w:rPr>
              <w:sz w:val="20"/>
              <w:szCs w:val="26"/>
              <w:rtl/>
              <w:lang w:bidi="ar-EG"/>
            </w:rPr>
          </w:pPr>
          <w:r w:rsidRPr="009A1D8C">
            <w:rPr>
              <w:rFonts w:hint="cs"/>
              <w:sz w:val="20"/>
              <w:szCs w:val="26"/>
              <w:rtl/>
              <w:lang w:bidi="ar-EG"/>
            </w:rPr>
            <w:t>الفاكس:</w:t>
          </w:r>
          <w:r w:rsidRPr="009A1D8C">
            <w:rPr>
              <w:sz w:val="20"/>
              <w:szCs w:val="26"/>
              <w:rtl/>
              <w:lang w:bidi="ar-EG"/>
            </w:rPr>
            <w:tab/>
          </w:r>
          <w:r w:rsidRPr="009A1D8C">
            <w:rPr>
              <w:sz w:val="20"/>
              <w:szCs w:val="26"/>
              <w:lang w:bidi="ar-EG"/>
            </w:rPr>
            <w:t>+1 (202) 458-6854</w:t>
          </w:r>
        </w:p>
        <w:p w:rsidR="00BF4DA5" w:rsidRPr="009A1D8C" w:rsidRDefault="00BF4DA5" w:rsidP="00BF4DA5">
          <w:pPr>
            <w:spacing w:before="60" w:after="60" w:line="300" w:lineRule="exact"/>
            <w:rPr>
              <w:sz w:val="20"/>
              <w:szCs w:val="26"/>
              <w:rtl/>
              <w:lang w:bidi="ar-SY"/>
            </w:rPr>
          </w:pPr>
          <w:r w:rsidRPr="009A1D8C">
            <w:rPr>
              <w:rFonts w:hint="cs"/>
              <w:sz w:val="20"/>
              <w:szCs w:val="26"/>
              <w:rtl/>
            </w:rPr>
            <w:t>البريد الإلكتروني:</w:t>
          </w:r>
          <w:r w:rsidRPr="009A1D8C">
            <w:rPr>
              <w:sz w:val="20"/>
              <w:szCs w:val="26"/>
            </w:rPr>
            <w:tab/>
          </w:r>
          <w:hyperlink r:id="rId1" w:history="1">
            <w:r w:rsidRPr="009A1D8C">
              <w:rPr>
                <w:rStyle w:val="Hyperlink"/>
                <w:sz w:val="20"/>
                <w:szCs w:val="26"/>
              </w:rPr>
              <w:t>citel@oas.org</w:t>
            </w:r>
          </w:hyperlink>
        </w:p>
      </w:tc>
    </w:tr>
  </w:tbl>
  <w:p w:rsidR="00E07379" w:rsidRPr="00BF4DA5" w:rsidRDefault="00E07379" w:rsidP="00E07379">
    <w:pPr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5D6C0D" w:rsidRDefault="0022345D" w:rsidP="005D6C0D">
    <w:pPr>
      <w:bidi w:val="0"/>
      <w:spacing w:after="360" w:line="240" w:lineRule="auto"/>
      <w:jc w:val="center"/>
      <w:rPr>
        <w:rStyle w:val="PageNumber"/>
        <w:sz w:val="16"/>
        <w:szCs w:val="16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9A1D8C">
      <w:rPr>
        <w:rStyle w:val="PageNumber"/>
        <w:noProof/>
        <w:sz w:val="18"/>
        <w:szCs w:val="18"/>
      </w:rPr>
      <w:t>2</w:t>
    </w:r>
    <w:r w:rsidRPr="005D6C0D">
      <w:rPr>
        <w:rStyle w:val="PageNumber"/>
        <w:sz w:val="18"/>
        <w:szCs w:val="18"/>
      </w:rPr>
      <w:fldChar w:fldCharType="end"/>
    </w:r>
    <w:r w:rsidRPr="005D6C0D">
      <w:rPr>
        <w:rStyle w:val="PageNumber"/>
        <w:sz w:val="18"/>
        <w:szCs w:val="18"/>
        <w:rtl/>
      </w:rPr>
      <w:br/>
    </w:r>
    <w:r w:rsidR="005D6C0D" w:rsidRPr="005D6C0D">
      <w:rPr>
        <w:sz w:val="18"/>
        <w:szCs w:val="24"/>
      </w:rPr>
      <w:t>WTSA16/46(Add.8)-A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124CC"/>
    <w:rsid w:val="00036476"/>
    <w:rsid w:val="00046444"/>
    <w:rsid w:val="00050DD4"/>
    <w:rsid w:val="0006023B"/>
    <w:rsid w:val="0008638B"/>
    <w:rsid w:val="00090574"/>
    <w:rsid w:val="00092FC2"/>
    <w:rsid w:val="000A1677"/>
    <w:rsid w:val="000A16D7"/>
    <w:rsid w:val="000B407F"/>
    <w:rsid w:val="000D5E06"/>
    <w:rsid w:val="000F0B1C"/>
    <w:rsid w:val="000F1D42"/>
    <w:rsid w:val="000F4D07"/>
    <w:rsid w:val="00102A03"/>
    <w:rsid w:val="001040A3"/>
    <w:rsid w:val="001476BB"/>
    <w:rsid w:val="00173915"/>
    <w:rsid w:val="0021068D"/>
    <w:rsid w:val="0022345D"/>
    <w:rsid w:val="00225854"/>
    <w:rsid w:val="0023283D"/>
    <w:rsid w:val="00252E0C"/>
    <w:rsid w:val="00276881"/>
    <w:rsid w:val="002978F4"/>
    <w:rsid w:val="002B028D"/>
    <w:rsid w:val="002B435E"/>
    <w:rsid w:val="002C4DAE"/>
    <w:rsid w:val="002E3F96"/>
    <w:rsid w:val="002E6541"/>
    <w:rsid w:val="002F07ED"/>
    <w:rsid w:val="002F5560"/>
    <w:rsid w:val="0030486B"/>
    <w:rsid w:val="003231B9"/>
    <w:rsid w:val="003275AC"/>
    <w:rsid w:val="00332893"/>
    <w:rsid w:val="00333D29"/>
    <w:rsid w:val="003409F4"/>
    <w:rsid w:val="00341080"/>
    <w:rsid w:val="00357185"/>
    <w:rsid w:val="003C0FA6"/>
    <w:rsid w:val="003C475F"/>
    <w:rsid w:val="003E4132"/>
    <w:rsid w:val="003F0601"/>
    <w:rsid w:val="003F678F"/>
    <w:rsid w:val="003F6F6C"/>
    <w:rsid w:val="00426609"/>
    <w:rsid w:val="0042686F"/>
    <w:rsid w:val="004367CE"/>
    <w:rsid w:val="00443869"/>
    <w:rsid w:val="004712C6"/>
    <w:rsid w:val="00485075"/>
    <w:rsid w:val="00497703"/>
    <w:rsid w:val="004B465F"/>
    <w:rsid w:val="004D73E8"/>
    <w:rsid w:val="004E409B"/>
    <w:rsid w:val="004E57F7"/>
    <w:rsid w:val="004F0699"/>
    <w:rsid w:val="004F0F06"/>
    <w:rsid w:val="00501E0E"/>
    <w:rsid w:val="005111BA"/>
    <w:rsid w:val="005204D7"/>
    <w:rsid w:val="00521B07"/>
    <w:rsid w:val="00551BB6"/>
    <w:rsid w:val="00552BC5"/>
    <w:rsid w:val="00554E4E"/>
    <w:rsid w:val="0055516A"/>
    <w:rsid w:val="0056374C"/>
    <w:rsid w:val="0056614F"/>
    <w:rsid w:val="0057656F"/>
    <w:rsid w:val="00576731"/>
    <w:rsid w:val="00576819"/>
    <w:rsid w:val="0059285F"/>
    <w:rsid w:val="005A24B1"/>
    <w:rsid w:val="005B7B8A"/>
    <w:rsid w:val="005B7D68"/>
    <w:rsid w:val="005D6476"/>
    <w:rsid w:val="005D6C0D"/>
    <w:rsid w:val="005E5283"/>
    <w:rsid w:val="005E58F5"/>
    <w:rsid w:val="005F5274"/>
    <w:rsid w:val="00606660"/>
    <w:rsid w:val="006157A3"/>
    <w:rsid w:val="0061686C"/>
    <w:rsid w:val="00620E60"/>
    <w:rsid w:val="0063315A"/>
    <w:rsid w:val="00652479"/>
    <w:rsid w:val="0065591D"/>
    <w:rsid w:val="00660BE5"/>
    <w:rsid w:val="00662C5A"/>
    <w:rsid w:val="00670AF5"/>
    <w:rsid w:val="00681257"/>
    <w:rsid w:val="006C1556"/>
    <w:rsid w:val="006D6E38"/>
    <w:rsid w:val="006D7FEE"/>
    <w:rsid w:val="006E645F"/>
    <w:rsid w:val="006F267F"/>
    <w:rsid w:val="006F63F7"/>
    <w:rsid w:val="006F6F03"/>
    <w:rsid w:val="00706D7A"/>
    <w:rsid w:val="00726AEC"/>
    <w:rsid w:val="007354DA"/>
    <w:rsid w:val="007530CA"/>
    <w:rsid w:val="00772479"/>
    <w:rsid w:val="00773072"/>
    <w:rsid w:val="0079553D"/>
    <w:rsid w:val="007B01CC"/>
    <w:rsid w:val="007C369E"/>
    <w:rsid w:val="007F43C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7CAD"/>
    <w:rsid w:val="008A1810"/>
    <w:rsid w:val="008B7B1F"/>
    <w:rsid w:val="008C01D8"/>
    <w:rsid w:val="008C35C1"/>
    <w:rsid w:val="008E6D14"/>
    <w:rsid w:val="008F4749"/>
    <w:rsid w:val="00917694"/>
    <w:rsid w:val="009263CD"/>
    <w:rsid w:val="00930E6D"/>
    <w:rsid w:val="00960548"/>
    <w:rsid w:val="00964C9A"/>
    <w:rsid w:val="00972CA2"/>
    <w:rsid w:val="00982B28"/>
    <w:rsid w:val="00984EA5"/>
    <w:rsid w:val="00992593"/>
    <w:rsid w:val="009A1D8C"/>
    <w:rsid w:val="009C17E1"/>
    <w:rsid w:val="009C35ED"/>
    <w:rsid w:val="009F1C12"/>
    <w:rsid w:val="00A25A43"/>
    <w:rsid w:val="00A3295B"/>
    <w:rsid w:val="00A42AE5"/>
    <w:rsid w:val="00A52B61"/>
    <w:rsid w:val="00A64820"/>
    <w:rsid w:val="00A65849"/>
    <w:rsid w:val="00A71DD6"/>
    <w:rsid w:val="00A723C7"/>
    <w:rsid w:val="00A80E11"/>
    <w:rsid w:val="00A97F94"/>
    <w:rsid w:val="00AB1309"/>
    <w:rsid w:val="00AC2C52"/>
    <w:rsid w:val="00AC5E69"/>
    <w:rsid w:val="00AD1503"/>
    <w:rsid w:val="00AE7244"/>
    <w:rsid w:val="00AF3FEE"/>
    <w:rsid w:val="00B02F46"/>
    <w:rsid w:val="00B057E2"/>
    <w:rsid w:val="00B127F0"/>
    <w:rsid w:val="00B2000C"/>
    <w:rsid w:val="00B20ADE"/>
    <w:rsid w:val="00B27CF8"/>
    <w:rsid w:val="00B314E7"/>
    <w:rsid w:val="00B372F6"/>
    <w:rsid w:val="00B41560"/>
    <w:rsid w:val="00B46453"/>
    <w:rsid w:val="00B66B9A"/>
    <w:rsid w:val="00B82089"/>
    <w:rsid w:val="00B970AE"/>
    <w:rsid w:val="00B97908"/>
    <w:rsid w:val="00BA1427"/>
    <w:rsid w:val="00BE49D0"/>
    <w:rsid w:val="00BE674B"/>
    <w:rsid w:val="00BF2C38"/>
    <w:rsid w:val="00BF4DA5"/>
    <w:rsid w:val="00BF4E1B"/>
    <w:rsid w:val="00C0174D"/>
    <w:rsid w:val="00C23331"/>
    <w:rsid w:val="00C238E9"/>
    <w:rsid w:val="00C265DA"/>
    <w:rsid w:val="00C442F2"/>
    <w:rsid w:val="00C46460"/>
    <w:rsid w:val="00C674FE"/>
    <w:rsid w:val="00C7297D"/>
    <w:rsid w:val="00C75633"/>
    <w:rsid w:val="00C8242E"/>
    <w:rsid w:val="00C82615"/>
    <w:rsid w:val="00C867DB"/>
    <w:rsid w:val="00CA2A38"/>
    <w:rsid w:val="00CA50FF"/>
    <w:rsid w:val="00CB1F28"/>
    <w:rsid w:val="00CC3CD2"/>
    <w:rsid w:val="00CC43BE"/>
    <w:rsid w:val="00CD060D"/>
    <w:rsid w:val="00CD123C"/>
    <w:rsid w:val="00CD2085"/>
    <w:rsid w:val="00CD59F7"/>
    <w:rsid w:val="00CE2EE1"/>
    <w:rsid w:val="00CF0D4A"/>
    <w:rsid w:val="00CF3FFD"/>
    <w:rsid w:val="00D0494C"/>
    <w:rsid w:val="00D14BEB"/>
    <w:rsid w:val="00D16B70"/>
    <w:rsid w:val="00D2196D"/>
    <w:rsid w:val="00D21C89"/>
    <w:rsid w:val="00D33BEA"/>
    <w:rsid w:val="00D3785E"/>
    <w:rsid w:val="00D45542"/>
    <w:rsid w:val="00D669BE"/>
    <w:rsid w:val="00D77D0F"/>
    <w:rsid w:val="00D8504A"/>
    <w:rsid w:val="00DA1CF0"/>
    <w:rsid w:val="00DA2045"/>
    <w:rsid w:val="00DB2271"/>
    <w:rsid w:val="00DB5659"/>
    <w:rsid w:val="00DC24B4"/>
    <w:rsid w:val="00DC3566"/>
    <w:rsid w:val="00DD7A05"/>
    <w:rsid w:val="00DF16DC"/>
    <w:rsid w:val="00DF19EA"/>
    <w:rsid w:val="00DF5361"/>
    <w:rsid w:val="00E009A1"/>
    <w:rsid w:val="00E00D15"/>
    <w:rsid w:val="00E071BE"/>
    <w:rsid w:val="00E07379"/>
    <w:rsid w:val="00E14494"/>
    <w:rsid w:val="00E17033"/>
    <w:rsid w:val="00E24B68"/>
    <w:rsid w:val="00E32189"/>
    <w:rsid w:val="00E45211"/>
    <w:rsid w:val="00E65592"/>
    <w:rsid w:val="00E7380C"/>
    <w:rsid w:val="00E74BE7"/>
    <w:rsid w:val="00E8288D"/>
    <w:rsid w:val="00E86CC9"/>
    <w:rsid w:val="00E96624"/>
    <w:rsid w:val="00EC3B3D"/>
    <w:rsid w:val="00EC50C5"/>
    <w:rsid w:val="00EC6F51"/>
    <w:rsid w:val="00EF46C5"/>
    <w:rsid w:val="00EF5B22"/>
    <w:rsid w:val="00F126F1"/>
    <w:rsid w:val="00F12A71"/>
    <w:rsid w:val="00F2106A"/>
    <w:rsid w:val="00F36D8B"/>
    <w:rsid w:val="00F401D0"/>
    <w:rsid w:val="00F45F2B"/>
    <w:rsid w:val="00F57AE4"/>
    <w:rsid w:val="00F67150"/>
    <w:rsid w:val="00F67C3D"/>
    <w:rsid w:val="00F8013A"/>
    <w:rsid w:val="00F84366"/>
    <w:rsid w:val="00F85089"/>
    <w:rsid w:val="00F85564"/>
    <w:rsid w:val="00F86CFA"/>
    <w:rsid w:val="00FB0EA7"/>
    <w:rsid w:val="00FD58BD"/>
    <w:rsid w:val="00FE0B71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b0298c4-f29f-49a1-91ae-0c0cad6eab36">Documents Proposals Manager (DPM)</DPM_x0020_Author>
    <DPM_x0020_File_x0020_name xmlns="2b0298c4-f29f-49a1-91ae-0c0cad6eab36">T13-WTSA.16-C-0046!A8!MSW-A</DPM_x0020_File_x0020_name>
    <DPM_x0020_Version xmlns="2b0298c4-f29f-49a1-91ae-0c0cad6eab36">DPM_v2016.9.23.1_prod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b0298c4-f29f-49a1-91ae-0c0cad6eab36" targetNamespace="http://schemas.microsoft.com/office/2006/metadata/properties" ma:root="true" ma:fieldsID="d41af5c836d734370eb92e7ee5f83852" ns2:_="" ns3:_="">
    <xsd:import namespace="996b2e75-67fd-4955-a3b0-5ab9934cb50b"/>
    <xsd:import namespace="2b0298c4-f29f-49a1-91ae-0c0cad6eab3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298c4-f29f-49a1-91ae-0c0cad6eab3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2b0298c4-f29f-49a1-91ae-0c0cad6eab36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b0298c4-f29f-49a1-91ae-0c0cad6ea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1CBB2-F904-49B6-AD07-F865C6CF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T13-WTSA.16-C-0046!A8!MSW-A</vt:lpstr>
    </vt:vector>
  </TitlesOfParts>
  <Company>International Telecommunication Union (ITU)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T13-WTSA.16-C-0046!A8!MSW-A</dc:title>
  <dc:subject>World Telecommunication Standardization Assembly</dc:subject>
  <dc:creator>Documents Proposals Manager (DPM)</dc:creator>
  <cp:keywords>DPM_v2016.9.23.1_prod</cp:keywords>
  <dc:description>Template used by DPM and CPI for the WTSA-16</dc:description>
  <cp:lastModifiedBy>Awad, Samy</cp:lastModifiedBy>
  <cp:revision>26</cp:revision>
  <cp:lastPrinted>2016-06-07T13:25:00Z</cp:lastPrinted>
  <dcterms:created xsi:type="dcterms:W3CDTF">2016-09-30T14:27:00Z</dcterms:created>
  <dcterms:modified xsi:type="dcterms:W3CDTF">2016-10-03T17:36:00Z</dcterms:modified>
  <cp:category>Conference document</cp:category>
</cp:coreProperties>
</file>