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E81BAB" w:rsidTr="002B67C8">
        <w:trPr>
          <w:cantSplit/>
        </w:trPr>
        <w:tc>
          <w:tcPr>
            <w:tcW w:w="1560" w:type="dxa"/>
          </w:tcPr>
          <w:p w:rsidR="00261604" w:rsidRPr="00E81BAB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81BAB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E81BAB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81BAB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B06DFD" w:rsidRPr="00E81BAB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E81BAB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E81BAB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E81BA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E81BAB" w:rsidRDefault="00261604" w:rsidP="00190D8B">
            <w:pPr>
              <w:spacing w:line="240" w:lineRule="atLeast"/>
              <w:jc w:val="right"/>
            </w:pPr>
            <w:r w:rsidRPr="00E81BAB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E81BAB" w:rsidTr="002B67C8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E81BAB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E81BAB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E81BAB" w:rsidTr="002B67C8">
        <w:trPr>
          <w:cantSplit/>
        </w:trPr>
        <w:tc>
          <w:tcPr>
            <w:tcW w:w="6350" w:type="dxa"/>
            <w:gridSpan w:val="2"/>
          </w:tcPr>
          <w:p w:rsidR="00E11080" w:rsidRPr="00E81BA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81BA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E81BAB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81BA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7</w:t>
            </w:r>
            <w:r w:rsidRPr="00E81BA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46-R</w:t>
            </w:r>
          </w:p>
        </w:tc>
      </w:tr>
      <w:tr w:rsidR="00E11080" w:rsidRPr="00E81BAB" w:rsidTr="002B67C8">
        <w:trPr>
          <w:cantSplit/>
        </w:trPr>
        <w:tc>
          <w:tcPr>
            <w:tcW w:w="6350" w:type="dxa"/>
            <w:gridSpan w:val="2"/>
          </w:tcPr>
          <w:p w:rsidR="00E11080" w:rsidRPr="00E81BA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E81BAB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81BAB">
              <w:rPr>
                <w:rFonts w:ascii="Verdana" w:hAnsi="Verdana"/>
                <w:b/>
                <w:bCs/>
                <w:sz w:val="18"/>
                <w:szCs w:val="18"/>
              </w:rPr>
              <w:t>22 сентября 2016 года</w:t>
            </w:r>
          </w:p>
        </w:tc>
      </w:tr>
      <w:tr w:rsidR="00E11080" w:rsidRPr="00E81BAB" w:rsidTr="002B67C8">
        <w:trPr>
          <w:cantSplit/>
        </w:trPr>
        <w:tc>
          <w:tcPr>
            <w:tcW w:w="6350" w:type="dxa"/>
            <w:gridSpan w:val="2"/>
          </w:tcPr>
          <w:p w:rsidR="00E11080" w:rsidRPr="00E81BA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E81BAB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81BA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E81BAB" w:rsidTr="002B67C8">
        <w:trPr>
          <w:cantSplit/>
        </w:trPr>
        <w:tc>
          <w:tcPr>
            <w:tcW w:w="9781" w:type="dxa"/>
            <w:gridSpan w:val="4"/>
          </w:tcPr>
          <w:p w:rsidR="00E11080" w:rsidRPr="00E81BAB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E81BAB" w:rsidTr="002B67C8">
        <w:trPr>
          <w:cantSplit/>
        </w:trPr>
        <w:tc>
          <w:tcPr>
            <w:tcW w:w="9781" w:type="dxa"/>
            <w:gridSpan w:val="4"/>
          </w:tcPr>
          <w:p w:rsidR="00E11080" w:rsidRPr="00E81BAB" w:rsidRDefault="00E11080" w:rsidP="00B06DFD">
            <w:pPr>
              <w:pStyle w:val="Source"/>
            </w:pPr>
            <w:r w:rsidRPr="00E81BAB">
              <w:t>Государства – члены Межамериканской комиссии по электросвязи (СИТЕЛ)</w:t>
            </w:r>
          </w:p>
        </w:tc>
      </w:tr>
      <w:tr w:rsidR="00E11080" w:rsidRPr="00E81BAB" w:rsidTr="002B67C8">
        <w:trPr>
          <w:cantSplit/>
        </w:trPr>
        <w:tc>
          <w:tcPr>
            <w:tcW w:w="9781" w:type="dxa"/>
            <w:gridSpan w:val="4"/>
          </w:tcPr>
          <w:p w:rsidR="00E11080" w:rsidRPr="00E81BAB" w:rsidRDefault="006E1922" w:rsidP="00B06DFD">
            <w:pPr>
              <w:pStyle w:val="Title1"/>
            </w:pPr>
            <w:r w:rsidRPr="00E81BAB">
              <w:t xml:space="preserve">предлагаемая новая резолюция [IAP-3] − использование преимуществ интернета вещей в интересах </w:t>
            </w:r>
            <w:r w:rsidR="00E81BAB" w:rsidRPr="00E81BAB">
              <w:br/>
            </w:r>
            <w:r w:rsidRPr="00E81BAB">
              <w:t>глобального развития</w:t>
            </w:r>
          </w:p>
        </w:tc>
      </w:tr>
      <w:tr w:rsidR="00E11080" w:rsidRPr="00E81BAB" w:rsidTr="002B67C8">
        <w:trPr>
          <w:cantSplit/>
        </w:trPr>
        <w:tc>
          <w:tcPr>
            <w:tcW w:w="9781" w:type="dxa"/>
            <w:gridSpan w:val="4"/>
          </w:tcPr>
          <w:p w:rsidR="00E11080" w:rsidRPr="00E81BAB" w:rsidRDefault="00E11080" w:rsidP="0085745F">
            <w:pPr>
              <w:pStyle w:val="Title2"/>
              <w:spacing w:before="120"/>
            </w:pPr>
          </w:p>
        </w:tc>
      </w:tr>
      <w:tr w:rsidR="00E11080" w:rsidRPr="00E81BAB" w:rsidTr="002B67C8">
        <w:trPr>
          <w:cantSplit/>
        </w:trPr>
        <w:tc>
          <w:tcPr>
            <w:tcW w:w="9781" w:type="dxa"/>
            <w:gridSpan w:val="4"/>
          </w:tcPr>
          <w:p w:rsidR="00E11080" w:rsidRPr="00E81BAB" w:rsidRDefault="00E11080" w:rsidP="0085745F">
            <w:pPr>
              <w:pStyle w:val="Agendaitem"/>
              <w:spacing w:before="120"/>
              <w:rPr>
                <w:szCs w:val="26"/>
                <w:lang w:val="ru-RU"/>
              </w:rPr>
            </w:pPr>
          </w:p>
        </w:tc>
      </w:tr>
    </w:tbl>
    <w:p w:rsidR="001434F1" w:rsidRPr="00E81BAB" w:rsidRDefault="001434F1" w:rsidP="0085745F">
      <w:pPr>
        <w:pStyle w:val="Normalaftertitle"/>
        <w:spacing w:before="0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E81BAB" w:rsidTr="007D2C7F">
        <w:trPr>
          <w:cantSplit/>
        </w:trPr>
        <w:tc>
          <w:tcPr>
            <w:tcW w:w="1560" w:type="dxa"/>
          </w:tcPr>
          <w:p w:rsidR="001434F1" w:rsidRPr="00E81BAB" w:rsidRDefault="001434F1" w:rsidP="00B06DFD">
            <w:r w:rsidRPr="00E81BAB">
              <w:rPr>
                <w:b/>
                <w:bCs/>
              </w:rPr>
              <w:t>Резюме</w:t>
            </w:r>
            <w:r w:rsidRPr="00E81BAB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E81BAB" w:rsidRDefault="006E1922" w:rsidP="00B06DFD">
                <w:pPr>
                  <w:rPr>
                    <w:color w:val="000000" w:themeColor="text1"/>
                  </w:rPr>
                </w:pPr>
                <w:r w:rsidRPr="00E81BAB">
                  <w:t xml:space="preserve">В настоящем вкладе содержится предложение по новой </w:t>
                </w:r>
                <w:r w:rsidR="0085745F" w:rsidRPr="00E81BAB">
                  <w:t xml:space="preserve">Резолюции </w:t>
                </w:r>
                <w:r w:rsidRPr="00E81BAB">
                  <w:t>по использованию преимуществ интернета вещей (</w:t>
                </w:r>
                <w:proofErr w:type="spellStart"/>
                <w:r w:rsidRPr="00E81BAB">
                  <w:t>IoT</w:t>
                </w:r>
                <w:proofErr w:type="spellEnd"/>
                <w:r w:rsidRPr="00E81BAB">
                  <w:t>) в</w:t>
                </w:r>
                <w:r w:rsidR="00836472" w:rsidRPr="00E81BAB">
                  <w:t xml:space="preserve"> интересах глобального развития.</w:t>
                </w:r>
              </w:p>
            </w:tc>
          </w:sdtContent>
        </w:sdt>
      </w:tr>
    </w:tbl>
    <w:p w:rsidR="002B67C8" w:rsidRPr="00E81BAB" w:rsidRDefault="002B67C8" w:rsidP="002B67C8">
      <w:pPr>
        <w:pStyle w:val="Headingb"/>
        <w:rPr>
          <w:lang w:val="ru-RU"/>
        </w:rPr>
      </w:pPr>
      <w:r w:rsidRPr="00E81BAB">
        <w:rPr>
          <w:lang w:val="ru-RU"/>
        </w:rPr>
        <w:t>Введение</w:t>
      </w:r>
    </w:p>
    <w:p w:rsidR="002B67C8" w:rsidRPr="00E81BAB" w:rsidRDefault="006E1922" w:rsidP="00B06DFD">
      <w:r w:rsidRPr="00E81BAB">
        <w:t xml:space="preserve">Полномочная конференция 2014 года приняла Резолюцию </w:t>
      </w:r>
      <w:r w:rsidR="002B67C8" w:rsidRPr="00E81BAB">
        <w:t>197 (</w:t>
      </w:r>
      <w:proofErr w:type="spellStart"/>
      <w:r w:rsidR="002B67C8" w:rsidRPr="00E81BAB">
        <w:t>Пусан</w:t>
      </w:r>
      <w:proofErr w:type="spellEnd"/>
      <w:r w:rsidR="002B67C8" w:rsidRPr="00E81BAB">
        <w:t xml:space="preserve">, 2014 г.) </w:t>
      </w:r>
      <w:r w:rsidRPr="00E81BAB">
        <w:t>"</w:t>
      </w:r>
      <w:r w:rsidR="002B67C8" w:rsidRPr="00E81BAB">
        <w:t>Содействие развитию интернета в</w:t>
      </w:r>
      <w:bookmarkStart w:id="0" w:name="_GoBack"/>
      <w:bookmarkEnd w:id="0"/>
      <w:r w:rsidR="002B67C8" w:rsidRPr="00E81BAB">
        <w:t>ещей для подготовки к глобально соединенному миру</w:t>
      </w:r>
      <w:r w:rsidRPr="00E81BAB">
        <w:t>"</w:t>
      </w:r>
      <w:r w:rsidR="002B67C8" w:rsidRPr="00E81BAB">
        <w:t xml:space="preserve">, </w:t>
      </w:r>
      <w:r w:rsidRPr="00E81BAB">
        <w:t xml:space="preserve">в которой </w:t>
      </w:r>
      <w:r w:rsidRPr="00E81BAB">
        <w:rPr>
          <w:lang w:eastAsia="ko-KR"/>
        </w:rPr>
        <w:t xml:space="preserve">Директору Бюро стандартизации электросвязи </w:t>
      </w:r>
      <w:r w:rsidR="0046096F" w:rsidRPr="00E81BAB">
        <w:rPr>
          <w:lang w:eastAsia="ko-KR"/>
        </w:rPr>
        <w:t>поручается п</w:t>
      </w:r>
      <w:r w:rsidRPr="00E81BAB">
        <w:rPr>
          <w:lang w:eastAsia="ko-KR"/>
        </w:rPr>
        <w:t>родолжать деятельность соответствующих исследовательских комиссий МСЭ-Т по созданию условий</w:t>
      </w:r>
      <w:r w:rsidR="0046096F" w:rsidRPr="00E81BAB">
        <w:rPr>
          <w:lang w:eastAsia="ko-KR"/>
        </w:rPr>
        <w:t xml:space="preserve"> для интернета вещей и продолжать сотрудничество с соответствующими организациями, в том числе с организациями по стандартизации, для обмена передовым опытом и распространения информации в целях повышения уровня функциональной совместимости услуг </w:t>
      </w:r>
      <w:r w:rsidR="00B06DFD" w:rsidRPr="00E81BAB">
        <w:rPr>
          <w:lang w:eastAsia="ko-KR"/>
        </w:rPr>
        <w:t>интернета вещей.</w:t>
      </w:r>
    </w:p>
    <w:p w:rsidR="002B67C8" w:rsidRPr="00E81BAB" w:rsidRDefault="0046096F" w:rsidP="00B06DFD">
      <w:r w:rsidRPr="00E81BAB">
        <w:t>В июне 2015 года Консультативная группа по стандартизации электросвязи (</w:t>
      </w:r>
      <w:proofErr w:type="spellStart"/>
      <w:r w:rsidRPr="00E81BAB">
        <w:t>КГСЭ</w:t>
      </w:r>
      <w:proofErr w:type="spellEnd"/>
      <w:r w:rsidRPr="00E81BAB">
        <w:t xml:space="preserve">) </w:t>
      </w:r>
      <w:r w:rsidR="00187358" w:rsidRPr="00E81BAB">
        <w:t>решила создать новую 20-ю Исследовательскую комиссию МСЭ-Т по интернету вещей и его приложениям, включая "умные" города и сообщества.</w:t>
      </w:r>
    </w:p>
    <w:p w:rsidR="002B67C8" w:rsidRPr="00E81BAB" w:rsidRDefault="00187358" w:rsidP="00836472">
      <w:r w:rsidRPr="00E81BAB">
        <w:t>Воздействие интернета</w:t>
      </w:r>
      <w:r w:rsidR="006D3E8A" w:rsidRPr="00E81BAB">
        <w:t xml:space="preserve"> возросло в различных </w:t>
      </w:r>
      <w:r w:rsidR="00836472" w:rsidRPr="00E81BAB">
        <w:t>направлениях деятельности</w:t>
      </w:r>
      <w:r w:rsidR="006D3E8A" w:rsidRPr="00E81BAB">
        <w:t xml:space="preserve">, таких как образование, связь, промышленность, экономика, наука и </w:t>
      </w:r>
      <w:r w:rsidR="00836472" w:rsidRPr="00E81BAB">
        <w:t>государственная власть</w:t>
      </w:r>
      <w:r w:rsidR="006D3E8A" w:rsidRPr="00E81BAB">
        <w:t>. Его быстрое развитие и инновации привнесли бесчисленные преимущества</w:t>
      </w:r>
      <w:r w:rsidR="00B06DFD" w:rsidRPr="00E81BAB">
        <w:t>,</w:t>
      </w:r>
      <w:r w:rsidR="006D3E8A" w:rsidRPr="00E81BAB">
        <w:t xml:space="preserve"> но они также привели к появлению </w:t>
      </w:r>
      <w:r w:rsidR="00836472" w:rsidRPr="00E81BAB">
        <w:t>сложных</w:t>
      </w:r>
      <w:r w:rsidR="006D3E8A" w:rsidRPr="00E81BAB">
        <w:t xml:space="preserve"> проблем, связанных, среди прочего, с цифровым разрывом, безопасностью</w:t>
      </w:r>
      <w:r w:rsidR="00565F49" w:rsidRPr="00E81BAB">
        <w:t xml:space="preserve"> и</w:t>
      </w:r>
      <w:r w:rsidR="006D3E8A" w:rsidRPr="00E81BAB">
        <w:t xml:space="preserve"> конфиденциальностью, </w:t>
      </w:r>
      <w:r w:rsidR="00565F49" w:rsidRPr="00E81BAB">
        <w:t xml:space="preserve">и многие различные заинтересованные стороны работали над внедрением мер, которые </w:t>
      </w:r>
      <w:r w:rsidR="00B06DFD" w:rsidRPr="00E81BAB">
        <w:t>могли бы решить такие проблемы.</w:t>
      </w:r>
    </w:p>
    <w:p w:rsidR="002B67C8" w:rsidRPr="00E81BAB" w:rsidRDefault="00565F49" w:rsidP="00565F49">
      <w:r w:rsidRPr="00E81BAB">
        <w:t>Одним из результатов развития интернета и связи является и</w:t>
      </w:r>
      <w:r w:rsidR="00187358" w:rsidRPr="00E81BAB">
        <w:t>нтернет вещей</w:t>
      </w:r>
      <w:r w:rsidRPr="00E81BAB">
        <w:t>, который предлагает идеальную платформу для ускорения роста формирующихся экономик и повышения качества жизни людей при минимальных инвестициях</w:t>
      </w:r>
      <w:r w:rsidR="00B06DFD" w:rsidRPr="00E81BAB">
        <w:t>.</w:t>
      </w:r>
    </w:p>
    <w:p w:rsidR="0092220F" w:rsidRPr="00E81BAB" w:rsidRDefault="00565F49" w:rsidP="00D30DA5">
      <w:r w:rsidRPr="00E81BAB">
        <w:t xml:space="preserve">В связи с этим </w:t>
      </w:r>
      <w:r w:rsidR="00187358" w:rsidRPr="00E81BAB">
        <w:t>СИТЕЛ</w:t>
      </w:r>
      <w:r w:rsidR="002B67C8" w:rsidRPr="00E81BAB">
        <w:t xml:space="preserve"> </w:t>
      </w:r>
      <w:r w:rsidRPr="00E81BAB">
        <w:t xml:space="preserve">представляет следующий проект </w:t>
      </w:r>
      <w:r w:rsidR="000C2AC6" w:rsidRPr="00E81BAB">
        <w:t>Резолюции</w:t>
      </w:r>
      <w:r w:rsidRPr="00E81BAB">
        <w:t>, направленной на поддержку более высокой степени технической стандартизации и</w:t>
      </w:r>
      <w:r w:rsidR="00187358" w:rsidRPr="00E81BAB">
        <w:t>нтернет</w:t>
      </w:r>
      <w:r w:rsidRPr="00E81BAB">
        <w:t>а</w:t>
      </w:r>
      <w:r w:rsidR="00187358" w:rsidRPr="00E81BAB">
        <w:t xml:space="preserve"> вещей </w:t>
      </w:r>
      <w:r w:rsidRPr="00E81BAB">
        <w:t>в целях сокращения затрат на разработку систем</w:t>
      </w:r>
      <w:r w:rsidR="002B67C8" w:rsidRPr="00E81BAB">
        <w:t xml:space="preserve"> </w:t>
      </w:r>
      <w:proofErr w:type="spellStart"/>
      <w:r w:rsidR="002B67C8" w:rsidRPr="00E81BAB">
        <w:t>IoT</w:t>
      </w:r>
      <w:proofErr w:type="spellEnd"/>
      <w:r w:rsidRPr="00E81BAB">
        <w:t xml:space="preserve"> и использования преимуществ, </w:t>
      </w:r>
      <w:r w:rsidR="00D56E0C" w:rsidRPr="00E81BAB">
        <w:t>которые они привносят.</w:t>
      </w:r>
    </w:p>
    <w:p w:rsidR="0092220F" w:rsidRPr="00E81BAB" w:rsidRDefault="0092220F" w:rsidP="002B67C8">
      <w:r w:rsidRPr="00E81BAB">
        <w:br w:type="page"/>
      </w:r>
    </w:p>
    <w:p w:rsidR="004456A9" w:rsidRPr="00E81BAB" w:rsidRDefault="007011DF">
      <w:pPr>
        <w:pStyle w:val="Proposal"/>
      </w:pPr>
      <w:proofErr w:type="spellStart"/>
      <w:r w:rsidRPr="00E81BAB">
        <w:lastRenderedPageBreak/>
        <w:t>ADD</w:t>
      </w:r>
      <w:proofErr w:type="spellEnd"/>
      <w:r w:rsidRPr="00E81BAB">
        <w:tab/>
        <w:t>IAP/</w:t>
      </w:r>
      <w:proofErr w:type="spellStart"/>
      <w:r w:rsidRPr="00E81BAB">
        <w:t>46A7</w:t>
      </w:r>
      <w:proofErr w:type="spellEnd"/>
      <w:r w:rsidRPr="00E81BAB">
        <w:t>/1</w:t>
      </w:r>
    </w:p>
    <w:p w:rsidR="002B67C8" w:rsidRPr="00E81BAB" w:rsidRDefault="00D30DA5" w:rsidP="002B67C8">
      <w:pPr>
        <w:pStyle w:val="ResNo"/>
      </w:pPr>
      <w:r w:rsidRPr="00E81BAB">
        <w:t>проект новой резолюции</w:t>
      </w:r>
      <w:r w:rsidR="002B67C8" w:rsidRPr="00E81BAB">
        <w:t xml:space="preserve"> [IAP-3]</w:t>
      </w:r>
    </w:p>
    <w:p w:rsidR="002B67C8" w:rsidRPr="00E81BAB" w:rsidRDefault="00D30DA5" w:rsidP="00D56E0C">
      <w:pPr>
        <w:pStyle w:val="Restitle"/>
        <w:rPr>
          <w:highlight w:val="lightGray"/>
        </w:rPr>
      </w:pPr>
      <w:r w:rsidRPr="00E81BAB">
        <w:t xml:space="preserve">Использование преимуществ интернета вещей в интересах </w:t>
      </w:r>
      <w:r w:rsidR="000C2AC6">
        <w:br/>
      </w:r>
      <w:r w:rsidRPr="00E81BAB">
        <w:t>глобального развития</w:t>
      </w:r>
    </w:p>
    <w:p w:rsidR="002B67C8" w:rsidRPr="00E81BAB" w:rsidRDefault="002B67C8" w:rsidP="00D56E0C">
      <w:pPr>
        <w:pStyle w:val="Resref"/>
        <w:rPr>
          <w:i/>
          <w:iCs/>
        </w:rPr>
      </w:pPr>
      <w:r w:rsidRPr="00E81BAB">
        <w:rPr>
          <w:i/>
          <w:iCs/>
        </w:rPr>
        <w:t>(Хаммамет, 2016 г.)</w:t>
      </w:r>
    </w:p>
    <w:p w:rsidR="002B67C8" w:rsidRPr="00E81BAB" w:rsidRDefault="00D30DA5" w:rsidP="00D56E0C">
      <w:pPr>
        <w:pStyle w:val="Normalaftertitle"/>
      </w:pPr>
      <w:r w:rsidRPr="00E81BAB">
        <w:t>Всемирная ассамблея по стандартизации электросвязи</w:t>
      </w:r>
      <w:r w:rsidR="002B67C8" w:rsidRPr="00E81BAB">
        <w:t xml:space="preserve"> (Хаммамет, 2016 г.),</w:t>
      </w:r>
    </w:p>
    <w:p w:rsidR="002B67C8" w:rsidRPr="00E81BAB" w:rsidRDefault="00316F11" w:rsidP="00316F11">
      <w:pPr>
        <w:pStyle w:val="Call"/>
      </w:pPr>
      <w:proofErr w:type="gramStart"/>
      <w:r w:rsidRPr="00E81BAB">
        <w:t>признавая</w:t>
      </w:r>
      <w:proofErr w:type="gramEnd"/>
    </w:p>
    <w:p w:rsidR="002B67C8" w:rsidRPr="00E81BAB" w:rsidRDefault="002B67C8" w:rsidP="00D56E0C">
      <w:r w:rsidRPr="00E81BAB">
        <w:rPr>
          <w:i/>
          <w:iCs/>
        </w:rPr>
        <w:t>a)</w:t>
      </w:r>
      <w:r w:rsidRPr="00E81BAB">
        <w:tab/>
      </w:r>
      <w:r w:rsidR="00D30DA5" w:rsidRPr="00E81BAB">
        <w:t>Резолюцию</w:t>
      </w:r>
      <w:r w:rsidRPr="00E81BAB">
        <w:t xml:space="preserve"> 197 (</w:t>
      </w:r>
      <w:proofErr w:type="spellStart"/>
      <w:r w:rsidR="00D30DA5" w:rsidRPr="00E81BAB">
        <w:t>Пусан</w:t>
      </w:r>
      <w:proofErr w:type="spellEnd"/>
      <w:r w:rsidR="00D30DA5" w:rsidRPr="00E81BAB">
        <w:t>, 2014 г.)</w:t>
      </w:r>
      <w:r w:rsidRPr="00E81BAB">
        <w:t xml:space="preserve"> </w:t>
      </w:r>
      <w:r w:rsidR="00D30DA5" w:rsidRPr="00E81BAB">
        <w:t>Полномочной конференции по</w:t>
      </w:r>
      <w:r w:rsidRPr="00E81BAB">
        <w:t xml:space="preserve"> </w:t>
      </w:r>
      <w:r w:rsidR="00D30DA5" w:rsidRPr="00E81BAB">
        <w:t>содействию развитию интернета вещей для подготовки к глобально соединенному миру</w:t>
      </w:r>
      <w:r w:rsidR="00D56E0C" w:rsidRPr="00E81BAB">
        <w:t>;</w:t>
      </w:r>
    </w:p>
    <w:p w:rsidR="002B67C8" w:rsidRPr="00E81BAB" w:rsidRDefault="002B67C8" w:rsidP="00D56E0C">
      <w:r w:rsidRPr="00E81BAB">
        <w:rPr>
          <w:i/>
          <w:iCs/>
        </w:rPr>
        <w:t>b)</w:t>
      </w:r>
      <w:r w:rsidRPr="00E81BAB">
        <w:tab/>
      </w:r>
      <w:r w:rsidR="00D30DA5" w:rsidRPr="00E81BAB">
        <w:t>Рекомендацию</w:t>
      </w:r>
      <w:r w:rsidRPr="00E81BAB">
        <w:t xml:space="preserve"> </w:t>
      </w:r>
      <w:proofErr w:type="spellStart"/>
      <w:r w:rsidRPr="00E81BAB">
        <w:t>Y.4000</w:t>
      </w:r>
      <w:proofErr w:type="spellEnd"/>
      <w:r w:rsidRPr="00E81BAB">
        <w:t xml:space="preserve"> </w:t>
      </w:r>
      <w:r w:rsidR="00D30DA5" w:rsidRPr="00E81BAB">
        <w:t>Сектора стандартизации электросвязи по о</w:t>
      </w:r>
      <w:r w:rsidR="0071336E" w:rsidRPr="00E81BAB">
        <w:t>бзор</w:t>
      </w:r>
      <w:r w:rsidR="00D30DA5" w:rsidRPr="00E81BAB">
        <w:t>у</w:t>
      </w:r>
      <w:r w:rsidR="0071336E" w:rsidRPr="00E81BAB">
        <w:t xml:space="preserve"> интернета вещей</w:t>
      </w:r>
      <w:r w:rsidRPr="00E81BAB">
        <w:t xml:space="preserve">, </w:t>
      </w:r>
      <w:r w:rsidR="00D30DA5" w:rsidRPr="00E81BAB">
        <w:t>в которой и</w:t>
      </w:r>
      <w:r w:rsidR="00187358" w:rsidRPr="00E81BAB">
        <w:t>нтернет вещей</w:t>
      </w:r>
      <w:r w:rsidR="00D30DA5" w:rsidRPr="00E81BAB">
        <w:t xml:space="preserve"> определяется как </w:t>
      </w:r>
      <w:r w:rsidR="007F34A4" w:rsidRPr="00E81BAB">
        <w:t>"</w:t>
      </w:r>
      <w:r w:rsidR="00D30DA5" w:rsidRPr="00E81BAB">
        <w:t>г</w:t>
      </w:r>
      <w:r w:rsidR="007F34A4" w:rsidRPr="00E81BAB">
        <w:t>лобальная инфраструктура для информационного общества, которая обеспечивает возможность предоставления более сложных услуг путем соединения друг с другом (физических и виртуальных) вещей на основе существующих и развивающихся функционально совместимых информационно-коммуникационных технологий"</w:t>
      </w:r>
      <w:r w:rsidR="00D56E0C" w:rsidRPr="00E81BAB">
        <w:t>;</w:t>
      </w:r>
    </w:p>
    <w:p w:rsidR="002B67C8" w:rsidRPr="00E81BAB" w:rsidRDefault="002B67C8" w:rsidP="00D56E0C">
      <w:r w:rsidRPr="00E81BAB">
        <w:rPr>
          <w:i/>
          <w:iCs/>
        </w:rPr>
        <w:t>c)</w:t>
      </w:r>
      <w:r w:rsidRPr="00E81BAB">
        <w:tab/>
      </w:r>
      <w:r w:rsidR="00D30DA5" w:rsidRPr="00E81BAB">
        <w:t>Рекомендацию</w:t>
      </w:r>
      <w:r w:rsidRPr="00E81BAB">
        <w:t xml:space="preserve"> </w:t>
      </w:r>
      <w:proofErr w:type="spellStart"/>
      <w:r w:rsidRPr="00E81BAB">
        <w:t>Y.4702</w:t>
      </w:r>
      <w:proofErr w:type="spellEnd"/>
      <w:r w:rsidRPr="00E81BAB">
        <w:t xml:space="preserve"> </w:t>
      </w:r>
      <w:r w:rsidR="00D30DA5" w:rsidRPr="00E81BAB">
        <w:t>Сектора стандартизации электросвязи по общим</w:t>
      </w:r>
      <w:r w:rsidR="007F34A4" w:rsidRPr="00E81BAB">
        <w:t xml:space="preserve"> требования</w:t>
      </w:r>
      <w:r w:rsidR="00D30DA5" w:rsidRPr="00E81BAB">
        <w:t>м</w:t>
      </w:r>
      <w:r w:rsidR="007F34A4" w:rsidRPr="00E81BAB">
        <w:t xml:space="preserve"> и возможност</w:t>
      </w:r>
      <w:r w:rsidR="00D30DA5" w:rsidRPr="00E81BAB">
        <w:t>ям</w:t>
      </w:r>
      <w:r w:rsidR="007F34A4" w:rsidRPr="00E81BAB">
        <w:t xml:space="preserve"> для управления устройствами в интернете вещей</w:t>
      </w:r>
      <w:r w:rsidRPr="00E81BAB">
        <w:t xml:space="preserve">, </w:t>
      </w:r>
      <w:r w:rsidR="00D30DA5" w:rsidRPr="00E81BAB">
        <w:t>где устанавливаются общие требования и возможности для управления устройствами в интернете вещей для различных сценариев применения</w:t>
      </w:r>
      <w:r w:rsidR="00D56E0C" w:rsidRPr="00E81BAB">
        <w:t>;</w:t>
      </w:r>
    </w:p>
    <w:p w:rsidR="002B67C8" w:rsidRPr="00E81BAB" w:rsidRDefault="002B67C8" w:rsidP="00D56E0C">
      <w:r w:rsidRPr="00E81BAB">
        <w:rPr>
          <w:i/>
          <w:iCs/>
        </w:rPr>
        <w:t>d)</w:t>
      </w:r>
      <w:r w:rsidRPr="00E81BAB">
        <w:tab/>
      </w:r>
      <w:r w:rsidR="00D30DA5" w:rsidRPr="00E81BAB">
        <w:t>работу, выполн</w:t>
      </w:r>
      <w:r w:rsidR="00363303" w:rsidRPr="00E81BAB">
        <w:t>енную Глобальной инициативой по стандартам интернета вещей, которая прекратила свою деятельность в июле 2015 года;</w:t>
      </w:r>
    </w:p>
    <w:p w:rsidR="002B67C8" w:rsidRPr="00E81BAB" w:rsidRDefault="002B67C8" w:rsidP="00D56E0C">
      <w:r w:rsidRPr="00E81BAB">
        <w:rPr>
          <w:i/>
          <w:iCs/>
        </w:rPr>
        <w:t>e)</w:t>
      </w:r>
      <w:r w:rsidRPr="00E81BAB">
        <w:tab/>
      </w:r>
      <w:r w:rsidR="00363303" w:rsidRPr="00E81BAB">
        <w:t xml:space="preserve">работу, выполненную </w:t>
      </w:r>
      <w:proofErr w:type="spellStart"/>
      <w:r w:rsidR="00363303" w:rsidRPr="00E81BAB">
        <w:t>ИК20</w:t>
      </w:r>
      <w:proofErr w:type="spellEnd"/>
      <w:r w:rsidR="00363303" w:rsidRPr="00E81BAB">
        <w:t xml:space="preserve"> Сектора стандартизации электросвязи (МСЭ-Т), которая отвечает за исследования, связанные с интернетом вещей и его приложениями, включая "умные" города и сообщества</w:t>
      </w:r>
      <w:r w:rsidRPr="00E81BAB">
        <w:t xml:space="preserve"> (</w:t>
      </w:r>
      <w:proofErr w:type="spellStart"/>
      <w:r w:rsidRPr="00E81BAB">
        <w:t>SC&amp;C</w:t>
      </w:r>
      <w:proofErr w:type="spellEnd"/>
      <w:r w:rsidR="00D56E0C" w:rsidRPr="00E81BAB">
        <w:t>),</w:t>
      </w:r>
    </w:p>
    <w:p w:rsidR="002B67C8" w:rsidRPr="00E81BAB" w:rsidRDefault="00276ED8" w:rsidP="00316F11">
      <w:pPr>
        <w:pStyle w:val="Call"/>
      </w:pPr>
      <w:proofErr w:type="gramStart"/>
      <w:r w:rsidRPr="00E81BAB">
        <w:t>учитывая</w:t>
      </w:r>
      <w:proofErr w:type="gramEnd"/>
      <w:r w:rsidRPr="00E81BAB">
        <w:t>,</w:t>
      </w:r>
    </w:p>
    <w:p w:rsidR="002B67C8" w:rsidRPr="00E81BAB" w:rsidRDefault="002B67C8" w:rsidP="00D56E0C">
      <w:r w:rsidRPr="00E81BAB">
        <w:rPr>
          <w:i/>
          <w:iCs/>
        </w:rPr>
        <w:t>a)</w:t>
      </w:r>
      <w:r w:rsidRPr="00E81BAB">
        <w:tab/>
      </w:r>
      <w:r w:rsidR="00363303" w:rsidRPr="00E81BAB">
        <w:t>что</w:t>
      </w:r>
      <w:r w:rsidRPr="00E81BAB">
        <w:t xml:space="preserve"> </w:t>
      </w:r>
      <w:r w:rsidR="00363303" w:rsidRPr="00E81BAB">
        <w:t>и</w:t>
      </w:r>
      <w:r w:rsidR="00187358" w:rsidRPr="00E81BAB">
        <w:t xml:space="preserve">нтернет вещей </w:t>
      </w:r>
      <w:r w:rsidR="00363303" w:rsidRPr="00E81BAB">
        <w:t xml:space="preserve">может быть одним из ключевых факторов, содействующих созданию информационного общества, и предоставляет возможность преобразования городской инфраструктуры, используя, среди прочего, преимущества эффективности "умных" зданий и транспортных систем, а также "умных" </w:t>
      </w:r>
      <w:r w:rsidR="00580DFE" w:rsidRPr="00E81BAB">
        <w:t xml:space="preserve">сетей водо- и энергоснабжения, </w:t>
      </w:r>
      <w:r w:rsidR="00D56E0C" w:rsidRPr="00E81BAB">
        <w:t>в тесной взаимосвязи с </w:t>
      </w:r>
      <w:r w:rsidR="00580DFE" w:rsidRPr="00E81BAB">
        <w:t>услугами, предоставляемыми в интересах пользователей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t>b)</w:t>
      </w:r>
      <w:r w:rsidRPr="00E81BAB">
        <w:tab/>
      </w:r>
      <w:r w:rsidR="00580DFE" w:rsidRPr="00E81BAB">
        <w:t>что</w:t>
      </w:r>
      <w:r w:rsidRPr="00E81BAB">
        <w:t xml:space="preserve"> </w:t>
      </w:r>
      <w:r w:rsidR="00580DFE" w:rsidRPr="00E81BAB">
        <w:t>и</w:t>
      </w:r>
      <w:r w:rsidR="00187358" w:rsidRPr="00E81BAB">
        <w:t xml:space="preserve">нтернет вещей </w:t>
      </w:r>
      <w:r w:rsidR="00580DFE" w:rsidRPr="00E81BAB">
        <w:t xml:space="preserve">предоставляет важную благоприятную платформу для приложений и видов использования </w:t>
      </w:r>
      <w:r w:rsidR="009C37AE" w:rsidRPr="00E81BAB">
        <w:t>при создании интеллектуальной добавленной стоимости в первичном производстве в сельскохозяйственном секторе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t>c)</w:t>
      </w:r>
      <w:r w:rsidRPr="00E81BAB">
        <w:tab/>
      </w:r>
      <w:r w:rsidR="00EC6067" w:rsidRPr="00E81BAB">
        <w:t xml:space="preserve">что одна из обязанностей </w:t>
      </w:r>
      <w:proofErr w:type="spellStart"/>
      <w:r w:rsidR="00EC6067" w:rsidRPr="00E81BAB">
        <w:t>ИК20</w:t>
      </w:r>
      <w:proofErr w:type="spellEnd"/>
      <w:r w:rsidR="00EC6067" w:rsidRPr="00E81BAB">
        <w:t xml:space="preserve"> состоит в подготовке проектов стандартов, которые используют преимущества технологий и</w:t>
      </w:r>
      <w:r w:rsidR="00187358" w:rsidRPr="00E81BAB">
        <w:t>нтернет</w:t>
      </w:r>
      <w:r w:rsidR="00EC6067" w:rsidRPr="00E81BAB">
        <w:t>а</w:t>
      </w:r>
      <w:r w:rsidR="00187358" w:rsidRPr="00E81BAB">
        <w:t xml:space="preserve"> вещей </w:t>
      </w:r>
      <w:r w:rsidR="00EC6067" w:rsidRPr="00E81BAB">
        <w:t>для решения проблем в области развития путем стандартизации сквозных архитектур и</w:t>
      </w:r>
      <w:r w:rsidR="00187358" w:rsidRPr="00E81BAB">
        <w:t>нтернет</w:t>
      </w:r>
      <w:r w:rsidR="00EC6067" w:rsidRPr="00E81BAB">
        <w:t>а</w:t>
      </w:r>
      <w:r w:rsidR="00187358" w:rsidRPr="00E81BAB">
        <w:t xml:space="preserve"> вещей </w:t>
      </w:r>
      <w:r w:rsidR="00EC6067" w:rsidRPr="00E81BAB">
        <w:t>и механизмов для обеспечения функциональной совместимости его приложений и наборов данных, используемых различными секторами</w:t>
      </w:r>
      <w:r w:rsidRPr="00E81BAB">
        <w:t xml:space="preserve">; </w:t>
      </w:r>
    </w:p>
    <w:p w:rsidR="002B67C8" w:rsidRPr="00E81BAB" w:rsidRDefault="002B67C8" w:rsidP="00D56E0C">
      <w:r w:rsidRPr="00E81BAB">
        <w:rPr>
          <w:i/>
          <w:iCs/>
        </w:rPr>
        <w:t>d)</w:t>
      </w:r>
      <w:r w:rsidRPr="00E81BAB">
        <w:tab/>
      </w:r>
      <w:r w:rsidR="00EC6067" w:rsidRPr="00E81BAB">
        <w:t xml:space="preserve">что </w:t>
      </w:r>
      <w:proofErr w:type="spellStart"/>
      <w:r w:rsidR="00EC6067" w:rsidRPr="00E81BAB">
        <w:t>ИК20</w:t>
      </w:r>
      <w:proofErr w:type="spellEnd"/>
      <w:r w:rsidR="00EC6067" w:rsidRPr="00E81BAB">
        <w:t xml:space="preserve"> МСЭ-Т создана также в качестве единой платформы, где правительства и отрасль могут оказывать влияние на подготовку проектов международных стандартов для и</w:t>
      </w:r>
      <w:r w:rsidR="00187358" w:rsidRPr="00E81BAB">
        <w:t>нтернет</w:t>
      </w:r>
      <w:r w:rsidR="00EC6067" w:rsidRPr="00E81BAB">
        <w:t>а</w:t>
      </w:r>
      <w:r w:rsidR="00187358" w:rsidRPr="00E81BAB">
        <w:t xml:space="preserve"> вещей </w:t>
      </w:r>
      <w:r w:rsidR="00EC6067" w:rsidRPr="00E81BAB">
        <w:t xml:space="preserve">и </w:t>
      </w:r>
      <w:r w:rsidR="0081638F" w:rsidRPr="00E81BAB">
        <w:t xml:space="preserve">на </w:t>
      </w:r>
      <w:r w:rsidR="00EC6067" w:rsidRPr="00E81BAB">
        <w:t>их реализацию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t>e)</w:t>
      </w:r>
      <w:r w:rsidRPr="00E81BAB">
        <w:tab/>
      </w:r>
      <w:r w:rsidR="00EC6067" w:rsidRPr="00E81BAB">
        <w:t>что</w:t>
      </w:r>
      <w:r w:rsidRPr="00E81BAB">
        <w:t xml:space="preserve"> </w:t>
      </w:r>
      <w:r w:rsidR="00EC6067" w:rsidRPr="00E81BAB">
        <w:t>и</w:t>
      </w:r>
      <w:r w:rsidR="00187358" w:rsidRPr="00E81BAB">
        <w:t xml:space="preserve">нтернет вещей </w:t>
      </w:r>
      <w:r w:rsidR="00EC6067" w:rsidRPr="00E81BAB">
        <w:t xml:space="preserve">охватывает различные заинтересованные стороны и области, что требует </w:t>
      </w:r>
      <w:r w:rsidR="00EF6D95" w:rsidRPr="00E81BAB">
        <w:t>координации в сфере политики и регулирования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lastRenderedPageBreak/>
        <w:t>f)</w:t>
      </w:r>
      <w:r w:rsidRPr="00E81BAB">
        <w:tab/>
      </w:r>
      <w:r w:rsidR="00EF6D95" w:rsidRPr="00E81BAB">
        <w:t>что развитие и</w:t>
      </w:r>
      <w:r w:rsidR="00187358" w:rsidRPr="00E81BAB">
        <w:t>нтернет</w:t>
      </w:r>
      <w:r w:rsidR="00EF6D95" w:rsidRPr="00E81BAB">
        <w:t>а</w:t>
      </w:r>
      <w:r w:rsidR="00187358" w:rsidRPr="00E81BAB">
        <w:t xml:space="preserve"> вещей </w:t>
      </w:r>
      <w:r w:rsidR="00EF6D95" w:rsidRPr="00E81BAB">
        <w:t>может содействовать в совершенствовании глобального развития, исследований, государственной политики, предоставления базовых услуг и мониторинга и оценки программ в различных секторах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t>g)</w:t>
      </w:r>
      <w:r w:rsidRPr="00E81BAB">
        <w:tab/>
      </w:r>
      <w:r w:rsidR="00EF6D95" w:rsidRPr="00E81BAB">
        <w:t>что</w:t>
      </w:r>
      <w:r w:rsidRPr="00E81BAB">
        <w:t xml:space="preserve"> </w:t>
      </w:r>
      <w:r w:rsidR="00EF6D95" w:rsidRPr="00E81BAB">
        <w:t>и</w:t>
      </w:r>
      <w:r w:rsidR="00187358" w:rsidRPr="00E81BAB">
        <w:t xml:space="preserve">нтернет вещей </w:t>
      </w:r>
      <w:r w:rsidR="00EF6D95" w:rsidRPr="00E81BAB">
        <w:t xml:space="preserve">оказывает воздействие и на другие </w:t>
      </w:r>
      <w:r w:rsidR="0081638F" w:rsidRPr="00E81BAB">
        <w:t>сферы</w:t>
      </w:r>
      <w:r w:rsidR="00EF6D95" w:rsidRPr="00E81BAB">
        <w:t>, в том числе такие</w:t>
      </w:r>
      <w:r w:rsidR="0081638F" w:rsidRPr="00E81BAB">
        <w:t>,</w:t>
      </w:r>
      <w:r w:rsidR="00EF6D95" w:rsidRPr="00E81BAB">
        <w:t xml:space="preserve"> как экономическая конкуренция, безопасность, здравоохранение, сельское хозяйство, </w:t>
      </w:r>
      <w:r w:rsidR="0073532E" w:rsidRPr="00E81BAB">
        <w:t>что</w:t>
      </w:r>
      <w:r w:rsidR="00EF6D95" w:rsidRPr="00E81BAB">
        <w:t xml:space="preserve"> требу</w:t>
      </w:r>
      <w:r w:rsidR="0073532E" w:rsidRPr="00E81BAB">
        <w:t>е</w:t>
      </w:r>
      <w:r w:rsidR="00EF6D95" w:rsidRPr="00E81BAB">
        <w:t>т более тесной координации между органами власти и регуляторными органами различных секторов экономики, для того чтобы максимально увеличить преимущества и</w:t>
      </w:r>
      <w:r w:rsidR="00187358" w:rsidRPr="00E81BAB">
        <w:t>нтернет</w:t>
      </w:r>
      <w:r w:rsidR="00EF6D95" w:rsidRPr="00E81BAB">
        <w:t>а</w:t>
      </w:r>
      <w:r w:rsidR="00187358" w:rsidRPr="00E81BAB">
        <w:t xml:space="preserve"> вещей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t>h)</w:t>
      </w:r>
      <w:r w:rsidRPr="00E81BAB">
        <w:t xml:space="preserve"> </w:t>
      </w:r>
      <w:r w:rsidRPr="00E81BAB">
        <w:tab/>
      </w:r>
      <w:r w:rsidR="00EF6D95" w:rsidRPr="00E81BAB">
        <w:t>что технические стандарты могут помочь сократить время внедрения и</w:t>
      </w:r>
      <w:r w:rsidR="00187358" w:rsidRPr="00E81BAB">
        <w:t>нтернет</w:t>
      </w:r>
      <w:r w:rsidR="00EF6D95" w:rsidRPr="00E81BAB">
        <w:t>а</w:t>
      </w:r>
      <w:r w:rsidR="00187358" w:rsidRPr="00E81BAB">
        <w:t xml:space="preserve"> вещей </w:t>
      </w:r>
      <w:r w:rsidR="0080668D" w:rsidRPr="00E81BAB">
        <w:t>с </w:t>
      </w:r>
      <w:r w:rsidR="00EF6D95" w:rsidRPr="00E81BAB">
        <w:t>помощью достигаемой за счет масштабов экономии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t>i)</w:t>
      </w:r>
      <w:r w:rsidRPr="00E81BAB">
        <w:tab/>
      </w:r>
      <w:r w:rsidR="00EF6D95" w:rsidRPr="00E81BAB">
        <w:t>что</w:t>
      </w:r>
      <w:r w:rsidRPr="00E81BAB">
        <w:t xml:space="preserve"> </w:t>
      </w:r>
      <w:r w:rsidR="00EF6D95" w:rsidRPr="00E81BAB">
        <w:t>и</w:t>
      </w:r>
      <w:r w:rsidR="00187358" w:rsidRPr="00E81BAB">
        <w:t>нтернет вещей</w:t>
      </w:r>
      <w:r w:rsidR="007B6A8F" w:rsidRPr="00E81BAB">
        <w:t xml:space="preserve"> превратился в множество различных приложений с разными целями и требованиями, в результате чего необходимо работать при координации с другими международными органами по стандартизации и другими соответствующими организациями, чтобы лучше интегрировать структуры стандартизации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t>j)</w:t>
      </w:r>
      <w:r w:rsidRPr="00E81BAB">
        <w:tab/>
      </w:r>
      <w:r w:rsidR="007B6A8F" w:rsidRPr="00E81BAB">
        <w:t>что внедрение технических стандартов, компонентов и инфраструктуры</w:t>
      </w:r>
      <w:r w:rsidRPr="00E81BAB">
        <w:t xml:space="preserve"> </w:t>
      </w:r>
      <w:r w:rsidR="007B6A8F" w:rsidRPr="00E81BAB">
        <w:t xml:space="preserve">систем, а также </w:t>
      </w:r>
      <w:r w:rsidR="00FE7EFB" w:rsidRPr="00E81BAB">
        <w:t xml:space="preserve">создание </w:t>
      </w:r>
      <w:r w:rsidR="0073532E" w:rsidRPr="00E81BAB">
        <w:t>партнерств</w:t>
      </w:r>
      <w:r w:rsidR="007B6A8F" w:rsidRPr="00E81BAB">
        <w:t xml:space="preserve"> государственного и частного секторов мо</w:t>
      </w:r>
      <w:r w:rsidR="00FE7EFB" w:rsidRPr="00E81BAB">
        <w:t>гут</w:t>
      </w:r>
      <w:r w:rsidR="007B6A8F" w:rsidRPr="00E81BAB">
        <w:t xml:space="preserve"> снизить затраты на разработку экосистем интернета вещей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t>k)</w:t>
      </w:r>
      <w:r w:rsidRPr="00E81BAB">
        <w:tab/>
      </w:r>
      <w:r w:rsidR="007B6A8F" w:rsidRPr="00E81BAB">
        <w:t>что</w:t>
      </w:r>
      <w:r w:rsidR="00FE7EFB" w:rsidRPr="00E81BAB">
        <w:t xml:space="preserve">, как </w:t>
      </w:r>
      <w:r w:rsidR="007B6A8F" w:rsidRPr="00E81BAB">
        <w:t xml:space="preserve">ожидается, развертывание технологий интернета </w:t>
      </w:r>
      <w:r w:rsidR="00187358" w:rsidRPr="00E81BAB">
        <w:t xml:space="preserve">вещей </w:t>
      </w:r>
      <w:r w:rsidR="007B6A8F" w:rsidRPr="00E81BAB">
        <w:t xml:space="preserve">сделает к 2020 году </w:t>
      </w:r>
      <w:r w:rsidR="00FE7EFB" w:rsidRPr="00E81BAB">
        <w:t xml:space="preserve">возможным </w:t>
      </w:r>
      <w:r w:rsidR="007B6A8F" w:rsidRPr="00E81BAB">
        <w:t>подключить к сети около 25 млрд. устройств, что скажется практически на всех аспектах повседневной жизни</w:t>
      </w:r>
      <w:r w:rsidRPr="00E81BAB">
        <w:t>;</w:t>
      </w:r>
    </w:p>
    <w:p w:rsidR="002B67C8" w:rsidRPr="00E81BAB" w:rsidRDefault="002B67C8" w:rsidP="00D56E0C">
      <w:r w:rsidRPr="00E81BAB">
        <w:rPr>
          <w:i/>
          <w:iCs/>
        </w:rPr>
        <w:t>l)</w:t>
      </w:r>
      <w:r w:rsidRPr="00E81BAB">
        <w:tab/>
      </w:r>
      <w:r w:rsidR="007B6A8F" w:rsidRPr="00E81BAB">
        <w:t>важность и</w:t>
      </w:r>
      <w:r w:rsidR="00187358" w:rsidRPr="00E81BAB">
        <w:t>нтернет</w:t>
      </w:r>
      <w:r w:rsidR="007B6A8F" w:rsidRPr="00E81BAB">
        <w:t>а</w:t>
      </w:r>
      <w:r w:rsidR="00187358" w:rsidRPr="00E81BAB">
        <w:t xml:space="preserve"> вещей </w:t>
      </w:r>
      <w:r w:rsidR="007B6A8F" w:rsidRPr="00E81BAB">
        <w:t>в содействии достижению целей Повестки дня в области устойчивого развития на период до 2030 года</w:t>
      </w:r>
      <w:r w:rsidR="00D56E0C" w:rsidRPr="00E81BAB">
        <w:t>,</w:t>
      </w:r>
    </w:p>
    <w:p w:rsidR="002B67C8" w:rsidRPr="00E81BAB" w:rsidRDefault="00276ED8" w:rsidP="00316F11">
      <w:pPr>
        <w:pStyle w:val="Call"/>
      </w:pPr>
      <w:proofErr w:type="gramStart"/>
      <w:r w:rsidRPr="00E81BAB">
        <w:t>решает</w:t>
      </w:r>
      <w:proofErr w:type="gramEnd"/>
      <w:r w:rsidR="00131496" w:rsidRPr="00E81BAB">
        <w:t>,</w:t>
      </w:r>
    </w:p>
    <w:p w:rsidR="002B67C8" w:rsidRPr="00E81BAB" w:rsidRDefault="006C4D18" w:rsidP="006C4D18">
      <w:proofErr w:type="gramStart"/>
      <w:r w:rsidRPr="00E81BAB">
        <w:t>что</w:t>
      </w:r>
      <w:proofErr w:type="gramEnd"/>
      <w:r w:rsidRPr="00E81BAB">
        <w:t xml:space="preserve"> 20-я Исследовательская комиссия продолжит свою работу, уделяя особое внимание разработке дорожной карты и согласованных и скоординированных технических правил</w:t>
      </w:r>
      <w:r w:rsidR="002B67C8" w:rsidRPr="00E81BAB">
        <w:t xml:space="preserve"> </w:t>
      </w:r>
      <w:r w:rsidRPr="00E81BAB">
        <w:t>для развития и</w:t>
      </w:r>
      <w:r w:rsidR="00187358" w:rsidRPr="00E81BAB">
        <w:t>нтернет</w:t>
      </w:r>
      <w:r w:rsidRPr="00E81BAB">
        <w:t>а</w:t>
      </w:r>
      <w:r w:rsidR="00187358" w:rsidRPr="00E81BAB">
        <w:t xml:space="preserve"> вещей</w:t>
      </w:r>
      <w:r w:rsidRPr="00E81BAB">
        <w:t xml:space="preserve"> с учетом потребностей каждого региона</w:t>
      </w:r>
      <w:r w:rsidR="002B67C8" w:rsidRPr="00E81BAB">
        <w:t>,</w:t>
      </w:r>
    </w:p>
    <w:p w:rsidR="002B67C8" w:rsidRPr="00E81BAB" w:rsidRDefault="00276ED8" w:rsidP="00276ED8">
      <w:pPr>
        <w:pStyle w:val="Call"/>
      </w:pPr>
      <w:proofErr w:type="gramStart"/>
      <w:r w:rsidRPr="00E81BAB">
        <w:t>поручает</w:t>
      </w:r>
      <w:proofErr w:type="gramEnd"/>
      <w:r w:rsidRPr="00E81BAB">
        <w:t xml:space="preserve"> Директору Бюро стандартизации электросвязи</w:t>
      </w:r>
    </w:p>
    <w:p w:rsidR="002B67C8" w:rsidRPr="00E81BAB" w:rsidRDefault="002B67C8" w:rsidP="007D2C7F">
      <w:r w:rsidRPr="00E81BAB">
        <w:t>1</w:t>
      </w:r>
      <w:r w:rsidRPr="00E81BAB">
        <w:tab/>
      </w:r>
      <w:r w:rsidR="006C4D18" w:rsidRPr="00E81BAB">
        <w:t xml:space="preserve">продолжать содействовать сотрудничеству с другими международными организациями по стандартизации и другими соответствующими организациями, с тем чтобы </w:t>
      </w:r>
      <w:r w:rsidR="007D2C7F" w:rsidRPr="00E81BAB">
        <w:t>увеличить количество разрабатываемых технических стандартов и отчетов, которые способствуют функциональной совместимости услуг и</w:t>
      </w:r>
      <w:r w:rsidR="00187358" w:rsidRPr="00E81BAB">
        <w:t>нтернет</w:t>
      </w:r>
      <w:r w:rsidR="007D2C7F" w:rsidRPr="00E81BAB">
        <w:t>а вещей</w:t>
      </w:r>
      <w:r w:rsidRPr="00E81BAB">
        <w:t>;</w:t>
      </w:r>
    </w:p>
    <w:p w:rsidR="002B67C8" w:rsidRPr="00E81BAB" w:rsidRDefault="002B67C8" w:rsidP="007D2C7F">
      <w:r w:rsidRPr="00E81BAB">
        <w:t>2</w:t>
      </w:r>
      <w:r w:rsidRPr="00E81BAB">
        <w:tab/>
      </w:r>
      <w:r w:rsidR="007D2C7F" w:rsidRPr="00E81BAB">
        <w:t>помогать в подготовке отчетов о потребностях развивающихся стран, связанных с</w:t>
      </w:r>
      <w:r w:rsidR="0080668D" w:rsidRPr="00E81BAB">
        <w:t> </w:t>
      </w:r>
      <w:r w:rsidR="007D2C7F" w:rsidRPr="00E81BAB">
        <w:t>исследованиями и</w:t>
      </w:r>
      <w:r w:rsidR="00187358" w:rsidRPr="00E81BAB">
        <w:t>нтернет</w:t>
      </w:r>
      <w:r w:rsidR="007D2C7F" w:rsidRPr="00E81BAB">
        <w:t>а</w:t>
      </w:r>
      <w:r w:rsidR="00187358" w:rsidRPr="00E81BAB">
        <w:t xml:space="preserve"> вещей </w:t>
      </w:r>
      <w:r w:rsidR="007D2C7F" w:rsidRPr="00E81BAB">
        <w:t xml:space="preserve">и его приложений, уделяя особое внимание связи </w:t>
      </w:r>
      <w:proofErr w:type="spellStart"/>
      <w:r w:rsidRPr="00E81BAB">
        <w:t>M2M</w:t>
      </w:r>
      <w:proofErr w:type="spellEnd"/>
      <w:r w:rsidRPr="00E81BAB">
        <w:t xml:space="preserve">, </w:t>
      </w:r>
      <w:r w:rsidR="007D2C7F" w:rsidRPr="00E81BAB">
        <w:t>сенсорным сетям, услугам и инфраструктуре</w:t>
      </w:r>
      <w:r w:rsidRPr="00E81BAB">
        <w:t>;</w:t>
      </w:r>
    </w:p>
    <w:p w:rsidR="002B67C8" w:rsidRPr="00E81BAB" w:rsidRDefault="002B67C8" w:rsidP="007D2C7F">
      <w:r w:rsidRPr="00E81BAB">
        <w:t>3</w:t>
      </w:r>
      <w:r w:rsidRPr="00E81BAB">
        <w:tab/>
      </w:r>
      <w:r w:rsidR="007D2C7F" w:rsidRPr="00E81BAB">
        <w:t>продолжать способствовать распространению публикаций МСЭ, посвященных и</w:t>
      </w:r>
      <w:r w:rsidR="00187358" w:rsidRPr="00E81BAB">
        <w:t>нтернет</w:t>
      </w:r>
      <w:r w:rsidR="007D2C7F" w:rsidRPr="00E81BAB">
        <w:t>у</w:t>
      </w:r>
      <w:r w:rsidR="00187358" w:rsidRPr="00E81BAB">
        <w:t xml:space="preserve"> вещей</w:t>
      </w:r>
      <w:r w:rsidR="007D2C7F" w:rsidRPr="00E81BAB">
        <w:t>, а также организации семинаров и семинаров-практикумов по этой теме с учетом потребностей всех регионов</w:t>
      </w:r>
      <w:r w:rsidRPr="00E81BAB">
        <w:t>,</w:t>
      </w:r>
    </w:p>
    <w:p w:rsidR="002B67C8" w:rsidRPr="00E81BAB" w:rsidRDefault="00276ED8" w:rsidP="00316F11">
      <w:pPr>
        <w:pStyle w:val="Call"/>
      </w:pPr>
      <w:proofErr w:type="gramStart"/>
      <w:r w:rsidRPr="00E81BAB">
        <w:t>предлагает</w:t>
      </w:r>
      <w:proofErr w:type="gramEnd"/>
      <w:r w:rsidRPr="00E81BAB">
        <w:t xml:space="preserve"> Государствам-Членам</w:t>
      </w:r>
    </w:p>
    <w:p w:rsidR="002B67C8" w:rsidRPr="00E81BAB" w:rsidRDefault="002B67C8" w:rsidP="009024CE">
      <w:r w:rsidRPr="00E81BAB">
        <w:t>1</w:t>
      </w:r>
      <w:r w:rsidRPr="00E81BAB">
        <w:tab/>
      </w:r>
      <w:r w:rsidR="007D2C7F" w:rsidRPr="00E81BAB">
        <w:t xml:space="preserve">продолжить активно участвовать в работе </w:t>
      </w:r>
      <w:proofErr w:type="spellStart"/>
      <w:r w:rsidR="007D2C7F" w:rsidRPr="00E81BAB">
        <w:t>ИК20</w:t>
      </w:r>
      <w:proofErr w:type="spellEnd"/>
      <w:r w:rsidR="007D2C7F" w:rsidRPr="00E81BAB">
        <w:t xml:space="preserve"> МСЭ-Т и в исследованиях</w:t>
      </w:r>
      <w:r w:rsidR="009024CE" w:rsidRPr="00E81BAB">
        <w:t>, посвященных и</w:t>
      </w:r>
      <w:r w:rsidR="00187358" w:rsidRPr="00E81BAB">
        <w:t>нтернет</w:t>
      </w:r>
      <w:r w:rsidR="009024CE" w:rsidRPr="00E81BAB">
        <w:t>у</w:t>
      </w:r>
      <w:r w:rsidR="00187358" w:rsidRPr="00E81BAB">
        <w:t xml:space="preserve"> вещей</w:t>
      </w:r>
      <w:r w:rsidR="009024CE" w:rsidRPr="00E81BAB">
        <w:t>, которые проводятся Сектором стандартизации электросвязи МСЭ</w:t>
      </w:r>
      <w:r w:rsidRPr="00E81BAB">
        <w:t>;</w:t>
      </w:r>
    </w:p>
    <w:p w:rsidR="002B67C8" w:rsidRPr="00E81BAB" w:rsidRDefault="002B67C8" w:rsidP="009024CE">
      <w:r w:rsidRPr="00E81BAB">
        <w:t>2</w:t>
      </w:r>
      <w:r w:rsidRPr="00E81BAB">
        <w:tab/>
      </w:r>
      <w:r w:rsidR="009024CE" w:rsidRPr="00E81BAB">
        <w:t>принять все необходимые меры для содействия росту интернета вещей в связи с такими областями, как создание стандартов, гарантийный срок службы, безопасность и конфиденциальность</w:t>
      </w:r>
      <w:r w:rsidRPr="00E81BAB">
        <w:t>;</w:t>
      </w:r>
    </w:p>
    <w:p w:rsidR="002B67C8" w:rsidRPr="00E81BAB" w:rsidRDefault="002B67C8" w:rsidP="00836472">
      <w:r w:rsidRPr="00E81BAB">
        <w:t>3</w:t>
      </w:r>
      <w:r w:rsidRPr="00E81BAB">
        <w:tab/>
      </w:r>
      <w:r w:rsidR="00836472" w:rsidRPr="00E81BAB">
        <w:t>содействовать созданию и стимулировать развитие широкой экосистемы для и</w:t>
      </w:r>
      <w:r w:rsidR="00187358" w:rsidRPr="00E81BAB">
        <w:t>нтернет</w:t>
      </w:r>
      <w:r w:rsidR="00836472" w:rsidRPr="00E81BAB">
        <w:t>а</w:t>
      </w:r>
      <w:r w:rsidR="00187358" w:rsidRPr="00E81BAB">
        <w:t xml:space="preserve"> вещей</w:t>
      </w:r>
      <w:r w:rsidRPr="00E81BAB">
        <w:t xml:space="preserve">, </w:t>
      </w:r>
      <w:r w:rsidR="00836472" w:rsidRPr="00E81BAB">
        <w:t>что включает содействие инновациям и развитию</w:t>
      </w:r>
      <w:r w:rsidRPr="00E81BAB">
        <w:t>;</w:t>
      </w:r>
    </w:p>
    <w:p w:rsidR="00E81BAB" w:rsidRDefault="00E81BA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B67C8" w:rsidRPr="00E81BAB" w:rsidRDefault="00836472" w:rsidP="00836472">
      <w:r w:rsidRPr="00E81BAB">
        <w:lastRenderedPageBreak/>
        <w:t>4</w:t>
      </w:r>
      <w:r w:rsidRPr="00E81BAB">
        <w:tab/>
        <w:t>составлять национальные планы, которые включают технологии и</w:t>
      </w:r>
      <w:r w:rsidR="00187358" w:rsidRPr="00E81BAB">
        <w:t>нтернет</w:t>
      </w:r>
      <w:r w:rsidRPr="00E81BAB">
        <w:t>а</w:t>
      </w:r>
      <w:r w:rsidR="00187358" w:rsidRPr="00E81BAB">
        <w:t xml:space="preserve"> вещей </w:t>
      </w:r>
      <w:r w:rsidRPr="00E81BAB">
        <w:t>и его приложения, для содействия развитию "умных" и устойчивых городов и сообществ</w:t>
      </w:r>
      <w:r w:rsidR="002B67C8" w:rsidRPr="00E81BAB">
        <w:t>;</w:t>
      </w:r>
    </w:p>
    <w:p w:rsidR="00316F11" w:rsidRPr="00E81BAB" w:rsidRDefault="002B67C8" w:rsidP="00836472">
      <w:r w:rsidRPr="00E81BAB">
        <w:t>5</w:t>
      </w:r>
      <w:r w:rsidRPr="00E81BAB">
        <w:tab/>
      </w:r>
      <w:r w:rsidR="00836472" w:rsidRPr="00E81BAB">
        <w:t>сотрудничать и обмениваться опытом и знаниями, относящимися к этой теме.</w:t>
      </w:r>
    </w:p>
    <w:p w:rsidR="00D56E0C" w:rsidRPr="00E81BAB" w:rsidRDefault="00D56E0C" w:rsidP="0032202E">
      <w:pPr>
        <w:pStyle w:val="Reasons"/>
      </w:pPr>
    </w:p>
    <w:p w:rsidR="005E1139" w:rsidRPr="00E81BAB" w:rsidRDefault="00D56E0C" w:rsidP="00D56E0C">
      <w:pPr>
        <w:jc w:val="center"/>
      </w:pPr>
      <w:r w:rsidRPr="00E81BAB">
        <w:t>______________</w:t>
      </w:r>
    </w:p>
    <w:sectPr w:rsidR="005E1139" w:rsidRPr="00E81BAB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7F" w:rsidRDefault="007D2C7F">
      <w:r>
        <w:separator/>
      </w:r>
    </w:p>
  </w:endnote>
  <w:endnote w:type="continuationSeparator" w:id="0">
    <w:p w:rsidR="007D2C7F" w:rsidRDefault="007D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7F" w:rsidRDefault="007D2C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D2C7F" w:rsidRDefault="007D2C7F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82501">
      <w:rPr>
        <w:noProof/>
        <w:lang w:val="fr-FR"/>
      </w:rPr>
      <w:t>P:\RUS\ITU-T\CONF-T\WTSA16\000\046ADD07R.docx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1BAB">
      <w:rPr>
        <w:noProof/>
      </w:rPr>
      <w:t>10.10.16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82501">
      <w:rPr>
        <w:noProof/>
      </w:rPr>
      <w:t>10.10.16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7F" w:rsidRPr="007F34A4" w:rsidRDefault="007D2C7F" w:rsidP="00777F17">
    <w:pPr>
      <w:pStyle w:val="Footer"/>
      <w:rPr>
        <w:lang w:val="fr-CH"/>
      </w:rPr>
    </w:pPr>
    <w:r>
      <w:fldChar w:fldCharType="begin"/>
    </w:r>
    <w:r w:rsidRPr="007F34A4">
      <w:rPr>
        <w:lang w:val="fr-CH"/>
      </w:rPr>
      <w:instrText xml:space="preserve"> FILENAME \p  \* MERGEFORMAT </w:instrText>
    </w:r>
    <w:r>
      <w:fldChar w:fldCharType="separate"/>
    </w:r>
    <w:r w:rsidR="00082501">
      <w:rPr>
        <w:lang w:val="fr-CH"/>
      </w:rPr>
      <w:t>P:\RUS\ITU-T\CONF-T\WTSA16\000\046ADD07R.docx</w:t>
    </w:r>
    <w:r>
      <w:fldChar w:fldCharType="end"/>
    </w:r>
    <w:r w:rsidRPr="007F34A4">
      <w:rPr>
        <w:lang w:val="fr-CH"/>
      </w:rPr>
      <w:t xml:space="preserve"> (405062)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000" w:firstRow="0" w:lastRow="0" w:firstColumn="0" w:lastColumn="0" w:noHBand="0" w:noVBand="0"/>
    </w:tblPr>
    <w:tblGrid>
      <w:gridCol w:w="1817"/>
      <w:gridCol w:w="3853"/>
      <w:gridCol w:w="3969"/>
    </w:tblGrid>
    <w:tr w:rsidR="007D2C7F" w:rsidRPr="00E71746" w:rsidTr="00E81BAB">
      <w:trPr>
        <w:cantSplit/>
      </w:trPr>
      <w:tc>
        <w:tcPr>
          <w:tcW w:w="1817" w:type="dxa"/>
          <w:tcBorders>
            <w:top w:val="single" w:sz="12" w:space="0" w:color="auto"/>
          </w:tcBorders>
        </w:tcPr>
        <w:p w:rsidR="007D2C7F" w:rsidRPr="007B54C2" w:rsidRDefault="007D2C7F" w:rsidP="007F34A4">
          <w:pPr>
            <w:spacing w:before="60" w:after="60"/>
            <w:rPr>
              <w:b/>
              <w:bCs/>
              <w:sz w:val="20"/>
              <w:lang w:val="fr-FR"/>
            </w:rPr>
          </w:pPr>
          <w:r w:rsidRPr="007B54C2">
            <w:rPr>
              <w:b/>
              <w:bCs/>
              <w:sz w:val="20"/>
            </w:rPr>
            <w:t>Для контактов</w:t>
          </w:r>
          <w:r w:rsidRPr="007B54C2">
            <w:rPr>
              <w:bCs/>
              <w:sz w:val="20"/>
              <w:lang w:val="fr-FR"/>
            </w:rPr>
            <w:t>:</w:t>
          </w:r>
        </w:p>
      </w:tc>
      <w:tc>
        <w:tcPr>
          <w:tcW w:w="3853" w:type="dxa"/>
          <w:tcBorders>
            <w:top w:val="single" w:sz="12" w:space="0" w:color="auto"/>
          </w:tcBorders>
        </w:tcPr>
        <w:p w:rsidR="007D2C7F" w:rsidRPr="006E1922" w:rsidRDefault="007D2C7F" w:rsidP="006E1922">
          <w:pPr>
            <w:spacing w:before="60" w:after="60"/>
            <w:rPr>
              <w:sz w:val="20"/>
            </w:rPr>
          </w:pPr>
          <w:r>
            <w:rPr>
              <w:sz w:val="20"/>
            </w:rPr>
            <w:t>Оскар</w:t>
          </w:r>
          <w:r w:rsidRPr="006E1922">
            <w:rPr>
              <w:sz w:val="20"/>
            </w:rPr>
            <w:t xml:space="preserve"> </w:t>
          </w:r>
          <w:r>
            <w:rPr>
              <w:sz w:val="20"/>
            </w:rPr>
            <w:t>Леон</w:t>
          </w:r>
          <w:r w:rsidRPr="006E1922">
            <w:rPr>
              <w:sz w:val="20"/>
            </w:rPr>
            <w:t xml:space="preserve"> (</w:t>
          </w:r>
          <w:r w:rsidRPr="00D94852">
            <w:rPr>
              <w:sz w:val="20"/>
              <w:lang w:val="es-ES"/>
            </w:rPr>
            <w:t>Oscar</w:t>
          </w:r>
          <w:r w:rsidRPr="006E1922">
            <w:rPr>
              <w:sz w:val="20"/>
            </w:rPr>
            <w:t xml:space="preserve"> </w:t>
          </w:r>
          <w:r w:rsidRPr="00D94852">
            <w:rPr>
              <w:sz w:val="20"/>
              <w:lang w:val="es-ES"/>
            </w:rPr>
            <w:t>Le</w:t>
          </w:r>
          <w:r w:rsidRPr="006E1922">
            <w:rPr>
              <w:sz w:val="20"/>
            </w:rPr>
            <w:t>ó</w:t>
          </w:r>
          <w:r w:rsidRPr="00D94852">
            <w:rPr>
              <w:sz w:val="20"/>
              <w:lang w:val="es-ES"/>
            </w:rPr>
            <w:t>n</w:t>
          </w:r>
          <w:r w:rsidRPr="006E1922">
            <w:rPr>
              <w:sz w:val="20"/>
            </w:rPr>
            <w:t>)</w:t>
          </w:r>
          <w:r w:rsidRPr="006E1922">
            <w:rPr>
              <w:sz w:val="20"/>
            </w:rPr>
            <w:br/>
          </w:r>
          <w:r>
            <w:rPr>
              <w:sz w:val="20"/>
            </w:rPr>
            <w:t>СИТЕЛ</w:t>
          </w:r>
          <w:r w:rsidRPr="006E1922">
            <w:rPr>
              <w:sz w:val="20"/>
            </w:rPr>
            <w:br/>
          </w:r>
          <w:r>
            <w:rPr>
              <w:sz w:val="20"/>
            </w:rPr>
            <w:t>Вашингтон</w:t>
          </w:r>
          <w:r w:rsidRPr="006E1922">
            <w:rPr>
              <w:sz w:val="20"/>
            </w:rPr>
            <w:t xml:space="preserve">, </w:t>
          </w:r>
          <w:r>
            <w:rPr>
              <w:sz w:val="20"/>
            </w:rPr>
            <w:t>О.К.</w:t>
          </w:r>
          <w:r w:rsidRPr="006E1922">
            <w:rPr>
              <w:sz w:val="20"/>
            </w:rPr>
            <w:t xml:space="preserve">, </w:t>
          </w:r>
          <w:r>
            <w:rPr>
              <w:sz w:val="20"/>
            </w:rPr>
            <w:t>США</w:t>
          </w:r>
        </w:p>
      </w:tc>
      <w:tc>
        <w:tcPr>
          <w:tcW w:w="3969" w:type="dxa"/>
          <w:tcBorders>
            <w:top w:val="single" w:sz="12" w:space="0" w:color="auto"/>
          </w:tcBorders>
        </w:tcPr>
        <w:p w:rsidR="007D2C7F" w:rsidRPr="00D94852" w:rsidRDefault="007D2C7F" w:rsidP="007F34A4">
          <w:pPr>
            <w:tabs>
              <w:tab w:val="left" w:pos="1014"/>
            </w:tabs>
            <w:spacing w:before="60" w:after="60"/>
            <w:rPr>
              <w:sz w:val="20"/>
            </w:rPr>
          </w:pPr>
          <w:r w:rsidRPr="00D94852">
            <w:rPr>
              <w:sz w:val="20"/>
            </w:rPr>
            <w:t xml:space="preserve">Тел.: </w:t>
          </w:r>
          <w:r w:rsidRPr="00D94852">
            <w:rPr>
              <w:sz w:val="20"/>
            </w:rPr>
            <w:tab/>
            <w:t>+</w:t>
          </w:r>
          <w:r>
            <w:rPr>
              <w:sz w:val="20"/>
            </w:rPr>
            <w:t xml:space="preserve">1 (202) 370 </w:t>
          </w:r>
          <w:r w:rsidRPr="00791784">
            <w:rPr>
              <w:sz w:val="20"/>
            </w:rPr>
            <w:t>4713</w:t>
          </w:r>
          <w:r w:rsidRPr="00D94852">
            <w:rPr>
              <w:sz w:val="20"/>
            </w:rPr>
            <w:br/>
            <w:t xml:space="preserve">Факс: </w:t>
          </w:r>
          <w:r w:rsidRPr="00D94852">
            <w:rPr>
              <w:sz w:val="20"/>
            </w:rPr>
            <w:tab/>
            <w:t>+</w:t>
          </w:r>
          <w:r>
            <w:rPr>
              <w:sz w:val="20"/>
            </w:rPr>
            <w:t xml:space="preserve">1 (202) 458 </w:t>
          </w:r>
          <w:r w:rsidRPr="00791784">
            <w:rPr>
              <w:sz w:val="20"/>
            </w:rPr>
            <w:t>6854</w:t>
          </w:r>
          <w:r w:rsidRPr="00D94852">
            <w:rPr>
              <w:sz w:val="20"/>
            </w:rPr>
            <w:br/>
            <w:t>Эл. почта:</w:t>
          </w:r>
          <w:r w:rsidRPr="00D94852">
            <w:rPr>
              <w:sz w:val="20"/>
            </w:rPr>
            <w:tab/>
          </w:r>
          <w:hyperlink r:id="rId1" w:history="1">
            <w:r w:rsidRPr="00D94852">
              <w:rPr>
                <w:rStyle w:val="Hyperlink"/>
                <w:sz w:val="20"/>
              </w:rPr>
              <w:t>citel@oas.org</w:t>
            </w:r>
          </w:hyperlink>
        </w:p>
      </w:tc>
    </w:tr>
  </w:tbl>
  <w:p w:rsidR="007D2C7F" w:rsidRPr="007F34A4" w:rsidRDefault="007D2C7F" w:rsidP="00777F17">
    <w:pPr>
      <w:pStyle w:val="Footer"/>
      <w:rPr>
        <w:sz w:val="4"/>
        <w:szCs w:val="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7F" w:rsidRDefault="007D2C7F">
      <w:r>
        <w:rPr>
          <w:b/>
        </w:rPr>
        <w:t>_______________</w:t>
      </w:r>
    </w:p>
  </w:footnote>
  <w:footnote w:type="continuationSeparator" w:id="0">
    <w:p w:rsidR="007D2C7F" w:rsidRDefault="007D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7F" w:rsidRPr="00434A7C" w:rsidRDefault="007D2C7F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9073A">
      <w:rPr>
        <w:noProof/>
      </w:rPr>
      <w:t>2</w:t>
    </w:r>
    <w:r>
      <w:fldChar w:fldCharType="end"/>
    </w:r>
  </w:p>
  <w:p w:rsidR="007D2C7F" w:rsidRDefault="007D2C7F" w:rsidP="005F1D14">
    <w:pPr>
      <w:pStyle w:val="Header"/>
      <w:rPr>
        <w:lang w:val="en-US"/>
      </w:rPr>
    </w:pPr>
    <w:r>
      <w:t>WTSA16/46(Add.7)-R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82501"/>
    <w:rsid w:val="00095D3D"/>
    <w:rsid w:val="000A0EF3"/>
    <w:rsid w:val="000A6C0E"/>
    <w:rsid w:val="000C2AC6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31496"/>
    <w:rsid w:val="001434F1"/>
    <w:rsid w:val="001521AE"/>
    <w:rsid w:val="00155C24"/>
    <w:rsid w:val="001630C0"/>
    <w:rsid w:val="00187358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76ED8"/>
    <w:rsid w:val="00290C74"/>
    <w:rsid w:val="002A2D3F"/>
    <w:rsid w:val="002B1CE9"/>
    <w:rsid w:val="002B67C8"/>
    <w:rsid w:val="002E533D"/>
    <w:rsid w:val="00300F84"/>
    <w:rsid w:val="00316F11"/>
    <w:rsid w:val="00344EB8"/>
    <w:rsid w:val="00346BEC"/>
    <w:rsid w:val="00363303"/>
    <w:rsid w:val="003C583C"/>
    <w:rsid w:val="003F0078"/>
    <w:rsid w:val="003F3CF6"/>
    <w:rsid w:val="0040677A"/>
    <w:rsid w:val="00412A42"/>
    <w:rsid w:val="00432FFB"/>
    <w:rsid w:val="00434A7C"/>
    <w:rsid w:val="004456A9"/>
    <w:rsid w:val="0045143A"/>
    <w:rsid w:val="0046096F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51121"/>
    <w:rsid w:val="005651C9"/>
    <w:rsid w:val="00565F49"/>
    <w:rsid w:val="00567276"/>
    <w:rsid w:val="005755E2"/>
    <w:rsid w:val="00580DFE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C4D18"/>
    <w:rsid w:val="006D3E8A"/>
    <w:rsid w:val="006D60C3"/>
    <w:rsid w:val="006E1922"/>
    <w:rsid w:val="007011DF"/>
    <w:rsid w:val="007036B6"/>
    <w:rsid w:val="0071336E"/>
    <w:rsid w:val="00730A90"/>
    <w:rsid w:val="0073532E"/>
    <w:rsid w:val="00763F4F"/>
    <w:rsid w:val="00775720"/>
    <w:rsid w:val="007772E3"/>
    <w:rsid w:val="00777F17"/>
    <w:rsid w:val="00794694"/>
    <w:rsid w:val="007A08B5"/>
    <w:rsid w:val="007A7F49"/>
    <w:rsid w:val="007B4202"/>
    <w:rsid w:val="007B6A8F"/>
    <w:rsid w:val="007D2C7F"/>
    <w:rsid w:val="007F1E3A"/>
    <w:rsid w:val="007F34A4"/>
    <w:rsid w:val="0080668D"/>
    <w:rsid w:val="00811633"/>
    <w:rsid w:val="00812452"/>
    <w:rsid w:val="0081638F"/>
    <w:rsid w:val="00836472"/>
    <w:rsid w:val="0085745F"/>
    <w:rsid w:val="00872232"/>
    <w:rsid w:val="00872FC8"/>
    <w:rsid w:val="008A16DC"/>
    <w:rsid w:val="008B07D5"/>
    <w:rsid w:val="008B43F2"/>
    <w:rsid w:val="008C3257"/>
    <w:rsid w:val="009024CE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C37AE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073A"/>
    <w:rsid w:val="00A97EC0"/>
    <w:rsid w:val="00AC66E6"/>
    <w:rsid w:val="00B0332B"/>
    <w:rsid w:val="00B06DFD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3715A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207E3"/>
    <w:rsid w:val="00D30DA5"/>
    <w:rsid w:val="00D53715"/>
    <w:rsid w:val="00D56E0C"/>
    <w:rsid w:val="00DE2EBA"/>
    <w:rsid w:val="00E003CD"/>
    <w:rsid w:val="00E11080"/>
    <w:rsid w:val="00E2253F"/>
    <w:rsid w:val="00E43B1B"/>
    <w:rsid w:val="00E5155F"/>
    <w:rsid w:val="00E81BAB"/>
    <w:rsid w:val="00E976C1"/>
    <w:rsid w:val="00EB6BCD"/>
    <w:rsid w:val="00EC1AE7"/>
    <w:rsid w:val="00EC6067"/>
    <w:rsid w:val="00EE1364"/>
    <w:rsid w:val="00EF6D95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6E1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52A48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29190c7-835d-4a0c-a047-84db79249c11" targetNamespace="http://schemas.microsoft.com/office/2006/metadata/properties" ma:root="true" ma:fieldsID="d41af5c836d734370eb92e7ee5f83852" ns2:_="" ns3:_="">
    <xsd:import namespace="996b2e75-67fd-4955-a3b0-5ab9934cb50b"/>
    <xsd:import namespace="c29190c7-835d-4a0c-a047-84db79249c1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90c7-835d-4a0c-a047-84db79249c1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29190c7-835d-4a0c-a047-84db79249c11">Documents Proposals Manager (DPM)</DPM_x0020_Author>
    <DPM_x0020_File_x0020_name xmlns="c29190c7-835d-4a0c-a047-84db79249c11">T13-WTSA.16-C-0046!A7!MSW-R</DPM_x0020_File_x0020_name>
    <DPM_x0020_Version xmlns="c29190c7-835d-4a0c-a047-84db79249c11">DPM_v2016.9.21.2_prod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29190c7-835d-4a0c-a047-84db79249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29190c7-835d-4a0c-a047-84db79249c11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1012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T13-WTSA.16-C-0046!A7!MSW-R</vt:lpstr>
    </vt:vector>
  </TitlesOfParts>
  <Manager>General Secretariat - Pool</Manager>
  <Company>International Telecommunication Union (ITU)</Company>
  <LinksUpToDate>false</LinksUpToDate>
  <CharactersWithSpaces>8299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T13-WTSA.16-C-0046!A7!MSW-R</dc:title>
  <dc:subject>World Telecommunication Standardization Assembly</dc:subject>
  <dc:creator>Documents Proposals Manager (DPM)</dc:creator>
  <cp:keywords>DPM_v2016.9.21.2_prod</cp:keywords>
  <dc:description>Template used by DPM and CPI for the WTSA-16</dc:description>
  <cp:lastModifiedBy>Komissarova, Olga</cp:lastModifiedBy>
  <cp:revision>10</cp:revision>
  <cp:lastPrinted>2016-10-10T13:37:00Z</cp:lastPrinted>
  <dcterms:created xsi:type="dcterms:W3CDTF">2016-10-07T15:28:00Z</dcterms:created>
  <dcterms:modified xsi:type="dcterms:W3CDTF">2016-10-12T10:13:00Z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