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4A0" w:firstRow="1" w:lastRow="0" w:firstColumn="1" w:lastColumn="0" w:noHBand="0" w:noVBand="1"/>
      </w:tblPr>
      <w:tblGrid>
        <w:gridCol w:w="1383"/>
        <w:gridCol w:w="5231"/>
        <w:gridCol w:w="3197"/>
      </w:tblGrid>
      <w:tr w:rsidR="009759FE" w:rsidTr="00E2414B">
        <w:trPr>
          <w:cantSplit/>
        </w:trPr>
        <w:tc>
          <w:tcPr>
            <w:tcW w:w="1383" w:type="dxa"/>
            <w:vAlign w:val="center"/>
            <w:hideMark/>
          </w:tcPr>
          <w:p w:rsidR="009759FE" w:rsidRPr="00031E6B" w:rsidRDefault="009759FE" w:rsidP="00E2414B">
            <w:pPr>
              <w:spacing w:after="160"/>
              <w:rPr>
                <w:rFonts w:ascii="Verdana" w:hAnsi="Verdana" w:cs="Times New Roman Bold"/>
                <w:b/>
                <w:bCs/>
                <w:sz w:val="22"/>
                <w:szCs w:val="22"/>
              </w:rPr>
            </w:pPr>
            <w:r w:rsidRPr="00031E6B">
              <w:rPr>
                <w:noProof/>
                <w:lang w:val="en-US" w:eastAsia="zh-CN"/>
              </w:rPr>
              <w:drawing>
                <wp:inline distT="0" distB="0" distL="0" distR="0">
                  <wp:extent cx="723900" cy="800100"/>
                  <wp:effectExtent l="0" t="0" r="0" b="0"/>
                  <wp:docPr id="5" name="Picture 5" descr="itu_logo" title="ITU logo"/>
                  <wp:cNvGraphicFramePr/>
                  <a:graphic xmlns:a="http://schemas.openxmlformats.org/drawingml/2006/main">
                    <a:graphicData uri="http://schemas.openxmlformats.org/drawingml/2006/picture">
                      <pic:pic xmlns:pic="http://schemas.openxmlformats.org/drawingml/2006/picture">
                        <pic:nvPicPr>
                          <pic:cNvPr id="3" name="Picture 3" descr="itu_logo" title="ITU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799465"/>
                          </a:xfrm>
                          <a:prstGeom prst="rect">
                            <a:avLst/>
                          </a:prstGeom>
                          <a:noFill/>
                          <a:ln>
                            <a:noFill/>
                          </a:ln>
                        </pic:spPr>
                      </pic:pic>
                    </a:graphicData>
                  </a:graphic>
                </wp:inline>
              </w:drawing>
            </w:r>
          </w:p>
        </w:tc>
        <w:tc>
          <w:tcPr>
            <w:tcW w:w="5231" w:type="dxa"/>
            <w:vAlign w:val="center"/>
            <w:hideMark/>
          </w:tcPr>
          <w:p w:rsidR="009759FE" w:rsidRPr="00031E6B" w:rsidRDefault="009759FE" w:rsidP="00E2414B">
            <w:pPr>
              <w:rPr>
                <w:rFonts w:ascii="Verdana" w:hAnsi="Verdana" w:cs="Times New Roman Bold"/>
                <w:b/>
                <w:bCs/>
                <w:szCs w:val="24"/>
                <w:lang w:eastAsia="zh-CN"/>
              </w:rPr>
            </w:pPr>
            <w:r w:rsidRPr="00031E6B">
              <w:rPr>
                <w:rFonts w:ascii="Verdana" w:hAnsi="Verdana" w:cs="Times New Roman Bold" w:hint="eastAsia"/>
                <w:b/>
                <w:bCs/>
                <w:szCs w:val="24"/>
                <w:lang w:eastAsia="zh-CN"/>
              </w:rPr>
              <w:t>世界电信标准化全会</w:t>
            </w:r>
          </w:p>
          <w:p w:rsidR="009759FE" w:rsidRPr="00400909" w:rsidRDefault="009759FE" w:rsidP="00E2414B">
            <w:pPr>
              <w:rPr>
                <w:rFonts w:ascii="Verdana" w:hAnsi="Verdana" w:cs="Times New Roman Bold"/>
                <w:b/>
                <w:bCs/>
                <w:sz w:val="22"/>
                <w:szCs w:val="22"/>
                <w:lang w:eastAsia="zh-CN"/>
              </w:rPr>
            </w:pPr>
            <w:r w:rsidRPr="00400909">
              <w:rPr>
                <w:rFonts w:ascii="Verdana" w:hAnsi="Verdana" w:cs="Times New Roman Bold"/>
                <w:b/>
                <w:bCs/>
                <w:szCs w:val="24"/>
                <w:lang w:eastAsia="zh-CN"/>
              </w:rPr>
              <w:t>（</w:t>
            </w:r>
            <w:r w:rsidRPr="00400909">
              <w:rPr>
                <w:rFonts w:ascii="Verdana" w:hAnsi="Verdana" w:cs="Times New Roman Bold"/>
                <w:b/>
                <w:bCs/>
                <w:szCs w:val="24"/>
                <w:lang w:eastAsia="zh-CN"/>
              </w:rPr>
              <w:t>WTSA-16</w:t>
            </w:r>
            <w:r w:rsidRPr="00400909">
              <w:rPr>
                <w:rFonts w:ascii="Verdana" w:hAnsi="Verdana" w:cs="Times New Roman Bold"/>
                <w:b/>
                <w:bCs/>
                <w:szCs w:val="24"/>
                <w:lang w:eastAsia="zh-CN"/>
              </w:rPr>
              <w:t>）</w:t>
            </w:r>
            <w:r w:rsidRPr="00400909">
              <w:rPr>
                <w:rFonts w:ascii="Verdana" w:hAnsi="Verdana" w:cs="Times New Roman Bold"/>
                <w:b/>
                <w:bCs/>
                <w:lang w:eastAsia="zh-CN"/>
              </w:rPr>
              <w:br/>
            </w:r>
            <w:r w:rsidRPr="00400909">
              <w:rPr>
                <w:rFonts w:ascii="Verdana" w:hAnsi="Verdana" w:cs="Times New Roman Bold"/>
                <w:b/>
                <w:bCs/>
                <w:sz w:val="20"/>
                <w:lang w:eastAsia="zh-CN"/>
              </w:rPr>
              <w:t>2016</w:t>
            </w:r>
            <w:r w:rsidRPr="00400909">
              <w:rPr>
                <w:rFonts w:ascii="Verdana" w:hAnsi="Verdana" w:cs="Times New Roman Bold"/>
                <w:b/>
                <w:bCs/>
                <w:sz w:val="20"/>
                <w:lang w:eastAsia="zh-CN"/>
              </w:rPr>
              <w:t>年</w:t>
            </w:r>
            <w:r w:rsidRPr="00400909">
              <w:rPr>
                <w:rFonts w:ascii="Verdana" w:hAnsi="Verdana" w:cs="Times New Roman Bold"/>
                <w:b/>
                <w:bCs/>
                <w:sz w:val="20"/>
                <w:lang w:eastAsia="zh-CN"/>
              </w:rPr>
              <w:t>10</w:t>
            </w:r>
            <w:r w:rsidRPr="00400909">
              <w:rPr>
                <w:rFonts w:ascii="Verdana" w:hAnsi="Verdana" w:cs="Times New Roman Bold"/>
                <w:b/>
                <w:bCs/>
                <w:sz w:val="20"/>
                <w:lang w:eastAsia="zh-CN"/>
              </w:rPr>
              <w:t>月</w:t>
            </w:r>
            <w:r w:rsidRPr="00400909">
              <w:rPr>
                <w:rFonts w:ascii="Verdana" w:hAnsi="Verdana" w:cs="Times New Roman Bold"/>
                <w:b/>
                <w:bCs/>
                <w:sz w:val="20"/>
                <w:lang w:eastAsia="zh-CN"/>
              </w:rPr>
              <w:t>25</w:t>
            </w:r>
            <w:r w:rsidRPr="00400909">
              <w:rPr>
                <w:rFonts w:ascii="Verdana" w:hAnsi="Verdana" w:cs="Times New Roman Bold"/>
                <w:b/>
                <w:bCs/>
                <w:sz w:val="20"/>
                <w:lang w:eastAsia="zh-CN"/>
              </w:rPr>
              <w:t>日</w:t>
            </w:r>
            <w:r w:rsidRPr="00400909">
              <w:rPr>
                <w:rFonts w:ascii="Verdana" w:hAnsi="Verdana" w:cs="Times New Roman Bold"/>
                <w:b/>
                <w:bCs/>
                <w:sz w:val="20"/>
                <w:lang w:eastAsia="zh-CN"/>
              </w:rPr>
              <w:t>-11</w:t>
            </w:r>
            <w:r w:rsidRPr="00400909">
              <w:rPr>
                <w:rFonts w:ascii="Verdana" w:hAnsi="Verdana" w:cs="Times New Roman Bold"/>
                <w:b/>
                <w:bCs/>
                <w:sz w:val="20"/>
                <w:lang w:eastAsia="zh-CN"/>
              </w:rPr>
              <w:t>月</w:t>
            </w:r>
            <w:r w:rsidRPr="00400909">
              <w:rPr>
                <w:rFonts w:ascii="Verdana" w:hAnsi="Verdana" w:cs="Times New Roman Bold"/>
                <w:b/>
                <w:bCs/>
                <w:sz w:val="20"/>
                <w:lang w:eastAsia="zh-CN"/>
              </w:rPr>
              <w:t>3</w:t>
            </w:r>
            <w:r w:rsidRPr="00400909">
              <w:rPr>
                <w:rFonts w:ascii="Verdana" w:hAnsi="Verdana" w:cs="Times New Roman Bold"/>
                <w:b/>
                <w:bCs/>
                <w:sz w:val="20"/>
                <w:lang w:eastAsia="zh-CN"/>
              </w:rPr>
              <w:t>日，哈马马特</w:t>
            </w:r>
          </w:p>
        </w:tc>
        <w:tc>
          <w:tcPr>
            <w:tcW w:w="3197" w:type="dxa"/>
            <w:vAlign w:val="center"/>
            <w:hideMark/>
          </w:tcPr>
          <w:p w:rsidR="009759FE" w:rsidRPr="00031E6B" w:rsidRDefault="009759FE" w:rsidP="00E2414B">
            <w:pPr>
              <w:spacing w:after="160"/>
              <w:jc w:val="right"/>
              <w:rPr>
                <w:sz w:val="22"/>
                <w:szCs w:val="22"/>
              </w:rPr>
            </w:pPr>
            <w:r w:rsidRPr="00031E6B">
              <w:rPr>
                <w:noProof/>
                <w:lang w:val="en-US" w:eastAsia="zh-CN"/>
              </w:rPr>
              <w:drawing>
                <wp:inline distT="0" distB="0" distL="0" distR="0">
                  <wp:extent cx="885825" cy="790575"/>
                  <wp:effectExtent l="0" t="0" r="9525" b="9525"/>
                  <wp:docPr id="4" name="Picture 4" descr="Title: 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CCITT/ITU-T 60th Annivers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a:ln>
                            <a:noFill/>
                          </a:ln>
                        </pic:spPr>
                      </pic:pic>
                    </a:graphicData>
                  </a:graphic>
                </wp:inline>
              </w:drawing>
            </w:r>
          </w:p>
        </w:tc>
      </w:tr>
      <w:tr w:rsidR="009759FE" w:rsidRPr="000A3B30" w:rsidTr="00E2414B">
        <w:trPr>
          <w:cantSplit/>
        </w:trPr>
        <w:tc>
          <w:tcPr>
            <w:tcW w:w="6614" w:type="dxa"/>
            <w:gridSpan w:val="2"/>
            <w:tcBorders>
              <w:top w:val="nil"/>
              <w:left w:val="nil"/>
              <w:bottom w:val="single" w:sz="12" w:space="0" w:color="auto"/>
              <w:right w:val="nil"/>
            </w:tcBorders>
          </w:tcPr>
          <w:p w:rsidR="009759FE" w:rsidRPr="000A3B30" w:rsidRDefault="009759FE" w:rsidP="00E2414B">
            <w:pPr>
              <w:spacing w:before="0"/>
              <w:rPr>
                <w:rFonts w:eastAsia="Times New Roman"/>
              </w:rPr>
            </w:pPr>
          </w:p>
        </w:tc>
        <w:tc>
          <w:tcPr>
            <w:tcW w:w="3197" w:type="dxa"/>
            <w:tcBorders>
              <w:top w:val="nil"/>
              <w:left w:val="nil"/>
              <w:bottom w:val="single" w:sz="12" w:space="0" w:color="auto"/>
              <w:right w:val="nil"/>
            </w:tcBorders>
          </w:tcPr>
          <w:p w:rsidR="009759FE" w:rsidRPr="000A3B30" w:rsidRDefault="009759FE" w:rsidP="00E2414B">
            <w:pPr>
              <w:spacing w:before="0"/>
              <w:rPr>
                <w:rFonts w:eastAsia="Times New Roman"/>
              </w:rPr>
            </w:pPr>
          </w:p>
        </w:tc>
      </w:tr>
      <w:tr w:rsidR="009759FE" w:rsidTr="00E2414B">
        <w:trPr>
          <w:cantSplit/>
        </w:trPr>
        <w:tc>
          <w:tcPr>
            <w:tcW w:w="6614" w:type="dxa"/>
            <w:gridSpan w:val="2"/>
            <w:tcBorders>
              <w:top w:val="single" w:sz="12" w:space="0" w:color="auto"/>
              <w:left w:val="nil"/>
              <w:bottom w:val="nil"/>
              <w:right w:val="nil"/>
            </w:tcBorders>
          </w:tcPr>
          <w:p w:rsidR="009759FE" w:rsidRPr="00400909" w:rsidRDefault="009759FE" w:rsidP="00E2414B">
            <w:pPr>
              <w:spacing w:before="0"/>
              <w:rPr>
                <w:rFonts w:eastAsia="Times New Roman"/>
              </w:rPr>
            </w:pPr>
          </w:p>
        </w:tc>
        <w:tc>
          <w:tcPr>
            <w:tcW w:w="3197" w:type="dxa"/>
          </w:tcPr>
          <w:p w:rsidR="009759FE" w:rsidRPr="00031E6B" w:rsidRDefault="009759FE" w:rsidP="00E2414B">
            <w:pPr>
              <w:spacing w:before="0"/>
              <w:rPr>
                <w:rFonts w:ascii="Verdana" w:hAnsi="Verdana"/>
                <w:b/>
                <w:bCs/>
                <w:sz w:val="20"/>
                <w:szCs w:val="22"/>
              </w:rPr>
            </w:pPr>
          </w:p>
        </w:tc>
      </w:tr>
      <w:tr w:rsidR="000A3B30" w:rsidTr="00E2414B">
        <w:trPr>
          <w:cantSplit/>
        </w:trPr>
        <w:tc>
          <w:tcPr>
            <w:tcW w:w="6614" w:type="dxa"/>
            <w:gridSpan w:val="2"/>
          </w:tcPr>
          <w:p w:rsidR="000A3B30" w:rsidRPr="00031E6B" w:rsidRDefault="000A3B30" w:rsidP="00E2414B">
            <w:pPr>
              <w:spacing w:before="0"/>
              <w:rPr>
                <w:sz w:val="22"/>
                <w:szCs w:val="22"/>
              </w:rPr>
            </w:pPr>
            <w:r w:rsidRPr="00A466E6">
              <w:rPr>
                <w:rFonts w:ascii="Verdana" w:hAnsi="Verdana"/>
                <w:b/>
                <w:sz w:val="20"/>
              </w:rPr>
              <w:t>全体会议</w:t>
            </w:r>
          </w:p>
        </w:tc>
        <w:tc>
          <w:tcPr>
            <w:tcW w:w="3197" w:type="dxa"/>
            <w:hideMark/>
          </w:tcPr>
          <w:p w:rsidR="000A3B30" w:rsidRPr="00622560" w:rsidRDefault="000A3B30" w:rsidP="00E2414B">
            <w:pPr>
              <w:spacing w:before="0"/>
              <w:rPr>
                <w:rFonts w:ascii="Verdana" w:hAnsi="Verdana"/>
                <w:sz w:val="20"/>
              </w:rPr>
            </w:pPr>
            <w:r>
              <w:rPr>
                <w:rFonts w:ascii="Verdana" w:hAnsi="Verdana"/>
                <w:b/>
                <w:sz w:val="20"/>
              </w:rPr>
              <w:t>文件</w:t>
            </w:r>
            <w:r w:rsidR="00932EC8">
              <w:rPr>
                <w:rFonts w:ascii="Verdana" w:hAnsi="Verdana"/>
                <w:b/>
                <w:sz w:val="20"/>
              </w:rPr>
              <w:t xml:space="preserve"> 46</w:t>
            </w:r>
            <w:r>
              <w:rPr>
                <w:rFonts w:ascii="Verdana" w:hAnsi="Verdana"/>
                <w:b/>
                <w:sz w:val="20"/>
              </w:rPr>
              <w:t>(Add.4)</w:t>
            </w:r>
            <w:r w:rsidRPr="00622560">
              <w:rPr>
                <w:rFonts w:ascii="Verdana" w:hAnsi="Verdana"/>
                <w:b/>
                <w:sz w:val="20"/>
              </w:rPr>
              <w:t>-</w:t>
            </w:r>
            <w:r w:rsidRPr="000273B7">
              <w:rPr>
                <w:rFonts w:ascii="Verdana" w:hAnsi="Verdana"/>
                <w:b/>
                <w:sz w:val="20"/>
              </w:rPr>
              <w:t>C</w:t>
            </w:r>
          </w:p>
        </w:tc>
      </w:tr>
      <w:tr w:rsidR="000A3B30" w:rsidTr="00E2414B">
        <w:trPr>
          <w:cantSplit/>
        </w:trPr>
        <w:tc>
          <w:tcPr>
            <w:tcW w:w="6614" w:type="dxa"/>
            <w:gridSpan w:val="2"/>
          </w:tcPr>
          <w:p w:rsidR="000A3B30" w:rsidRPr="00C324A8" w:rsidRDefault="000A3B30" w:rsidP="00E2414B">
            <w:pPr>
              <w:spacing w:before="0"/>
              <w:rPr>
                <w:rFonts w:ascii="Verdana" w:hAnsi="Verdana"/>
                <w:b/>
                <w:smallCaps/>
                <w:sz w:val="20"/>
              </w:rPr>
            </w:pPr>
          </w:p>
        </w:tc>
        <w:tc>
          <w:tcPr>
            <w:tcW w:w="3197" w:type="dxa"/>
            <w:hideMark/>
          </w:tcPr>
          <w:p w:rsidR="000A3B30" w:rsidRPr="00622560" w:rsidRDefault="000A3B30" w:rsidP="00E2414B">
            <w:pPr>
              <w:spacing w:before="0"/>
              <w:rPr>
                <w:rFonts w:ascii="Verdana" w:hAnsi="Verdana"/>
                <w:sz w:val="20"/>
              </w:rPr>
            </w:pPr>
            <w:r w:rsidRPr="000273B7">
              <w:rPr>
                <w:rFonts w:ascii="Verdana" w:hAnsi="Verdana"/>
                <w:b/>
                <w:bCs/>
                <w:sz w:val="20"/>
              </w:rPr>
              <w:t>2016</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21</w:t>
            </w:r>
            <w:r w:rsidRPr="000273B7">
              <w:rPr>
                <w:rFonts w:ascii="Verdana" w:hAnsi="Verdana"/>
                <w:b/>
                <w:bCs/>
                <w:sz w:val="20"/>
              </w:rPr>
              <w:t>日</w:t>
            </w:r>
          </w:p>
        </w:tc>
      </w:tr>
      <w:tr w:rsidR="000A3B30" w:rsidTr="00E2414B">
        <w:trPr>
          <w:cantSplit/>
        </w:trPr>
        <w:tc>
          <w:tcPr>
            <w:tcW w:w="6614" w:type="dxa"/>
            <w:gridSpan w:val="2"/>
          </w:tcPr>
          <w:p w:rsidR="000A3B30" w:rsidRPr="00031E6B" w:rsidRDefault="000A3B30" w:rsidP="00E2414B">
            <w:pPr>
              <w:spacing w:before="0"/>
              <w:rPr>
                <w:sz w:val="22"/>
                <w:szCs w:val="22"/>
              </w:rPr>
            </w:pPr>
          </w:p>
        </w:tc>
        <w:tc>
          <w:tcPr>
            <w:tcW w:w="3197" w:type="dxa"/>
            <w:hideMark/>
          </w:tcPr>
          <w:p w:rsidR="000A3B30" w:rsidRPr="00622560" w:rsidRDefault="000A3B30" w:rsidP="00E2414B">
            <w:pPr>
              <w:spacing w:before="0"/>
              <w:rPr>
                <w:rFonts w:ascii="Verdana" w:hAnsi="Verdana"/>
                <w:sz w:val="20"/>
              </w:rPr>
            </w:pPr>
            <w:r w:rsidRPr="000273B7">
              <w:rPr>
                <w:rFonts w:ascii="Verdana" w:hAnsi="Verdana"/>
                <w:b/>
                <w:bCs/>
                <w:sz w:val="20"/>
              </w:rPr>
              <w:t>原文：英文</w:t>
            </w:r>
          </w:p>
        </w:tc>
      </w:tr>
      <w:tr w:rsidR="009D164C" w:rsidTr="00E2414B">
        <w:trPr>
          <w:cantSplit/>
        </w:trPr>
        <w:tc>
          <w:tcPr>
            <w:tcW w:w="9811" w:type="dxa"/>
            <w:gridSpan w:val="3"/>
          </w:tcPr>
          <w:p w:rsidR="009D164C" w:rsidRPr="00031E6B" w:rsidRDefault="009D164C" w:rsidP="00E2414B">
            <w:pPr>
              <w:spacing w:before="0"/>
              <w:rPr>
                <w:rFonts w:ascii="Verdana" w:hAnsi="Verdana"/>
                <w:b/>
                <w:bCs/>
                <w:sz w:val="20"/>
                <w:szCs w:val="22"/>
              </w:rPr>
            </w:pPr>
          </w:p>
        </w:tc>
      </w:tr>
      <w:tr w:rsidR="000A3B30" w:rsidTr="00E2414B">
        <w:trPr>
          <w:cantSplit/>
        </w:trPr>
        <w:tc>
          <w:tcPr>
            <w:tcW w:w="9811" w:type="dxa"/>
            <w:gridSpan w:val="3"/>
            <w:hideMark/>
          </w:tcPr>
          <w:p w:rsidR="000A3B30" w:rsidRPr="00031E6B" w:rsidRDefault="000A3B30" w:rsidP="00E2414B">
            <w:pPr>
              <w:pStyle w:val="Source"/>
              <w:rPr>
                <w:lang w:eastAsia="zh-CN"/>
              </w:rPr>
            </w:pPr>
            <w:r w:rsidRPr="000273B7">
              <w:rPr>
                <w:lang w:eastAsia="zh-CN"/>
              </w:rPr>
              <w:t>美洲国家电信委员会（</w:t>
            </w:r>
            <w:r w:rsidRPr="000273B7">
              <w:rPr>
                <w:lang w:eastAsia="zh-CN"/>
              </w:rPr>
              <w:t>CITEL</w:t>
            </w:r>
            <w:r w:rsidRPr="000273B7">
              <w:rPr>
                <w:lang w:eastAsia="zh-CN"/>
              </w:rPr>
              <w:t>）成员国</w:t>
            </w:r>
          </w:p>
        </w:tc>
      </w:tr>
      <w:tr w:rsidR="000A3B30" w:rsidTr="00E2414B">
        <w:trPr>
          <w:cantSplit/>
        </w:trPr>
        <w:tc>
          <w:tcPr>
            <w:tcW w:w="9811" w:type="dxa"/>
            <w:gridSpan w:val="3"/>
            <w:hideMark/>
          </w:tcPr>
          <w:p w:rsidR="000A3B30" w:rsidRPr="00400909" w:rsidRDefault="00C74989" w:rsidP="000B5E99">
            <w:pPr>
              <w:pStyle w:val="Title1"/>
              <w:rPr>
                <w:rFonts w:ascii="Verdana" w:hAnsi="Verdana"/>
                <w:lang w:eastAsia="zh-CN"/>
              </w:rPr>
            </w:pPr>
            <w:r>
              <w:rPr>
                <w:rFonts w:hint="eastAsia"/>
                <w:lang w:eastAsia="zh-CN"/>
              </w:rPr>
              <w:t>建议删除</w:t>
            </w:r>
            <w:r w:rsidR="000A3B30" w:rsidRPr="000273B7">
              <w:rPr>
                <w:lang w:eastAsia="zh-CN"/>
              </w:rPr>
              <w:t>WTSA-12</w:t>
            </w:r>
            <w:r w:rsidR="004C41F6" w:rsidRPr="0038451B">
              <w:rPr>
                <w:rStyle w:val="href"/>
                <w:rFonts w:hint="eastAsia"/>
              </w:rPr>
              <w:t>第</w:t>
            </w:r>
            <w:r w:rsidR="004C41F6" w:rsidRPr="0038451B">
              <w:rPr>
                <w:rStyle w:val="href"/>
                <w:rFonts w:hint="eastAsia"/>
              </w:rPr>
              <w:t>55</w:t>
            </w:r>
            <w:r w:rsidR="004C41F6" w:rsidRPr="0038451B">
              <w:rPr>
                <w:rStyle w:val="href"/>
                <w:rFonts w:hint="eastAsia"/>
              </w:rPr>
              <w:t>号决议</w:t>
            </w:r>
            <w:r w:rsidR="004C41F6">
              <w:rPr>
                <w:rStyle w:val="href"/>
                <w:rFonts w:hint="eastAsia"/>
              </w:rPr>
              <w:t xml:space="preserve"> </w:t>
            </w:r>
            <w:r w:rsidR="000A3B30" w:rsidRPr="000273B7">
              <w:rPr>
                <w:lang w:eastAsia="zh-CN"/>
              </w:rPr>
              <w:t>–</w:t>
            </w:r>
            <w:r w:rsidR="004C41F6">
              <w:rPr>
                <w:lang w:eastAsia="zh-CN"/>
              </w:rPr>
              <w:t xml:space="preserve"> </w:t>
            </w:r>
            <w:r w:rsidR="004C41F6" w:rsidRPr="00E04A5F">
              <w:rPr>
                <w:rFonts w:hint="eastAsia"/>
                <w:lang w:eastAsia="zh-CN"/>
              </w:rPr>
              <w:t>将性别平等观点纳入</w:t>
            </w:r>
            <w:r w:rsidR="004C41F6">
              <w:rPr>
                <w:rFonts w:hint="eastAsia"/>
                <w:lang w:eastAsia="zh-CN"/>
              </w:rPr>
              <w:t>国际电联</w:t>
            </w:r>
            <w:r w:rsidR="000B5E99">
              <w:rPr>
                <w:lang w:eastAsia="zh-CN"/>
              </w:rPr>
              <w:br/>
            </w:r>
            <w:r w:rsidR="004C41F6">
              <w:rPr>
                <w:rFonts w:hint="eastAsia"/>
                <w:lang w:eastAsia="zh-CN"/>
              </w:rPr>
              <w:t>电信标准化部门</w:t>
            </w:r>
            <w:r w:rsidR="004C41F6" w:rsidRPr="00E04A5F">
              <w:rPr>
                <w:lang w:eastAsia="zh-CN"/>
              </w:rPr>
              <w:t>的主要</w:t>
            </w:r>
            <w:r w:rsidR="004C41F6" w:rsidRPr="00E04A5F">
              <w:rPr>
                <w:rFonts w:hint="eastAsia"/>
                <w:lang w:eastAsia="zh-CN"/>
              </w:rPr>
              <w:t>活动</w:t>
            </w:r>
          </w:p>
        </w:tc>
      </w:tr>
      <w:tr w:rsidR="000A3B30" w:rsidTr="00E2414B">
        <w:trPr>
          <w:cantSplit/>
        </w:trPr>
        <w:tc>
          <w:tcPr>
            <w:tcW w:w="9811" w:type="dxa"/>
            <w:gridSpan w:val="3"/>
            <w:hideMark/>
          </w:tcPr>
          <w:p w:rsidR="000A3B30" w:rsidRPr="00400909" w:rsidRDefault="000A3B30" w:rsidP="00E2414B">
            <w:pPr>
              <w:pStyle w:val="Title2"/>
              <w:rPr>
                <w:rFonts w:ascii="Verdana" w:hAnsi="Verdana"/>
                <w:lang w:eastAsia="zh-CN"/>
              </w:rPr>
            </w:pPr>
          </w:p>
        </w:tc>
      </w:tr>
      <w:tr w:rsidR="000A3B30" w:rsidTr="00E2414B">
        <w:trPr>
          <w:cantSplit/>
        </w:trPr>
        <w:tc>
          <w:tcPr>
            <w:tcW w:w="9811" w:type="dxa"/>
            <w:gridSpan w:val="3"/>
          </w:tcPr>
          <w:p w:rsidR="000A3B30" w:rsidRPr="000273B7" w:rsidRDefault="000A3B30" w:rsidP="00E2414B">
            <w:pPr>
              <w:pStyle w:val="Agendaitem"/>
            </w:pPr>
          </w:p>
        </w:tc>
      </w:tr>
    </w:tbl>
    <w:p w:rsidR="003556C0" w:rsidRDefault="003556C0" w:rsidP="003556C0">
      <w:pPr>
        <w:rPr>
          <w:lang w:val="en-US" w:eastAsia="zh-CN"/>
        </w:rPr>
      </w:pPr>
    </w:p>
    <w:tbl>
      <w:tblPr>
        <w:tblW w:w="5089" w:type="pct"/>
        <w:tblLayout w:type="fixed"/>
        <w:tblLook w:val="0000" w:firstRow="0" w:lastRow="0" w:firstColumn="0" w:lastColumn="0" w:noHBand="0" w:noVBand="0"/>
      </w:tblPr>
      <w:tblGrid>
        <w:gridCol w:w="993"/>
        <w:gridCol w:w="8818"/>
      </w:tblGrid>
      <w:tr w:rsidR="003556C0" w:rsidRPr="00426748" w:rsidTr="00C74989">
        <w:trPr>
          <w:cantSplit/>
        </w:trPr>
        <w:tc>
          <w:tcPr>
            <w:tcW w:w="993" w:type="dxa"/>
          </w:tcPr>
          <w:p w:rsidR="003556C0" w:rsidRPr="00426748" w:rsidRDefault="003556C0" w:rsidP="00193AD1">
            <w:pPr>
              <w:rPr>
                <w:lang w:eastAsia="zh-CN"/>
              </w:rPr>
            </w:pPr>
            <w:r w:rsidRPr="001051B1">
              <w:rPr>
                <w:rFonts w:hint="eastAsia"/>
                <w:b/>
                <w:bCs/>
              </w:rPr>
              <w:t>摘要</w:t>
            </w:r>
            <w:r w:rsidR="00C74989">
              <w:rPr>
                <w:rFonts w:hint="eastAsia"/>
                <w:b/>
                <w:bCs/>
                <w:lang w:eastAsia="zh-CN"/>
              </w:rPr>
              <w:t>：</w:t>
            </w:r>
          </w:p>
        </w:tc>
        <w:sdt>
          <w:sdtPr>
            <w:rPr>
              <w:color w:val="000000" w:themeColor="text1"/>
              <w:lang w:val="en-US" w:eastAsia="zh-CN"/>
            </w:rPr>
            <w:alias w:val="Abstract"/>
            <w:tag w:val="Abstract"/>
            <w:id w:val="-939903723"/>
            <w:placeholder>
              <w:docPart w:val="D6F4CC86FB0D4519B33A4152A00EAE9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818" w:type="dxa"/>
              </w:tcPr>
              <w:p w:rsidR="003556C0" w:rsidRPr="00231452" w:rsidRDefault="004C41F6" w:rsidP="00C74989">
                <w:pPr>
                  <w:rPr>
                    <w:lang w:eastAsia="zh-CN"/>
                  </w:rPr>
                </w:pPr>
                <w:r w:rsidRPr="004C41F6">
                  <w:rPr>
                    <w:color w:val="000000" w:themeColor="text1"/>
                    <w:lang w:val="en-US" w:eastAsia="zh-CN"/>
                  </w:rPr>
                  <w:t>CITEL</w:t>
                </w:r>
                <w:r w:rsidR="00C74989">
                  <w:rPr>
                    <w:rFonts w:hint="eastAsia"/>
                    <w:color w:val="000000" w:themeColor="text1"/>
                    <w:lang w:val="en-US" w:eastAsia="zh-CN"/>
                  </w:rPr>
                  <w:t>支持</w:t>
                </w:r>
                <w:r w:rsidR="00C74989">
                  <w:rPr>
                    <w:color w:val="000000" w:themeColor="text1"/>
                    <w:lang w:val="en-US" w:eastAsia="zh-CN"/>
                  </w:rPr>
                  <w:t>删除第</w:t>
                </w:r>
                <w:r w:rsidRPr="004C41F6">
                  <w:rPr>
                    <w:color w:val="000000" w:themeColor="text1"/>
                    <w:lang w:val="en-US" w:eastAsia="zh-CN"/>
                  </w:rPr>
                  <w:t>55</w:t>
                </w:r>
                <w:r w:rsidR="00C74989">
                  <w:rPr>
                    <w:rFonts w:hint="eastAsia"/>
                    <w:color w:val="000000" w:themeColor="text1"/>
                    <w:lang w:val="en-US" w:eastAsia="zh-CN"/>
                  </w:rPr>
                  <w:t>号</w:t>
                </w:r>
                <w:r w:rsidR="00C74989">
                  <w:rPr>
                    <w:color w:val="000000" w:themeColor="text1"/>
                    <w:lang w:val="en-US" w:eastAsia="zh-CN"/>
                  </w:rPr>
                  <w:t>决议并以一项新的有关性别平等的决议予以取代。</w:t>
                </w:r>
              </w:p>
            </w:tc>
          </w:sdtContent>
        </w:sdt>
      </w:tr>
    </w:tbl>
    <w:p w:rsidR="004C41F6" w:rsidRPr="002869A8" w:rsidRDefault="004C41F6" w:rsidP="004C41F6">
      <w:pPr>
        <w:tabs>
          <w:tab w:val="clear" w:pos="1134"/>
          <w:tab w:val="clear" w:pos="1871"/>
          <w:tab w:val="clear" w:pos="2268"/>
        </w:tabs>
        <w:overflowPunct/>
        <w:autoSpaceDE/>
        <w:autoSpaceDN/>
        <w:adjustRightInd/>
        <w:spacing w:before="0"/>
        <w:textAlignment w:val="auto"/>
        <w:rPr>
          <w:lang w:eastAsia="zh-CN"/>
        </w:rPr>
      </w:pPr>
    </w:p>
    <w:p w:rsidR="004C41F6" w:rsidRPr="002869A8" w:rsidRDefault="00C74989" w:rsidP="004C41F6">
      <w:pPr>
        <w:pStyle w:val="Headingb"/>
        <w:rPr>
          <w:lang w:eastAsia="zh-CN"/>
        </w:rPr>
      </w:pPr>
      <w:r>
        <w:rPr>
          <w:rFonts w:hint="eastAsia"/>
          <w:lang w:eastAsia="zh-CN"/>
        </w:rPr>
        <w:t>引言</w:t>
      </w:r>
    </w:p>
    <w:p w:rsidR="004C41F6" w:rsidRPr="002869A8" w:rsidRDefault="00C74989" w:rsidP="00C74989">
      <w:pPr>
        <w:ind w:firstLineChars="200" w:firstLine="480"/>
        <w:rPr>
          <w:lang w:eastAsia="zh-CN"/>
        </w:rPr>
      </w:pPr>
      <w:r>
        <w:rPr>
          <w:rFonts w:hint="eastAsia"/>
          <w:lang w:eastAsia="zh-CN"/>
        </w:rPr>
        <w:t>有必要</w:t>
      </w:r>
      <w:r>
        <w:rPr>
          <w:lang w:eastAsia="zh-CN"/>
        </w:rPr>
        <w:t>完全重新制定第</w:t>
      </w:r>
      <w:r>
        <w:rPr>
          <w:rFonts w:hint="eastAsia"/>
          <w:lang w:eastAsia="zh-CN"/>
        </w:rPr>
        <w:t>55</w:t>
      </w:r>
      <w:r>
        <w:rPr>
          <w:rFonts w:hint="eastAsia"/>
          <w:lang w:eastAsia="zh-CN"/>
        </w:rPr>
        <w:t>号</w:t>
      </w:r>
      <w:r>
        <w:rPr>
          <w:lang w:eastAsia="zh-CN"/>
        </w:rPr>
        <w:t>决议，以反映近来在性别平等领域出现的最新情况。最有效</w:t>
      </w:r>
      <w:r>
        <w:rPr>
          <w:rFonts w:hint="eastAsia"/>
          <w:lang w:eastAsia="zh-CN"/>
        </w:rPr>
        <w:t>的</w:t>
      </w:r>
      <w:r>
        <w:rPr>
          <w:lang w:eastAsia="zh-CN"/>
        </w:rPr>
        <w:t>方法是删除第</w:t>
      </w:r>
      <w:r>
        <w:rPr>
          <w:rFonts w:hint="eastAsia"/>
          <w:lang w:eastAsia="zh-CN"/>
        </w:rPr>
        <w:t>55</w:t>
      </w:r>
      <w:r>
        <w:rPr>
          <w:rFonts w:hint="eastAsia"/>
          <w:lang w:eastAsia="zh-CN"/>
        </w:rPr>
        <w:t>号</w:t>
      </w:r>
      <w:r>
        <w:rPr>
          <w:lang w:eastAsia="zh-CN"/>
        </w:rPr>
        <w:t>决议并制定一项新决议，后者应</w:t>
      </w:r>
      <w:r>
        <w:rPr>
          <w:rFonts w:hint="eastAsia"/>
          <w:lang w:eastAsia="zh-CN"/>
        </w:rPr>
        <w:t>认可近来</w:t>
      </w:r>
      <w:r>
        <w:rPr>
          <w:lang w:eastAsia="zh-CN"/>
        </w:rPr>
        <w:t>特别在</w:t>
      </w:r>
      <w:r>
        <w:rPr>
          <w:lang w:eastAsia="zh-CN"/>
        </w:rPr>
        <w:t>ITU-T</w:t>
      </w:r>
      <w:r>
        <w:rPr>
          <w:lang w:eastAsia="zh-CN"/>
        </w:rPr>
        <w:t>和联合国出现的诸多最新成就、强调更多女性参与本部门工作的重要性并提出有助于促进女性参与标准化工作的更多步骤。</w:t>
      </w:r>
    </w:p>
    <w:p w:rsidR="004C41F6" w:rsidRPr="002869A8" w:rsidRDefault="00C74989" w:rsidP="004C41F6">
      <w:pPr>
        <w:pStyle w:val="Headingb"/>
        <w:rPr>
          <w:lang w:eastAsia="zh-CN"/>
        </w:rPr>
      </w:pPr>
      <w:r>
        <w:rPr>
          <w:rFonts w:hint="eastAsia"/>
          <w:lang w:eastAsia="zh-CN"/>
        </w:rPr>
        <w:t>提案</w:t>
      </w:r>
    </w:p>
    <w:p w:rsidR="005C7B12" w:rsidRDefault="004C41F6" w:rsidP="00C74989">
      <w:pPr>
        <w:ind w:firstLineChars="200" w:firstLine="480"/>
        <w:rPr>
          <w:lang w:eastAsia="zh-CN"/>
        </w:rPr>
      </w:pPr>
      <w:r w:rsidRPr="002869A8">
        <w:rPr>
          <w:lang w:eastAsia="zh-CN"/>
        </w:rPr>
        <w:t>CITEL</w:t>
      </w:r>
      <w:r w:rsidR="00C74989">
        <w:rPr>
          <w:rFonts w:hint="eastAsia"/>
          <w:lang w:eastAsia="zh-CN"/>
        </w:rPr>
        <w:t>建议</w:t>
      </w:r>
      <w:r w:rsidR="00C74989">
        <w:rPr>
          <w:lang w:eastAsia="zh-CN"/>
        </w:rPr>
        <w:t>删除第</w:t>
      </w:r>
      <w:r w:rsidR="00C74989">
        <w:rPr>
          <w:rFonts w:hint="eastAsia"/>
          <w:lang w:eastAsia="zh-CN"/>
        </w:rPr>
        <w:t>55</w:t>
      </w:r>
      <w:r w:rsidR="00C74989">
        <w:rPr>
          <w:rFonts w:hint="eastAsia"/>
          <w:lang w:eastAsia="zh-CN"/>
        </w:rPr>
        <w:t>号</w:t>
      </w:r>
      <w:r w:rsidR="00C74989">
        <w:rPr>
          <w:lang w:eastAsia="zh-CN"/>
        </w:rPr>
        <w:t>决议。</w:t>
      </w:r>
    </w:p>
    <w:p w:rsidR="00502B2E" w:rsidRDefault="00502B2E">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874CE9" w:rsidRDefault="0010013F">
      <w:pPr>
        <w:pStyle w:val="Proposal"/>
        <w:rPr>
          <w:lang w:eastAsia="zh-CN"/>
        </w:rPr>
      </w:pPr>
      <w:r>
        <w:rPr>
          <w:lang w:eastAsia="zh-CN"/>
        </w:rPr>
        <w:lastRenderedPageBreak/>
        <w:t>SUP</w:t>
      </w:r>
      <w:r>
        <w:rPr>
          <w:lang w:eastAsia="zh-CN"/>
        </w:rPr>
        <w:tab/>
        <w:t>IAP/46A4/1</w:t>
      </w:r>
    </w:p>
    <w:p w:rsidR="002F3272" w:rsidRPr="00E04A5F" w:rsidRDefault="0010013F" w:rsidP="002F3272">
      <w:pPr>
        <w:pStyle w:val="ResNo"/>
        <w:rPr>
          <w:lang w:eastAsia="zh-CN"/>
        </w:rPr>
      </w:pPr>
      <w:bookmarkStart w:id="0" w:name="_Toc219521738"/>
      <w:bookmarkStart w:id="1" w:name="_Toc348252470"/>
      <w:r w:rsidRPr="0038451B">
        <w:rPr>
          <w:rStyle w:val="href"/>
          <w:rFonts w:hint="eastAsia"/>
        </w:rPr>
        <w:t>第</w:t>
      </w:r>
      <w:r w:rsidRPr="0038451B">
        <w:rPr>
          <w:rStyle w:val="href"/>
          <w:rFonts w:hint="eastAsia"/>
        </w:rPr>
        <w:t>55</w:t>
      </w:r>
      <w:r w:rsidRPr="0038451B">
        <w:rPr>
          <w:rStyle w:val="href"/>
          <w:rFonts w:hint="eastAsia"/>
        </w:rPr>
        <w:t>号决议</w:t>
      </w:r>
      <w:bookmarkEnd w:id="0"/>
      <w:r>
        <w:rPr>
          <w:rFonts w:hint="eastAsia"/>
          <w:lang w:eastAsia="zh-CN"/>
        </w:rPr>
        <w:t>（</w:t>
      </w:r>
      <w:r>
        <w:rPr>
          <w:rFonts w:hint="eastAsia"/>
          <w:lang w:eastAsia="zh-CN"/>
        </w:rPr>
        <w:t>2012</w:t>
      </w:r>
      <w:r>
        <w:rPr>
          <w:rFonts w:hint="eastAsia"/>
          <w:lang w:eastAsia="zh-CN"/>
        </w:rPr>
        <w:t>年，迪拜，修订版）</w:t>
      </w:r>
      <w:bookmarkEnd w:id="1"/>
    </w:p>
    <w:p w:rsidR="002F3272" w:rsidRPr="00E04A5F" w:rsidRDefault="0010013F" w:rsidP="002F3272">
      <w:pPr>
        <w:pStyle w:val="Restitle"/>
        <w:rPr>
          <w:lang w:eastAsia="zh-CN"/>
        </w:rPr>
      </w:pPr>
      <w:bookmarkStart w:id="2" w:name="_Toc219521739"/>
      <w:bookmarkStart w:id="3" w:name="_Toc348252471"/>
      <w:r w:rsidRPr="00E04A5F">
        <w:rPr>
          <w:rFonts w:hint="eastAsia"/>
          <w:lang w:eastAsia="zh-CN"/>
        </w:rPr>
        <w:t>将性别平等观点</w:t>
      </w:r>
      <w:r w:rsidRPr="00317303">
        <w:rPr>
          <w:rStyle w:val="FootnoteReference"/>
          <w:b w:val="0"/>
          <w:szCs w:val="28"/>
          <w:vertAlign w:val="superscript"/>
          <w:lang w:eastAsia="zh-CN"/>
        </w:rPr>
        <w:footnoteReference w:customMarkFollows="1" w:id="1"/>
        <w:t>1</w:t>
      </w:r>
      <w:r w:rsidRPr="00E04A5F">
        <w:rPr>
          <w:rFonts w:hint="eastAsia"/>
          <w:lang w:eastAsia="zh-CN"/>
        </w:rPr>
        <w:t>纳入</w:t>
      </w:r>
      <w:r>
        <w:rPr>
          <w:rFonts w:hint="eastAsia"/>
          <w:lang w:eastAsia="zh-CN"/>
        </w:rPr>
        <w:t>国际电联</w:t>
      </w:r>
      <w:r>
        <w:rPr>
          <w:lang w:eastAsia="zh-CN"/>
        </w:rPr>
        <w:br/>
      </w:r>
      <w:r>
        <w:rPr>
          <w:rFonts w:hint="eastAsia"/>
          <w:lang w:eastAsia="zh-CN"/>
        </w:rPr>
        <w:t>电信标准化部门</w:t>
      </w:r>
      <w:r w:rsidRPr="00E04A5F">
        <w:rPr>
          <w:lang w:eastAsia="zh-CN"/>
        </w:rPr>
        <w:t>的主要</w:t>
      </w:r>
      <w:r w:rsidRPr="00E04A5F">
        <w:rPr>
          <w:rFonts w:hint="eastAsia"/>
          <w:lang w:eastAsia="zh-CN"/>
        </w:rPr>
        <w:t>活动</w:t>
      </w:r>
      <w:bookmarkEnd w:id="2"/>
      <w:bookmarkEnd w:id="3"/>
    </w:p>
    <w:p w:rsidR="002F3272" w:rsidRPr="00D351EF" w:rsidRDefault="0010013F" w:rsidP="002F3272">
      <w:pPr>
        <w:pStyle w:val="Resref"/>
        <w:rPr>
          <w:iCs/>
          <w:lang w:eastAsia="zh-CN"/>
        </w:rPr>
      </w:pPr>
      <w:r w:rsidRPr="00D351EF">
        <w:rPr>
          <w:rFonts w:hint="eastAsia"/>
          <w:iCs/>
          <w:lang w:eastAsia="zh-CN"/>
        </w:rPr>
        <w:t>（</w:t>
      </w:r>
      <w:r w:rsidRPr="00D351EF">
        <w:rPr>
          <w:iCs/>
          <w:lang w:eastAsia="zh-CN"/>
        </w:rPr>
        <w:t>2004</w:t>
      </w:r>
      <w:r w:rsidRPr="00D351EF">
        <w:rPr>
          <w:iCs/>
          <w:lang w:eastAsia="zh-CN"/>
        </w:rPr>
        <w:t>年，弗洛里</w:t>
      </w:r>
      <w:r w:rsidRPr="00D351EF">
        <w:rPr>
          <w:rFonts w:hint="eastAsia"/>
          <w:iCs/>
          <w:lang w:eastAsia="zh-CN"/>
        </w:rPr>
        <w:t>亚诺波利斯；</w:t>
      </w:r>
      <w:r w:rsidRPr="00D351EF">
        <w:rPr>
          <w:rFonts w:hint="eastAsia"/>
          <w:iCs/>
          <w:lang w:eastAsia="zh-CN"/>
        </w:rPr>
        <w:t>2008</w:t>
      </w:r>
      <w:r w:rsidRPr="00D351EF">
        <w:rPr>
          <w:rFonts w:hint="eastAsia"/>
          <w:iCs/>
          <w:lang w:eastAsia="zh-CN"/>
        </w:rPr>
        <w:t>年，约翰内斯堡</w:t>
      </w:r>
      <w:r>
        <w:rPr>
          <w:rFonts w:hint="eastAsia"/>
          <w:iCs/>
          <w:lang w:val="fr-CH" w:eastAsia="zh-CN"/>
        </w:rPr>
        <w:t>；</w:t>
      </w:r>
      <w:r>
        <w:rPr>
          <w:rFonts w:hint="eastAsia"/>
          <w:iCs/>
          <w:lang w:val="fr-CH" w:eastAsia="zh-CN"/>
        </w:rPr>
        <w:t>2012</w:t>
      </w:r>
      <w:r>
        <w:rPr>
          <w:rFonts w:hint="eastAsia"/>
          <w:iCs/>
          <w:lang w:val="fr-CH" w:eastAsia="zh-CN"/>
        </w:rPr>
        <w:t>年，迪拜</w:t>
      </w:r>
      <w:r w:rsidRPr="00D351EF">
        <w:rPr>
          <w:rFonts w:hint="eastAsia"/>
          <w:iCs/>
          <w:lang w:eastAsia="zh-CN"/>
        </w:rPr>
        <w:t>）</w:t>
      </w:r>
    </w:p>
    <w:p w:rsidR="002F3272" w:rsidRPr="00E04A5F" w:rsidRDefault="0010013F" w:rsidP="002F3272">
      <w:pPr>
        <w:pStyle w:val="Normalaftertitle0"/>
        <w:rPr>
          <w:lang w:eastAsia="zh-CN"/>
        </w:rPr>
      </w:pPr>
      <w:r w:rsidRPr="00E04A5F">
        <w:rPr>
          <w:lang w:eastAsia="zh-CN"/>
        </w:rPr>
        <w:t>世界电信标准化全会</w:t>
      </w:r>
      <w:r w:rsidRPr="00E04A5F">
        <w:rPr>
          <w:rFonts w:hint="eastAsia"/>
          <w:lang w:eastAsia="zh-CN"/>
        </w:rPr>
        <w:t>（</w:t>
      </w:r>
      <w:r>
        <w:rPr>
          <w:rFonts w:hint="eastAsia"/>
          <w:lang w:eastAsia="zh-CN"/>
        </w:rPr>
        <w:t>2012</w:t>
      </w:r>
      <w:r>
        <w:rPr>
          <w:rFonts w:hint="eastAsia"/>
          <w:lang w:eastAsia="zh-CN"/>
        </w:rPr>
        <w:t>年，迪拜</w:t>
      </w:r>
      <w:r w:rsidRPr="00E04A5F">
        <w:rPr>
          <w:rFonts w:hint="eastAsia"/>
          <w:lang w:eastAsia="zh-CN"/>
        </w:rPr>
        <w:t>），</w:t>
      </w:r>
    </w:p>
    <w:p w:rsidR="00874CE9" w:rsidRDefault="0010013F" w:rsidP="00C74989">
      <w:pPr>
        <w:pStyle w:val="Reasons"/>
        <w:rPr>
          <w:lang w:eastAsia="zh-CN"/>
        </w:rPr>
      </w:pPr>
      <w:r>
        <w:rPr>
          <w:b/>
          <w:lang w:eastAsia="zh-CN"/>
        </w:rPr>
        <w:t>理由：</w:t>
      </w:r>
      <w:r>
        <w:rPr>
          <w:lang w:eastAsia="zh-CN"/>
        </w:rPr>
        <w:tab/>
      </w:r>
      <w:r w:rsidR="00C74989">
        <w:rPr>
          <w:rFonts w:hint="eastAsia"/>
          <w:lang w:eastAsia="zh-CN"/>
        </w:rPr>
        <w:t>见</w:t>
      </w:r>
      <w:r w:rsidR="00C74989">
        <w:rPr>
          <w:lang w:eastAsia="zh-CN"/>
        </w:rPr>
        <w:t>46</w:t>
      </w:r>
      <w:r w:rsidR="004C41F6">
        <w:rPr>
          <w:lang w:eastAsia="zh-CN"/>
        </w:rPr>
        <w:t>(Add.</w:t>
      </w:r>
      <w:r w:rsidR="004C41F6" w:rsidRPr="00020DE6">
        <w:rPr>
          <w:lang w:eastAsia="zh-CN"/>
        </w:rPr>
        <w:t>4)</w:t>
      </w:r>
      <w:r w:rsidR="00C74989">
        <w:rPr>
          <w:rFonts w:hint="eastAsia"/>
          <w:lang w:eastAsia="zh-CN"/>
        </w:rPr>
        <w:t>号</w:t>
      </w:r>
      <w:r w:rsidR="00C74989">
        <w:rPr>
          <w:lang w:eastAsia="zh-CN"/>
        </w:rPr>
        <w:t>文件的引言和提案部分。</w:t>
      </w:r>
    </w:p>
    <w:p w:rsidR="00C74989" w:rsidRDefault="00C74989" w:rsidP="00C74989">
      <w:pPr>
        <w:pStyle w:val="Reasons"/>
        <w:rPr>
          <w:lang w:eastAsia="zh-CN"/>
        </w:rPr>
      </w:pPr>
    </w:p>
    <w:p w:rsidR="00C74989" w:rsidRDefault="00C74989" w:rsidP="0032202E">
      <w:pPr>
        <w:pStyle w:val="Reasons"/>
        <w:rPr>
          <w:lang w:eastAsia="zh-CN"/>
        </w:rPr>
      </w:pPr>
    </w:p>
    <w:p w:rsidR="00C74989" w:rsidRDefault="00C74989">
      <w:pPr>
        <w:jc w:val="center"/>
      </w:pPr>
      <w:bookmarkStart w:id="4" w:name="_GoBack"/>
      <w:bookmarkEnd w:id="4"/>
      <w:r>
        <w:t>______________</w:t>
      </w:r>
    </w:p>
    <w:sectPr w:rsidR="00C74989">
      <w:headerReference w:type="default" r:id="rId10"/>
      <w:footerReference w:type="default" r:id="rId11"/>
      <w:footerReference w:type="first" r:id="rId12"/>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C4C" w:rsidRDefault="00246C4C">
      <w:r>
        <w:separator/>
      </w:r>
    </w:p>
  </w:endnote>
  <w:endnote w:type="continuationSeparator" w:id="0">
    <w:p w:rsidR="00246C4C" w:rsidRDefault="0024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989" w:rsidRPr="00C74989" w:rsidRDefault="00C74989" w:rsidP="000B5E99">
    <w:pPr>
      <w:pStyle w:val="Footer"/>
      <w:rPr>
        <w:lang w:val="fr-CH"/>
      </w:rPr>
    </w:pPr>
    <w:r>
      <w:fldChar w:fldCharType="begin"/>
    </w:r>
    <w:r w:rsidRPr="00C74989">
      <w:rPr>
        <w:lang w:val="fr-CH"/>
      </w:rPr>
      <w:instrText xml:space="preserve"> FILENAME \p  \* MERGEFORMAT </w:instrText>
    </w:r>
    <w:r>
      <w:fldChar w:fldCharType="separate"/>
    </w:r>
    <w:r w:rsidRPr="00C74989">
      <w:rPr>
        <w:lang w:val="fr-CH"/>
      </w:rPr>
      <w:t>P:\CHI\ITU-T\CONF-T\WTSA16\000\046ADD04C.docx</w:t>
    </w:r>
    <w:r>
      <w:fldChar w:fldCharType="end"/>
    </w:r>
    <w:r w:rsidRPr="00C74989">
      <w:rPr>
        <w:lang w:val="fr-CH"/>
      </w:rPr>
      <w:t xml:space="preserve"> (</w:t>
    </w:r>
    <w:r>
      <w:rPr>
        <w:lang w:val="fr-CH"/>
      </w:rPr>
      <w:t>405037</w:t>
    </w:r>
    <w:r w:rsidRPr="00C74989">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989" w:rsidRPr="00C74989" w:rsidRDefault="00C74989" w:rsidP="000B5E99">
    <w:pPr>
      <w:pStyle w:val="Footer"/>
      <w:rPr>
        <w:lang w:val="fr-CH"/>
      </w:rPr>
    </w:pPr>
    <w:r>
      <w:fldChar w:fldCharType="begin"/>
    </w:r>
    <w:r w:rsidRPr="00C74989">
      <w:rPr>
        <w:lang w:val="fr-CH"/>
      </w:rPr>
      <w:instrText xml:space="preserve"> FILENAME \p  \* MERGEFORMAT </w:instrText>
    </w:r>
    <w:r>
      <w:fldChar w:fldCharType="separate"/>
    </w:r>
    <w:r w:rsidRPr="00C74989">
      <w:rPr>
        <w:lang w:val="fr-CH"/>
      </w:rPr>
      <w:t>P:\CHI\ITU-T\CONF-T\WTSA16\000\046ADD04C.docx</w:t>
    </w:r>
    <w:r>
      <w:fldChar w:fldCharType="end"/>
    </w:r>
    <w:r w:rsidRPr="00C74989">
      <w:rPr>
        <w:lang w:val="fr-CH"/>
      </w:rPr>
      <w:t xml:space="preserve"> (</w:t>
    </w:r>
    <w:r>
      <w:rPr>
        <w:lang w:val="fr-CH"/>
      </w:rPr>
      <w:t>405037</w:t>
    </w:r>
    <w:r w:rsidRPr="00C74989">
      <w:rPr>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C4C" w:rsidRDefault="00246C4C">
      <w:r>
        <w:t>____________________</w:t>
      </w:r>
    </w:p>
  </w:footnote>
  <w:footnote w:type="continuationSeparator" w:id="0">
    <w:p w:rsidR="00246C4C" w:rsidRDefault="00246C4C">
      <w:r>
        <w:continuationSeparator/>
      </w:r>
    </w:p>
  </w:footnote>
  <w:footnote w:id="1">
    <w:p w:rsidR="00980E3B" w:rsidRDefault="0010013F" w:rsidP="002F3272">
      <w:pPr>
        <w:pStyle w:val="FootnoteText"/>
        <w:rPr>
          <w:lang w:eastAsia="zh-CN"/>
        </w:rPr>
      </w:pPr>
      <w:r>
        <w:rPr>
          <w:rStyle w:val="FootnoteReference"/>
          <w:lang w:eastAsia="zh-CN"/>
        </w:rPr>
        <w:t>1</w:t>
      </w:r>
      <w:r>
        <w:rPr>
          <w:lang w:eastAsia="zh-CN"/>
        </w:rPr>
        <w:t xml:space="preserve"> </w:t>
      </w:r>
      <w:r>
        <w:rPr>
          <w:rFonts w:hint="eastAsia"/>
          <w:lang w:eastAsia="zh-CN"/>
        </w:rPr>
        <w:tab/>
      </w:r>
      <w:r w:rsidRPr="00E76D2D">
        <w:rPr>
          <w:rFonts w:hint="eastAsia"/>
          <w:lang w:eastAsia="zh-CN"/>
        </w:rPr>
        <w:t>“性别平等观点”：纳入性别平等观点是评估任何计划内行动（包括所有领域和所有层面的法规、政策或项目）对女性和男性的影响的进程。这是一种战略，使女性以及男性关心的问题和经验成为设计、实施、监督和评估的不可缺少的内容，以实现男女共同受益的目标。最终实现性别平等。（来源：妇女和性别平等机构间委员会第三次会议报告，</w:t>
      </w:r>
      <w:r w:rsidRPr="00E76D2D">
        <w:rPr>
          <w:lang w:eastAsia="zh-CN"/>
        </w:rPr>
        <w:t>1998</w:t>
      </w:r>
      <w:r w:rsidRPr="00E76D2D">
        <w:rPr>
          <w:lang w:eastAsia="zh-CN"/>
        </w:rPr>
        <w:t>年</w:t>
      </w:r>
      <w:r w:rsidRPr="00E76D2D">
        <w:rPr>
          <w:lang w:eastAsia="zh-CN"/>
        </w:rPr>
        <w:t>2</w:t>
      </w:r>
      <w:r w:rsidRPr="00E76D2D">
        <w:rPr>
          <w:lang w:eastAsia="zh-CN"/>
        </w:rPr>
        <w:t>月</w:t>
      </w:r>
      <w:r w:rsidRPr="00E76D2D">
        <w:rPr>
          <w:lang w:eastAsia="zh-CN"/>
        </w:rPr>
        <w:t>25-27</w:t>
      </w:r>
      <w:r w:rsidRPr="00E76D2D">
        <w:rPr>
          <w:lang w:eastAsia="zh-CN"/>
        </w:rPr>
        <w:t>日</w:t>
      </w:r>
      <w:r w:rsidRPr="00E76D2D">
        <w:rPr>
          <w:rFonts w:hint="eastAsia"/>
          <w:lang w:eastAsia="zh-CN"/>
        </w:rPr>
        <w:t>，纽约）。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30" w:rsidRDefault="000A3B30" w:rsidP="000A3B3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B5E99">
      <w:rPr>
        <w:rStyle w:val="PageNumber"/>
        <w:noProof/>
      </w:rPr>
      <w:t>2</w:t>
    </w:r>
    <w:r>
      <w:rPr>
        <w:rStyle w:val="PageNumber"/>
      </w:rPr>
      <w:fldChar w:fldCharType="end"/>
    </w:r>
  </w:p>
  <w:p w:rsidR="00B851D4" w:rsidRPr="000A3B30" w:rsidRDefault="00502B2E" w:rsidP="000A3B30">
    <w:pPr>
      <w:pStyle w:val="Header"/>
      <w:rPr>
        <w:lang w:val="en-US"/>
      </w:rPr>
    </w:pPr>
    <w:r>
      <w:t>WTSA16/46(Add.4)-C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60"/>
    <w:rsid w:val="0001097C"/>
    <w:rsid w:val="000174B1"/>
    <w:rsid w:val="000264C2"/>
    <w:rsid w:val="000273B7"/>
    <w:rsid w:val="00031E6B"/>
    <w:rsid w:val="00037C90"/>
    <w:rsid w:val="00081F9B"/>
    <w:rsid w:val="000A3B30"/>
    <w:rsid w:val="000B5E99"/>
    <w:rsid w:val="000C09BA"/>
    <w:rsid w:val="000C1F1E"/>
    <w:rsid w:val="000C6AA7"/>
    <w:rsid w:val="000E26F6"/>
    <w:rsid w:val="0010013F"/>
    <w:rsid w:val="00123B64"/>
    <w:rsid w:val="00166859"/>
    <w:rsid w:val="001765EC"/>
    <w:rsid w:val="001853E8"/>
    <w:rsid w:val="001B6360"/>
    <w:rsid w:val="001F4EA6"/>
    <w:rsid w:val="00214959"/>
    <w:rsid w:val="00231452"/>
    <w:rsid w:val="00246C4C"/>
    <w:rsid w:val="0028063B"/>
    <w:rsid w:val="002A4C9C"/>
    <w:rsid w:val="002B509B"/>
    <w:rsid w:val="002D162B"/>
    <w:rsid w:val="002D625E"/>
    <w:rsid w:val="002E2A59"/>
    <w:rsid w:val="00305254"/>
    <w:rsid w:val="003169D2"/>
    <w:rsid w:val="003468CA"/>
    <w:rsid w:val="003556C0"/>
    <w:rsid w:val="00372FC2"/>
    <w:rsid w:val="003A69EA"/>
    <w:rsid w:val="003B4BEF"/>
    <w:rsid w:val="003C6B45"/>
    <w:rsid w:val="003F0C01"/>
    <w:rsid w:val="00400909"/>
    <w:rsid w:val="0041282E"/>
    <w:rsid w:val="00437869"/>
    <w:rsid w:val="00465A34"/>
    <w:rsid w:val="004C41F6"/>
    <w:rsid w:val="004C4554"/>
    <w:rsid w:val="004D04A4"/>
    <w:rsid w:val="004D2DEC"/>
    <w:rsid w:val="004F2BE6"/>
    <w:rsid w:val="00502B2E"/>
    <w:rsid w:val="00524E4B"/>
    <w:rsid w:val="00527E8A"/>
    <w:rsid w:val="00534930"/>
    <w:rsid w:val="00536193"/>
    <w:rsid w:val="00542E85"/>
    <w:rsid w:val="00562479"/>
    <w:rsid w:val="00576849"/>
    <w:rsid w:val="005A0ACB"/>
    <w:rsid w:val="005C7B12"/>
    <w:rsid w:val="005E7FD8"/>
    <w:rsid w:val="00611DCC"/>
    <w:rsid w:val="00622560"/>
    <w:rsid w:val="00637760"/>
    <w:rsid w:val="00644391"/>
    <w:rsid w:val="00647712"/>
    <w:rsid w:val="00662E12"/>
    <w:rsid w:val="00691142"/>
    <w:rsid w:val="006B6525"/>
    <w:rsid w:val="006B67CE"/>
    <w:rsid w:val="006C38ED"/>
    <w:rsid w:val="006E6182"/>
    <w:rsid w:val="006F3C60"/>
    <w:rsid w:val="006F409E"/>
    <w:rsid w:val="00707454"/>
    <w:rsid w:val="00736415"/>
    <w:rsid w:val="00770D2A"/>
    <w:rsid w:val="00775B71"/>
    <w:rsid w:val="007864F6"/>
    <w:rsid w:val="007B7C4B"/>
    <w:rsid w:val="007F0FC5"/>
    <w:rsid w:val="007F1339"/>
    <w:rsid w:val="007F5C36"/>
    <w:rsid w:val="008047DB"/>
    <w:rsid w:val="008129A9"/>
    <w:rsid w:val="00820712"/>
    <w:rsid w:val="008221A4"/>
    <w:rsid w:val="0082361D"/>
    <w:rsid w:val="00824BD6"/>
    <w:rsid w:val="0083672D"/>
    <w:rsid w:val="00844734"/>
    <w:rsid w:val="00857FA1"/>
    <w:rsid w:val="00865DFB"/>
    <w:rsid w:val="00874CE9"/>
    <w:rsid w:val="008A7416"/>
    <w:rsid w:val="008B6852"/>
    <w:rsid w:val="008C26FF"/>
    <w:rsid w:val="008D1D14"/>
    <w:rsid w:val="008E1785"/>
    <w:rsid w:val="008E7127"/>
    <w:rsid w:val="008E7C8E"/>
    <w:rsid w:val="00912959"/>
    <w:rsid w:val="0092075B"/>
    <w:rsid w:val="00932EC8"/>
    <w:rsid w:val="009657F9"/>
    <w:rsid w:val="009759FE"/>
    <w:rsid w:val="0099525B"/>
    <w:rsid w:val="009C72B7"/>
    <w:rsid w:val="009D164C"/>
    <w:rsid w:val="00A0052C"/>
    <w:rsid w:val="00A06370"/>
    <w:rsid w:val="00A16B3A"/>
    <w:rsid w:val="00A31B14"/>
    <w:rsid w:val="00A323DC"/>
    <w:rsid w:val="00A815BE"/>
    <w:rsid w:val="00AA5DA1"/>
    <w:rsid w:val="00AB7F81"/>
    <w:rsid w:val="00AE369F"/>
    <w:rsid w:val="00B026CB"/>
    <w:rsid w:val="00B637AD"/>
    <w:rsid w:val="00B851D4"/>
    <w:rsid w:val="00B868FC"/>
    <w:rsid w:val="00B95072"/>
    <w:rsid w:val="00BB26CD"/>
    <w:rsid w:val="00C07239"/>
    <w:rsid w:val="00C364B1"/>
    <w:rsid w:val="00C47D87"/>
    <w:rsid w:val="00C627F9"/>
    <w:rsid w:val="00C6584D"/>
    <w:rsid w:val="00C74989"/>
    <w:rsid w:val="00C929E0"/>
    <w:rsid w:val="00CB4E5A"/>
    <w:rsid w:val="00CC73D7"/>
    <w:rsid w:val="00CF0AD7"/>
    <w:rsid w:val="00CF0BE1"/>
    <w:rsid w:val="00CF25B1"/>
    <w:rsid w:val="00CF5665"/>
    <w:rsid w:val="00D061C5"/>
    <w:rsid w:val="00D52A14"/>
    <w:rsid w:val="00D74599"/>
    <w:rsid w:val="00D90575"/>
    <w:rsid w:val="00DA0469"/>
    <w:rsid w:val="00DD13B7"/>
    <w:rsid w:val="00DF3B0C"/>
    <w:rsid w:val="00E148F2"/>
    <w:rsid w:val="00E14984"/>
    <w:rsid w:val="00E22A25"/>
    <w:rsid w:val="00E2414B"/>
    <w:rsid w:val="00E249E0"/>
    <w:rsid w:val="00E4252D"/>
    <w:rsid w:val="00E560F1"/>
    <w:rsid w:val="00E9167E"/>
    <w:rsid w:val="00E92319"/>
    <w:rsid w:val="00F469EB"/>
    <w:rsid w:val="00F532F9"/>
    <w:rsid w:val="00F65C1D"/>
    <w:rsid w:val="00F66B87"/>
    <w:rsid w:val="00F837F4"/>
    <w:rsid w:val="00FC59C4"/>
    <w:rsid w:val="00FF3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55BA2E6-20C2-4DC9-BFD5-FEB15CA0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Normal"/>
    <w:next w:val="Chaptitle"/>
    <w:rsid w:val="00D90575"/>
    <w:rPr>
      <w:rFonts w:ascii="Times New Roman Bold" w:hAnsi="Times New Roman Bold"/>
      <w:b/>
    </w:rPr>
  </w:style>
  <w:style w:type="paragraph" w:customStyle="1" w:styleId="Chaptitle">
    <w:name w:val="Chap_title"/>
    <w:basedOn w:val="Normal"/>
    <w:next w:val="Normal"/>
    <w:rsid w:val="00D90575"/>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sNo"/>
    <w:next w:val="Questiontitle"/>
    <w:rsid w:val="00123B64"/>
    <w:rPr>
      <w:caps/>
    </w:rPr>
  </w:style>
  <w:style w:type="paragraph" w:customStyle="1" w:styleId="RecNo">
    <w:name w:val="Rec_No"/>
    <w:basedOn w:val="Normal"/>
    <w:next w:val="Rectitle"/>
    <w:rsid w:val="006F409E"/>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6F409E"/>
    <w:pPr>
      <w:spacing w:before="240"/>
      <w:jc w:val="center"/>
    </w:pPr>
    <w:rPr>
      <w:bCs/>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6F409E"/>
    <w:pPr>
      <w:spacing w:before="120"/>
    </w:pPr>
    <w:rPr>
      <w:rFonts w:ascii="Times New Roman" w:hAnsi="Times New Roman" w:cs="Times New Roman"/>
      <w:bCs w:val="0"/>
      <w:i/>
      <w:caps/>
      <w:sz w:val="24"/>
    </w:rPr>
  </w:style>
  <w:style w:type="paragraph" w:customStyle="1" w:styleId="Recdate">
    <w:name w:val="Rec_date"/>
    <w:basedOn w:val="Recref"/>
    <w:next w:val="Normalaftertitle0"/>
    <w:rsid w:val="00707454"/>
    <w:rPr>
      <w:rFonts w:ascii="Times New Roman Bold" w:eastAsia="STKaiti" w:hAnsi="Times New Roman Bold" w:cs="Times New Roman Bold"/>
      <w:bCs/>
      <w:caps w:val="0"/>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D061C5"/>
    <w:rPr>
      <w:rFonts w:eastAsia="STKaiti"/>
      <w:b w:val="0"/>
      <w:i w:val="0"/>
      <w:caps w:val="0"/>
      <w:sz w:val="22"/>
    </w:rPr>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E9167E"/>
    <w:pPr>
      <w:keepNext/>
      <w:spacing w:before="160"/>
    </w:pPr>
    <w:rPr>
      <w:rFonts w:ascii="Times New Roman Bold" w:hAnsi="Times New Roman Bold" w:cs="Times New Roman Bold"/>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sNo">
    <w:name w:val="Res_No"/>
    <w:basedOn w:val="RecNo"/>
    <w:next w:val="Restitle"/>
    <w:link w:val="ResNoChar"/>
    <w:rsid w:val="00D061C5"/>
    <w:pPr>
      <w:jc w:val="center"/>
    </w:pPr>
    <w:rPr>
      <w:rFonts w:ascii="Times New Roman" w:hAnsi="Times New Roman" w:cs="Times New Roman"/>
      <w:b w:val="0"/>
      <w:bCs/>
    </w:rPr>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Proposal">
    <w:name w:val="Proposal"/>
    <w:basedOn w:val="Normal"/>
    <w:next w:val="Normal"/>
    <w:rsid w:val="00611DCC"/>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Agendaitem">
    <w:name w:val="Agenda_item"/>
    <w:basedOn w:val="Title3"/>
    <w:next w:val="Normalaftertitle0"/>
    <w:qFormat/>
    <w:rsid w:val="00C47D87"/>
    <w:rPr>
      <w:lang w:val="en-US" w:eastAsia="zh-CN"/>
    </w:rPr>
  </w:style>
  <w:style w:type="paragraph" w:customStyle="1" w:styleId="Part1">
    <w:name w:val="Part_1"/>
    <w:basedOn w:val="Normal"/>
    <w:next w:val="Normalaftertitle0"/>
    <w:qFormat/>
    <w:rsid w:val="00D90575"/>
  </w:style>
  <w:style w:type="paragraph" w:customStyle="1" w:styleId="Normalend">
    <w:name w:val="Normal_end"/>
    <w:basedOn w:val="Normal"/>
    <w:qFormat/>
    <w:rsid w:val="00C07239"/>
  </w:style>
  <w:style w:type="paragraph" w:customStyle="1" w:styleId="Volumetitle">
    <w:name w:val="Volume_title"/>
    <w:basedOn w:val="Normal"/>
    <w:qFormat/>
    <w:rsid w:val="00D90575"/>
  </w:style>
  <w:style w:type="character" w:customStyle="1" w:styleId="FooterChar">
    <w:name w:val="Footer Char"/>
    <w:basedOn w:val="DefaultParagraphFont"/>
    <w:link w:val="Footer"/>
    <w:rsid w:val="003468CA"/>
    <w:rPr>
      <w:rFonts w:ascii="Times New Roman" w:hAnsi="Times New Roman"/>
      <w:caps/>
      <w:noProof/>
      <w:sz w:val="16"/>
      <w:lang w:val="en-GB" w:eastAsia="en-US"/>
    </w:rPr>
  </w:style>
  <w:style w:type="character" w:styleId="Hyperlink">
    <w:name w:val="Hyperlink"/>
    <w:basedOn w:val="DefaultParagraphFont"/>
    <w:unhideWhenUsed/>
    <w:rsid w:val="009759FE"/>
    <w:rPr>
      <w:color w:val="0000FF" w:themeColor="hyperlink"/>
      <w:u w:val="single"/>
    </w:rPr>
  </w:style>
  <w:style w:type="paragraph" w:customStyle="1" w:styleId="Opinionref">
    <w:name w:val="Opinion_ref"/>
    <w:basedOn w:val="Resref"/>
    <w:next w:val="Normalaftertitle0"/>
    <w:qFormat/>
    <w:rsid w:val="000A3B30"/>
    <w:pPr>
      <w:spacing w:before="160"/>
    </w:pPr>
  </w:style>
  <w:style w:type="paragraph" w:customStyle="1" w:styleId="Opiniontitle">
    <w:name w:val="Opinion_title"/>
    <w:basedOn w:val="Restitle"/>
    <w:next w:val="Opinionref"/>
    <w:qFormat/>
    <w:rsid w:val="000A3B30"/>
    <w:pPr>
      <w:spacing w:before="360"/>
    </w:pPr>
    <w:rPr>
      <w:rFonts w:ascii="Times New Roman" w:hAnsi="Times New Roman"/>
    </w:rPr>
  </w:style>
  <w:style w:type="paragraph" w:customStyle="1" w:styleId="OpinionNo">
    <w:name w:val="Opinion_No"/>
    <w:basedOn w:val="ResNo"/>
    <w:next w:val="Opiniontitle"/>
    <w:qFormat/>
    <w:rsid w:val="000A3B30"/>
  </w:style>
  <w:style w:type="character" w:customStyle="1" w:styleId="href">
    <w:name w:val="href"/>
    <w:basedOn w:val="DefaultParagraphFont"/>
    <w:qFormat/>
    <w:rsid w:val="000A3B30"/>
    <w:rPr>
      <w:lang w:eastAsia="zh-CN"/>
    </w:rPr>
  </w:style>
  <w:style w:type="paragraph" w:customStyle="1" w:styleId="HeadingSummary">
    <w:name w:val="HeadingSummary"/>
    <w:basedOn w:val="Headingb"/>
    <w:qFormat/>
    <w:rsid w:val="00E9167E"/>
    <w:rPr>
      <w:bC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D061C5"/>
    <w:rPr>
      <w:rFonts w:ascii="Times New Roman" w:hAnsi="Times New Roman"/>
      <w:sz w:val="22"/>
      <w:lang w:val="en-GB" w:eastAsia="en-US"/>
    </w:rPr>
  </w:style>
  <w:style w:type="character" w:customStyle="1" w:styleId="ResNoChar">
    <w:name w:val="Res_No Char"/>
    <w:basedOn w:val="DefaultParagraphFont"/>
    <w:link w:val="ResNo"/>
    <w:rsid w:val="00D061C5"/>
    <w:rPr>
      <w:rFonts w:ascii="Times New Roman" w:hAnsi="Times New Roman"/>
      <w:bCs/>
      <w:sz w:val="28"/>
      <w:lang w:val="en-GB" w:eastAsia="en-US"/>
    </w:rPr>
  </w:style>
  <w:style w:type="paragraph" w:styleId="BalloonText">
    <w:name w:val="Balloon Text"/>
    <w:basedOn w:val="Normal"/>
    <w:link w:val="BalloonTextChar"/>
    <w:semiHidden/>
    <w:unhideWhenUsed/>
    <w:rsid w:val="00F469E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469EB"/>
    <w:rPr>
      <w:rFonts w:ascii="Segoe UI" w:hAnsi="Segoe UI" w:cs="Segoe UI"/>
      <w:sz w:val="18"/>
      <w:szCs w:val="18"/>
      <w:lang w:val="en-GB" w:eastAsia="en-US"/>
    </w:rPr>
  </w:style>
  <w:style w:type="character" w:styleId="PlaceholderText">
    <w:name w:val="Placeholder Text"/>
    <w:basedOn w:val="DefaultParagraphFont"/>
    <w:uiPriority w:val="99"/>
    <w:semiHidden/>
    <w:rsid w:val="002314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9549">
      <w:bodyDiv w:val="1"/>
      <w:marLeft w:val="0"/>
      <w:marRight w:val="0"/>
      <w:marTop w:val="0"/>
      <w:marBottom w:val="0"/>
      <w:divBdr>
        <w:top w:val="none" w:sz="0" w:space="0" w:color="auto"/>
        <w:left w:val="none" w:sz="0" w:space="0" w:color="auto"/>
        <w:bottom w:val="none" w:sz="0" w:space="0" w:color="auto"/>
        <w:right w:val="none" w:sz="0" w:space="0" w:color="auto"/>
      </w:divBdr>
    </w:div>
    <w:div w:id="1546411307">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F4CC86FB0D4519B33A4152A00EAE9F"/>
        <w:category>
          <w:name w:val="General"/>
          <w:gallery w:val="placeholder"/>
        </w:category>
        <w:types>
          <w:type w:val="bbPlcHdr"/>
        </w:types>
        <w:behaviors>
          <w:behavior w:val="content"/>
        </w:behaviors>
        <w:guid w:val="{FE76F654-08A8-486D-A656-0C8BA0DDCB1C}"/>
      </w:docPartPr>
      <w:docPartBody>
        <w:p w:rsidR="0034351E" w:rsidRDefault="00071B55" w:rsidP="00071B55">
          <w:pPr>
            <w:pStyle w:val="D6F4CC86FB0D4519B33A4152A00EAE9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55"/>
    <w:rsid w:val="00071B55"/>
    <w:rsid w:val="001A3CA6"/>
    <w:rsid w:val="0034351E"/>
    <w:rsid w:val="00357890"/>
    <w:rsid w:val="00372A40"/>
    <w:rsid w:val="00513778"/>
    <w:rsid w:val="00635868"/>
    <w:rsid w:val="0069764D"/>
    <w:rsid w:val="00715632"/>
    <w:rsid w:val="00750CCB"/>
    <w:rsid w:val="00A84AF3"/>
    <w:rsid w:val="00A92CE8"/>
    <w:rsid w:val="00D92B8A"/>
    <w:rsid w:val="00E2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B55"/>
    <w:rPr>
      <w:color w:val="808080"/>
    </w:rPr>
  </w:style>
  <w:style w:type="paragraph" w:customStyle="1" w:styleId="D6F4CC86FB0D4519B33A4152A00EAE9F">
    <w:name w:val="D6F4CC86FB0D4519B33A4152A00EAE9F"/>
    <w:rsid w:val="00071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a4b477b-c949-42df-9ec0-e3d0a471bf79">Documents Proposals Manager (DPM)</DPM_x0020_Author>
    <DPM_x0020_File_x0020_name xmlns="fa4b477b-c949-42df-9ec0-e3d0a471bf79">T13-WTSA.16-C-0046!A4!MSW-C</DPM_x0020_File_x0020_name>
    <DPM_x0020_Version xmlns="fa4b477b-c949-42df-9ec0-e3d0a471bf79">DPM_v2016.9.21.2_prod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a4b477b-c949-42df-9ec0-e3d0a471bf79" targetNamespace="http://schemas.microsoft.com/office/2006/metadata/properties" ma:root="true" ma:fieldsID="d41af5c836d734370eb92e7ee5f83852" ns2:_="" ns3:_="">
    <xsd:import namespace="996b2e75-67fd-4955-a3b0-5ab9934cb50b"/>
    <xsd:import namespace="fa4b477b-c949-42df-9ec0-e3d0a471bf7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a4b477b-c949-42df-9ec0-e3d0a471bf7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elements/1.1/"/>
    <ds:schemaRef ds:uri="fa4b477b-c949-42df-9ec0-e3d0a471bf79"/>
    <ds:schemaRef ds:uri="http://purl.org/dc/dcmitype/"/>
    <ds:schemaRef ds:uri="996b2e75-67fd-4955-a3b0-5ab9934cb50b"/>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a4b477b-c949-42df-9ec0-e3d0a471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373</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T13-WTSA.16-C-0046!A4!MSW-C</vt:lpstr>
    </vt:vector>
  </TitlesOfParts>
  <Manager>General Secretariat - Pool</Manager>
  <Company>International Telecommunication Union (ITU)</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T13-WTSA.16-C-0046!A4!MSW-C</dc:title>
  <dc:subject>World Telecommunication Standardization Assembly</dc:subject>
  <dc:creator>Documents Proposals Manager (DPM)</dc:creator>
  <cp:keywords>DPM_v2016.9.21.2_prod</cp:keywords>
  <dc:description>Template used by DPM and CPI for the WTSA-16</dc:description>
  <cp:lastModifiedBy>Zheng, Bingyue</cp:lastModifiedBy>
  <cp:revision>4</cp:revision>
  <cp:lastPrinted>2016-06-07T13:24:00Z</cp:lastPrinted>
  <dcterms:created xsi:type="dcterms:W3CDTF">2016-09-29T15:04:00Z</dcterms:created>
  <dcterms:modified xsi:type="dcterms:W3CDTF">2016-09-29T15:41:00Z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