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Tr="004B520A">
        <w:trPr>
          <w:cantSplit/>
        </w:trPr>
        <w:tc>
          <w:tcPr>
            <w:tcW w:w="1379" w:type="dxa"/>
            <w:vAlign w:val="center"/>
          </w:tcPr>
          <w:p w:rsidR="000E5EE9" w:rsidRPr="00566A5B" w:rsidRDefault="000E5EE9" w:rsidP="004B520A">
            <w:pPr>
              <w:rPr>
                <w:rFonts w:ascii="Verdana" w:hAnsi="Verdana" w:cs="Times New Roman Bold"/>
                <w:b/>
                <w:bCs/>
                <w:sz w:val="22"/>
                <w:szCs w:val="22"/>
              </w:rPr>
            </w:pPr>
            <w:r>
              <w:rPr>
                <w:noProof/>
                <w:lang w:val="en-US"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Default="000E5EE9" w:rsidP="004B520A">
            <w:pPr>
              <w:rPr>
                <w:rFonts w:ascii="Verdana" w:hAnsi="Verdana" w:cs="Times New Roman Bold"/>
                <w:b/>
                <w:bCs/>
                <w:szCs w:val="24"/>
              </w:rPr>
            </w:pPr>
            <w:r w:rsidRPr="00692C39">
              <w:rPr>
                <w:rFonts w:ascii="Verdana" w:hAnsi="Verdana" w:cs="Times New Roman Bold"/>
                <w:b/>
                <w:bCs/>
                <w:szCs w:val="24"/>
              </w:rPr>
              <w:t xml:space="preserve">Asamblea Mundial de Normalización de las </w:t>
            </w:r>
            <w:r>
              <w:rPr>
                <w:rFonts w:ascii="Verdana" w:hAnsi="Verdana" w:cs="Times New Roman Bold"/>
                <w:b/>
                <w:bCs/>
                <w:szCs w:val="24"/>
              </w:rPr>
              <w:t>Telecomunicaciones</w:t>
            </w:r>
            <w:r w:rsidRPr="00692C39">
              <w:rPr>
                <w:rFonts w:ascii="Verdana" w:hAnsi="Verdana" w:cs="Times New Roman Bold"/>
                <w:b/>
                <w:bCs/>
                <w:szCs w:val="24"/>
              </w:rPr>
              <w:t xml:space="preserve"> (</w:t>
            </w:r>
            <w:r w:rsidR="0028017B" w:rsidRPr="00692C39">
              <w:rPr>
                <w:rFonts w:ascii="Verdana" w:hAnsi="Verdana" w:cs="Times New Roman Bold"/>
                <w:b/>
                <w:bCs/>
                <w:szCs w:val="24"/>
              </w:rPr>
              <w:t>A</w:t>
            </w:r>
            <w:r w:rsidR="0028017B">
              <w:rPr>
                <w:rFonts w:ascii="Verdana" w:hAnsi="Verdana" w:cs="Times New Roman Bold"/>
                <w:b/>
                <w:bCs/>
                <w:szCs w:val="24"/>
              </w:rPr>
              <w:t>MNT</w:t>
            </w:r>
            <w:r w:rsidR="0028017B" w:rsidRPr="00692C39">
              <w:rPr>
                <w:rFonts w:ascii="Verdana" w:hAnsi="Verdana" w:cs="Times New Roman Bold"/>
                <w:b/>
                <w:bCs/>
                <w:szCs w:val="24"/>
              </w:rPr>
              <w:t>-1</w:t>
            </w:r>
            <w:r w:rsidR="0028017B">
              <w:rPr>
                <w:rFonts w:ascii="Verdana" w:hAnsi="Verdana" w:cs="Times New Roman Bold"/>
                <w:b/>
                <w:bCs/>
                <w:szCs w:val="24"/>
              </w:rPr>
              <w:t>6</w:t>
            </w:r>
            <w:r w:rsidRPr="00692C39">
              <w:rPr>
                <w:rFonts w:ascii="Verdana" w:hAnsi="Verdana" w:cs="Times New Roman Bold"/>
                <w:b/>
                <w:bCs/>
                <w:szCs w:val="24"/>
              </w:rPr>
              <w:t>)</w:t>
            </w:r>
          </w:p>
          <w:p w:rsidR="000E5EE9" w:rsidRPr="0028017B" w:rsidRDefault="0028017B" w:rsidP="004B520A">
            <w:pPr>
              <w:spacing w:before="0"/>
              <w:rPr>
                <w:rFonts w:ascii="Verdana" w:hAnsi="Verdana" w:cs="Times New Roman Bold"/>
                <w:b/>
                <w:bCs/>
                <w:sz w:val="19"/>
                <w:szCs w:val="19"/>
              </w:rPr>
            </w:pPr>
            <w:r w:rsidRPr="00E83D45">
              <w:rPr>
                <w:rFonts w:ascii="Verdana" w:hAnsi="Verdana" w:cs="Times New Roman Bold"/>
                <w:b/>
                <w:bCs/>
                <w:sz w:val="18"/>
                <w:szCs w:val="18"/>
              </w:rPr>
              <w:t>Hammamet, 25 de octubre</w:t>
            </w:r>
            <w:r w:rsidR="00E21778">
              <w:rPr>
                <w:rFonts w:ascii="Verdana" w:hAnsi="Verdana" w:cs="Times New Roman Bold"/>
                <w:b/>
                <w:bCs/>
                <w:sz w:val="18"/>
                <w:szCs w:val="18"/>
              </w:rPr>
              <w:t xml:space="preserve"> </w:t>
            </w:r>
            <w:r w:rsidRPr="00E83D45">
              <w:rPr>
                <w:rFonts w:ascii="Verdana" w:hAnsi="Verdana" w:cs="Times New Roman Bold"/>
                <w:b/>
                <w:bCs/>
                <w:sz w:val="18"/>
                <w:szCs w:val="18"/>
              </w:rPr>
              <w:t>-</w:t>
            </w:r>
            <w:r w:rsidR="00E21778">
              <w:rPr>
                <w:rFonts w:ascii="Verdana" w:hAnsi="Verdana" w:cs="Times New Roman Bold"/>
                <w:b/>
                <w:bCs/>
                <w:sz w:val="18"/>
                <w:szCs w:val="18"/>
              </w:rPr>
              <w:t xml:space="preserve"> </w:t>
            </w:r>
            <w:r w:rsidRPr="00E83D45">
              <w:rPr>
                <w:rFonts w:ascii="Verdana" w:hAnsi="Verdana" w:cs="Times New Roman Bold"/>
                <w:b/>
                <w:bCs/>
                <w:sz w:val="18"/>
                <w:szCs w:val="18"/>
              </w:rPr>
              <w:t>3 de noviembre de 2016</w:t>
            </w:r>
          </w:p>
        </w:tc>
        <w:tc>
          <w:tcPr>
            <w:tcW w:w="1873" w:type="dxa"/>
            <w:vAlign w:val="center"/>
          </w:tcPr>
          <w:p w:rsidR="000E5EE9" w:rsidRDefault="000E5EE9" w:rsidP="004B520A">
            <w:pPr>
              <w:spacing w:before="0"/>
              <w:jc w:val="right"/>
            </w:pPr>
            <w:r>
              <w:rPr>
                <w:noProof/>
                <w:lang w:val="en-US"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Tr="004B520A">
        <w:trPr>
          <w:cantSplit/>
        </w:trPr>
        <w:tc>
          <w:tcPr>
            <w:tcW w:w="6613" w:type="dxa"/>
            <w:gridSpan w:val="2"/>
            <w:tcBorders>
              <w:bottom w:val="single" w:sz="12" w:space="0" w:color="auto"/>
            </w:tcBorders>
          </w:tcPr>
          <w:p w:rsidR="00F0220A" w:rsidRDefault="00F0220A" w:rsidP="004B520A">
            <w:pPr>
              <w:spacing w:before="0"/>
            </w:pPr>
          </w:p>
        </w:tc>
        <w:tc>
          <w:tcPr>
            <w:tcW w:w="3198" w:type="dxa"/>
            <w:gridSpan w:val="2"/>
            <w:tcBorders>
              <w:bottom w:val="single" w:sz="12" w:space="0" w:color="auto"/>
            </w:tcBorders>
          </w:tcPr>
          <w:p w:rsidR="00F0220A" w:rsidRDefault="00F0220A" w:rsidP="004B520A">
            <w:pPr>
              <w:spacing w:before="0"/>
            </w:pPr>
          </w:p>
        </w:tc>
      </w:tr>
      <w:tr w:rsidR="005A374D" w:rsidTr="004B520A">
        <w:trPr>
          <w:cantSplit/>
        </w:trPr>
        <w:tc>
          <w:tcPr>
            <w:tcW w:w="6613" w:type="dxa"/>
            <w:gridSpan w:val="2"/>
            <w:tcBorders>
              <w:top w:val="single" w:sz="12" w:space="0" w:color="auto"/>
            </w:tcBorders>
          </w:tcPr>
          <w:p w:rsidR="005A374D" w:rsidRDefault="005A374D" w:rsidP="004B520A">
            <w:pPr>
              <w:spacing w:before="0"/>
            </w:pPr>
          </w:p>
        </w:tc>
        <w:tc>
          <w:tcPr>
            <w:tcW w:w="3198" w:type="dxa"/>
            <w:gridSpan w:val="2"/>
          </w:tcPr>
          <w:p w:rsidR="005A374D" w:rsidRPr="005A374D" w:rsidRDefault="005A374D" w:rsidP="004B520A">
            <w:pPr>
              <w:spacing w:before="0"/>
              <w:rPr>
                <w:rFonts w:ascii="Verdana" w:hAnsi="Verdana"/>
                <w:b/>
                <w:bCs/>
                <w:sz w:val="20"/>
              </w:rPr>
            </w:pPr>
          </w:p>
        </w:tc>
      </w:tr>
      <w:tr w:rsidR="00E83D45" w:rsidTr="004B520A">
        <w:trPr>
          <w:cantSplit/>
        </w:trPr>
        <w:tc>
          <w:tcPr>
            <w:tcW w:w="6613" w:type="dxa"/>
            <w:gridSpan w:val="2"/>
          </w:tcPr>
          <w:p w:rsidR="00E83D45" w:rsidRPr="00B239FA" w:rsidRDefault="00E83D45" w:rsidP="004B520A">
            <w:pPr>
              <w:pStyle w:val="Committee"/>
              <w:framePr w:hSpace="0" w:wrap="auto" w:hAnchor="text" w:yAlign="inline"/>
            </w:pPr>
            <w:r w:rsidRPr="001E7D42">
              <w:t>SESIÓN PLENARIA</w:t>
            </w:r>
          </w:p>
        </w:tc>
        <w:tc>
          <w:tcPr>
            <w:tcW w:w="3198" w:type="dxa"/>
            <w:gridSpan w:val="2"/>
          </w:tcPr>
          <w:p w:rsidR="00E83D45" w:rsidRPr="002074EC" w:rsidRDefault="00E83D45" w:rsidP="004B520A">
            <w:pPr>
              <w:spacing w:before="0"/>
              <w:rPr>
                <w:rFonts w:ascii="Verdana" w:hAnsi="Verdana"/>
                <w:b/>
                <w:bCs/>
                <w:sz w:val="20"/>
              </w:rPr>
            </w:pPr>
            <w:r>
              <w:rPr>
                <w:rFonts w:ascii="Verdana" w:hAnsi="Verdana"/>
                <w:b/>
                <w:sz w:val="20"/>
                <w:lang w:val="en-US"/>
              </w:rPr>
              <w:t>Addéndum 32 al</w:t>
            </w:r>
            <w:r>
              <w:rPr>
                <w:rFonts w:ascii="Verdana" w:hAnsi="Verdana"/>
                <w:b/>
                <w:sz w:val="20"/>
                <w:lang w:val="en-US"/>
              </w:rPr>
              <w:br/>
              <w:t>Documento 46</w:t>
            </w:r>
            <w:r w:rsidRPr="00523269">
              <w:rPr>
                <w:rFonts w:ascii="Verdana" w:hAnsi="Verdana"/>
                <w:b/>
                <w:sz w:val="20"/>
                <w:lang w:val="en-US"/>
              </w:rPr>
              <w:t>-</w:t>
            </w:r>
            <w:r w:rsidRPr="0002785D">
              <w:rPr>
                <w:rFonts w:ascii="Verdana" w:hAnsi="Verdana"/>
                <w:b/>
                <w:sz w:val="20"/>
                <w:lang w:val="en-US"/>
              </w:rPr>
              <w:t>S</w:t>
            </w:r>
          </w:p>
        </w:tc>
      </w:tr>
      <w:tr w:rsidR="00E83D45" w:rsidTr="004B520A">
        <w:trPr>
          <w:cantSplit/>
        </w:trPr>
        <w:tc>
          <w:tcPr>
            <w:tcW w:w="6613" w:type="dxa"/>
            <w:gridSpan w:val="2"/>
          </w:tcPr>
          <w:p w:rsidR="00E83D45" w:rsidRPr="0002785D" w:rsidRDefault="00E83D45" w:rsidP="004B520A">
            <w:pPr>
              <w:spacing w:before="0" w:after="48"/>
              <w:rPr>
                <w:rFonts w:ascii="Verdana" w:hAnsi="Verdana"/>
                <w:b/>
                <w:smallCaps/>
                <w:sz w:val="20"/>
                <w:lang w:val="en-US"/>
              </w:rPr>
            </w:pPr>
          </w:p>
        </w:tc>
        <w:tc>
          <w:tcPr>
            <w:tcW w:w="3198" w:type="dxa"/>
            <w:gridSpan w:val="2"/>
          </w:tcPr>
          <w:p w:rsidR="00E83D45" w:rsidRPr="002074EC" w:rsidRDefault="00E83D45" w:rsidP="004B520A">
            <w:pPr>
              <w:spacing w:before="0"/>
              <w:rPr>
                <w:rFonts w:ascii="Verdana" w:hAnsi="Verdana"/>
                <w:b/>
                <w:bCs/>
                <w:sz w:val="20"/>
              </w:rPr>
            </w:pPr>
            <w:r w:rsidRPr="0002785D">
              <w:rPr>
                <w:rFonts w:ascii="Verdana" w:hAnsi="Verdana"/>
                <w:b/>
                <w:sz w:val="20"/>
                <w:lang w:val="en-US"/>
              </w:rPr>
              <w:t>23 de septiembre de 2016</w:t>
            </w:r>
          </w:p>
        </w:tc>
      </w:tr>
      <w:tr w:rsidR="00E83D45" w:rsidTr="004B520A">
        <w:trPr>
          <w:cantSplit/>
        </w:trPr>
        <w:tc>
          <w:tcPr>
            <w:tcW w:w="6613" w:type="dxa"/>
            <w:gridSpan w:val="2"/>
          </w:tcPr>
          <w:p w:rsidR="00E83D45" w:rsidRDefault="00E83D45" w:rsidP="004B520A">
            <w:pPr>
              <w:spacing w:before="0"/>
            </w:pPr>
          </w:p>
        </w:tc>
        <w:tc>
          <w:tcPr>
            <w:tcW w:w="3198" w:type="dxa"/>
            <w:gridSpan w:val="2"/>
          </w:tcPr>
          <w:p w:rsidR="00E83D45" w:rsidRPr="002074EC" w:rsidRDefault="00E83D45" w:rsidP="004B520A">
            <w:pPr>
              <w:spacing w:before="0"/>
              <w:rPr>
                <w:rFonts w:ascii="Verdana" w:hAnsi="Verdana"/>
                <w:b/>
                <w:bCs/>
                <w:sz w:val="20"/>
              </w:rPr>
            </w:pPr>
            <w:r w:rsidRPr="0002785D">
              <w:rPr>
                <w:rFonts w:ascii="Verdana" w:hAnsi="Verdana"/>
                <w:b/>
                <w:sz w:val="20"/>
                <w:lang w:val="en-US"/>
              </w:rPr>
              <w:t>Original: inglés</w:t>
            </w:r>
          </w:p>
        </w:tc>
      </w:tr>
      <w:tr w:rsidR="00681766" w:rsidTr="004B520A">
        <w:trPr>
          <w:cantSplit/>
        </w:trPr>
        <w:tc>
          <w:tcPr>
            <w:tcW w:w="9811" w:type="dxa"/>
            <w:gridSpan w:val="4"/>
          </w:tcPr>
          <w:p w:rsidR="00681766" w:rsidRPr="002074EC" w:rsidRDefault="00681766" w:rsidP="004B520A">
            <w:pPr>
              <w:spacing w:before="0"/>
              <w:rPr>
                <w:rFonts w:ascii="Verdana" w:hAnsi="Verdana"/>
                <w:b/>
                <w:bCs/>
                <w:sz w:val="20"/>
              </w:rPr>
            </w:pPr>
          </w:p>
        </w:tc>
      </w:tr>
      <w:tr w:rsidR="00E83D45" w:rsidTr="004B520A">
        <w:trPr>
          <w:cantSplit/>
        </w:trPr>
        <w:tc>
          <w:tcPr>
            <w:tcW w:w="9811" w:type="dxa"/>
            <w:gridSpan w:val="4"/>
          </w:tcPr>
          <w:p w:rsidR="00E83D45" w:rsidRDefault="00E83D45" w:rsidP="004B520A">
            <w:pPr>
              <w:pStyle w:val="Source"/>
            </w:pPr>
            <w:r w:rsidRPr="00C00F64">
              <w:t>Estados Miembros de la Comisión Interamericana de Telecomunicaciones (CITEL)</w:t>
            </w:r>
          </w:p>
        </w:tc>
      </w:tr>
      <w:tr w:rsidR="00E83D45" w:rsidTr="004B520A">
        <w:trPr>
          <w:cantSplit/>
        </w:trPr>
        <w:tc>
          <w:tcPr>
            <w:tcW w:w="9811" w:type="dxa"/>
            <w:gridSpan w:val="4"/>
          </w:tcPr>
          <w:p w:rsidR="00E83D45" w:rsidRPr="00C00F64" w:rsidRDefault="00C00F64" w:rsidP="00C00F64">
            <w:pPr>
              <w:pStyle w:val="Title1"/>
            </w:pPr>
            <w:r w:rsidRPr="00C00F64">
              <w:t xml:space="preserve">MODIFICACIONES A LA RESOLUCIÓN 65 DE LA AMNT-12 – COMUNICACIÓN DEL NÚMERO DE LA PARTE LLAMANTE, IDENTIFICACIÓN DE LA LÍNEA LLAMANTE </w:t>
            </w:r>
            <w:r>
              <w:br/>
            </w:r>
            <w:r w:rsidRPr="00C00F64">
              <w:t>E IDENTIFICACIÓN DEL ORIGEN</w:t>
            </w:r>
          </w:p>
        </w:tc>
      </w:tr>
      <w:tr w:rsidR="00E83D45" w:rsidTr="004B520A">
        <w:trPr>
          <w:cantSplit/>
        </w:trPr>
        <w:tc>
          <w:tcPr>
            <w:tcW w:w="9811" w:type="dxa"/>
            <w:gridSpan w:val="4"/>
          </w:tcPr>
          <w:p w:rsidR="00E83D45" w:rsidRPr="00057296" w:rsidRDefault="00E83D45" w:rsidP="004B520A">
            <w:pPr>
              <w:pStyle w:val="Title2"/>
            </w:pPr>
          </w:p>
        </w:tc>
      </w:tr>
      <w:tr w:rsidR="00E83D45" w:rsidTr="004B520A">
        <w:trPr>
          <w:cantSplit/>
        </w:trPr>
        <w:tc>
          <w:tcPr>
            <w:tcW w:w="9811" w:type="dxa"/>
            <w:gridSpan w:val="4"/>
          </w:tcPr>
          <w:p w:rsidR="00E83D45" w:rsidRPr="00C00F64" w:rsidRDefault="00E83D45" w:rsidP="004B520A">
            <w:pPr>
              <w:pStyle w:val="Agendaitem"/>
            </w:pPr>
          </w:p>
        </w:tc>
      </w:tr>
    </w:tbl>
    <w:p w:rsidR="006B0F54" w:rsidRDefault="006B0F54" w:rsidP="006B0F54"/>
    <w:tbl>
      <w:tblPr>
        <w:tblW w:w="5089" w:type="pct"/>
        <w:tblLayout w:type="fixed"/>
        <w:tblLook w:val="0000" w:firstRow="0" w:lastRow="0" w:firstColumn="0" w:lastColumn="0" w:noHBand="0" w:noVBand="0"/>
      </w:tblPr>
      <w:tblGrid>
        <w:gridCol w:w="1560"/>
        <w:gridCol w:w="8251"/>
      </w:tblGrid>
      <w:tr w:rsidR="006B0F54" w:rsidRPr="00426748" w:rsidTr="00193AD1">
        <w:trPr>
          <w:cantSplit/>
        </w:trPr>
        <w:tc>
          <w:tcPr>
            <w:tcW w:w="1560" w:type="dxa"/>
          </w:tcPr>
          <w:p w:rsidR="006B0F54" w:rsidRPr="00426748" w:rsidRDefault="006B0F54" w:rsidP="00193AD1">
            <w:r w:rsidRPr="007D3405">
              <w:rPr>
                <w:b/>
                <w:bCs/>
              </w:rPr>
              <w:t>Resumen</w:t>
            </w:r>
            <w:r w:rsidRPr="008F7104">
              <w:rPr>
                <w:b/>
                <w:bCs/>
              </w:rPr>
              <w:t>:</w:t>
            </w:r>
          </w:p>
        </w:tc>
        <w:sdt>
          <w:sdtPr>
            <w:rPr>
              <w:color w:val="000000" w:themeColor="text1"/>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FC3528" w:rsidRDefault="00FD32DF" w:rsidP="00CA1F40">
                <w:pPr>
                  <w:rPr>
                    <w:color w:val="000000" w:themeColor="text1"/>
                  </w:rPr>
                </w:pPr>
                <w:r w:rsidRPr="00FD32DF">
                  <w:rPr>
                    <w:color w:val="000000" w:themeColor="text1"/>
                  </w:rPr>
                  <w:t>En la presente contribución se considera las modificaciones a la Resolución 65 de la AMNT-12 – Comunicación del número de la parte llamante, identificación de la línea llamante e identificación del origen</w:t>
                </w:r>
                <w:r w:rsidR="00CB0C51">
                  <w:rPr>
                    <w:color w:val="000000" w:themeColor="text1"/>
                  </w:rPr>
                  <w:t>.</w:t>
                </w:r>
              </w:p>
            </w:tc>
          </w:sdtContent>
        </w:sdt>
      </w:tr>
    </w:tbl>
    <w:p w:rsidR="00FD32DF" w:rsidRPr="00AC39A1" w:rsidRDefault="00FD32DF" w:rsidP="003E1BCD">
      <w:pPr>
        <w:pStyle w:val="Headingb"/>
        <w:rPr>
          <w:lang w:val="es-ES" w:eastAsia="es-ES"/>
        </w:rPr>
      </w:pPr>
      <w:r>
        <w:rPr>
          <w:lang w:val="es-ES" w:eastAsia="es-ES"/>
        </w:rPr>
        <w:t>Introducción</w:t>
      </w:r>
    </w:p>
    <w:p w:rsidR="00FD32DF" w:rsidRPr="00AC39A1" w:rsidRDefault="00FD32DF" w:rsidP="003E1BCD">
      <w:pPr>
        <w:rPr>
          <w:lang w:val="es-ES" w:eastAsia="es-ES"/>
        </w:rPr>
      </w:pPr>
      <w:r w:rsidRPr="00AC39A1">
        <w:rPr>
          <w:lang w:val="es-ES" w:eastAsia="es-ES"/>
        </w:rPr>
        <w:t xml:space="preserve">El UIT-T proporcionó orientaciones para la comunicación del número internacional de la parte llamante en la Recomendación UIT-T E.157 (2009). Esta orientación es independiente de la tecnología y específica para la comunicación de los números internacionales E.164. Este tema sigue siendo estudiado por la Comisión de Estudio 2 del UIT-T, con base en las contribuciones de los miembros, y </w:t>
      </w:r>
      <w:r>
        <w:rPr>
          <w:lang w:val="es-ES" w:eastAsia="es-ES"/>
        </w:rPr>
        <w:t>CITEL</w:t>
      </w:r>
      <w:r w:rsidRPr="00AC39A1">
        <w:rPr>
          <w:lang w:val="es-ES" w:eastAsia="es-ES"/>
        </w:rPr>
        <w:t xml:space="preserve"> espera contribuir con estos importantes estudios. </w:t>
      </w:r>
    </w:p>
    <w:p w:rsidR="00FD32DF" w:rsidRPr="00AC39A1" w:rsidRDefault="00FD32DF" w:rsidP="00D55AAB">
      <w:pPr>
        <w:rPr>
          <w:lang w:val="es-ES" w:eastAsia="es-ES"/>
        </w:rPr>
      </w:pPr>
      <w:r w:rsidRPr="00AC39A1">
        <w:rPr>
          <w:lang w:val="es-ES" w:eastAsia="es-ES"/>
        </w:rPr>
        <w:t xml:space="preserve">Para mejorar la claridad de la Resolución 65, hemos propuesto enmiendas editoriales que sean consistentes con los términos convenidos en el seno del UIT-T relacionadas con la comunicación de los números internacionales E.164. Proponemos mantener los términos identificación de la línea llamante (CLI) y número de la parte llamante según son definidos </w:t>
      </w:r>
      <w:r w:rsidR="00A52B10">
        <w:rPr>
          <w:lang w:val="es-ES" w:eastAsia="es-ES"/>
        </w:rPr>
        <w:t>en diversas Recomendaciones del </w:t>
      </w:r>
      <w:r w:rsidRPr="00AC39A1">
        <w:rPr>
          <w:lang w:val="es-ES" w:eastAsia="es-ES"/>
        </w:rPr>
        <w:t xml:space="preserve">ITU-T como las I.251.3, I.251.4, Q.731.3, Q.731.4 y Q.931. También proponemos suprimir el término </w:t>
      </w:r>
      <w:r w:rsidRPr="00AC39A1">
        <w:rPr>
          <w:i/>
          <w:lang w:val="es-ES" w:eastAsia="es-ES"/>
        </w:rPr>
        <w:t>identificación de origen</w:t>
      </w:r>
      <w:r w:rsidRPr="00AC39A1">
        <w:rPr>
          <w:lang w:val="es-ES" w:eastAsia="es-ES"/>
        </w:rPr>
        <w:t xml:space="preserve"> según está definido en las Recomendaciones del UIT-T, y se mantiene el concepto en el término número de la parte llamante. Por ejemplo: la Recomendación UIT-T Q.931 lo describe como </w:t>
      </w:r>
      <w:r w:rsidR="00986620" w:rsidRPr="00986620">
        <w:rPr>
          <w:iCs/>
          <w:lang w:val="es-ES" w:eastAsia="es-ES"/>
        </w:rPr>
        <w:t>"</w:t>
      </w:r>
      <w:r w:rsidRPr="00AC39A1">
        <w:rPr>
          <w:i/>
          <w:lang w:val="es-ES" w:eastAsia="es-ES"/>
        </w:rPr>
        <w:t>El propósito del elemento de información Número de la parte llamante es identificar el origen de una llamada.</w:t>
      </w:r>
      <w:r w:rsidRPr="00986620">
        <w:rPr>
          <w:iCs/>
          <w:lang w:val="es-ES" w:eastAsia="es-ES"/>
        </w:rPr>
        <w:t>"</w:t>
      </w:r>
    </w:p>
    <w:p w:rsidR="00FD32DF" w:rsidRPr="00AC39A1" w:rsidRDefault="00FD32DF" w:rsidP="003E1BCD">
      <w:pPr>
        <w:rPr>
          <w:lang w:val="es-ES" w:eastAsia="es-ES"/>
        </w:rPr>
      </w:pPr>
      <w:r w:rsidRPr="00AC39A1">
        <w:rPr>
          <w:lang w:val="es-ES" w:eastAsia="es-ES"/>
        </w:rPr>
        <w:lastRenderedPageBreak/>
        <w:t xml:space="preserve">Por último, proponemos que ya no es necesario que el Director de la TSB deba informar sobre el avance de la presente Resolución, puesto que su progreso se registra en los informes de reunión de la Comisión de Estudio 2, con base en los aportes de los miembros. </w:t>
      </w:r>
    </w:p>
    <w:p w:rsidR="00FD32DF" w:rsidRPr="00AC39A1" w:rsidRDefault="00FD32DF" w:rsidP="003E1BCD">
      <w:pPr>
        <w:pStyle w:val="Headingb"/>
        <w:rPr>
          <w:lang w:val="es-ES" w:eastAsia="es-ES"/>
        </w:rPr>
      </w:pPr>
      <w:r w:rsidRPr="00AC39A1">
        <w:rPr>
          <w:lang w:val="es-ES" w:eastAsia="es-ES"/>
        </w:rPr>
        <w:t>Propuesta</w:t>
      </w:r>
    </w:p>
    <w:p w:rsidR="00B07178" w:rsidRDefault="00FD32DF" w:rsidP="003E1BCD">
      <w:r w:rsidRPr="00AC39A1">
        <w:rPr>
          <w:lang w:val="es-ES" w:eastAsia="es-ES"/>
        </w:rPr>
        <w:t>Se recomienda que la Resolución 65 se modifique para reflejar los cambios propuestos</w:t>
      </w:r>
      <w:r>
        <w:rPr>
          <w:lang w:val="es-ES" w:eastAsia="es-ES"/>
        </w:rPr>
        <w:t>.</w:t>
      </w:r>
    </w:p>
    <w:p w:rsidR="00B07178" w:rsidRDefault="00B07178">
      <w:pPr>
        <w:tabs>
          <w:tab w:val="clear" w:pos="1134"/>
          <w:tab w:val="clear" w:pos="1871"/>
          <w:tab w:val="clear" w:pos="2268"/>
        </w:tabs>
        <w:overflowPunct/>
        <w:autoSpaceDE/>
        <w:autoSpaceDN/>
        <w:adjustRightInd/>
        <w:spacing w:before="0"/>
        <w:textAlignment w:val="auto"/>
      </w:pPr>
      <w:r>
        <w:br w:type="page"/>
      </w:r>
    </w:p>
    <w:p w:rsidR="00E83D45" w:rsidRDefault="00E83D45" w:rsidP="00E8097C"/>
    <w:p w:rsidR="00A12DEE" w:rsidRDefault="00EC0A4D">
      <w:pPr>
        <w:pStyle w:val="Proposal"/>
      </w:pPr>
      <w:r>
        <w:t>MOD</w:t>
      </w:r>
      <w:r>
        <w:tab/>
        <w:t>IAP/46A32/1</w:t>
      </w:r>
    </w:p>
    <w:p w:rsidR="00705B93" w:rsidRPr="00843990" w:rsidRDefault="00EC0A4D" w:rsidP="00417A95">
      <w:pPr>
        <w:pStyle w:val="ResNo"/>
      </w:pPr>
      <w:r w:rsidRPr="00843990">
        <w:t xml:space="preserve">RESOLUCIÓN </w:t>
      </w:r>
      <w:r w:rsidRPr="00843990">
        <w:rPr>
          <w:rStyle w:val="href"/>
          <w:rFonts w:eastAsia="MS Mincho"/>
        </w:rPr>
        <w:t>65</w:t>
      </w:r>
      <w:r w:rsidR="00417A95">
        <w:t xml:space="preserve"> (Rev. </w:t>
      </w:r>
      <w:del w:id="0" w:author="Spanish" w:date="2016-09-26T09:54:00Z">
        <w:r w:rsidR="00417A95" w:rsidDel="00417A95">
          <w:delText>Dubái</w:delText>
        </w:r>
      </w:del>
      <w:ins w:id="1" w:author="cbianchi" w:date="2016-08-17T02:12:00Z">
        <w:r w:rsidR="00A21ED1" w:rsidRPr="00AC39A1">
          <w:rPr>
            <w:szCs w:val="28"/>
            <w:lang w:val="es-ES" w:eastAsia="es-ES"/>
          </w:rPr>
          <w:t>H</w:t>
        </w:r>
      </w:ins>
      <w:ins w:id="2" w:author="Spanish" w:date="2016-09-26T09:53:00Z">
        <w:r w:rsidR="00A21ED1">
          <w:rPr>
            <w:szCs w:val="28"/>
            <w:lang w:val="es-ES" w:eastAsia="es-ES"/>
          </w:rPr>
          <w:t>A</w:t>
        </w:r>
      </w:ins>
      <w:ins w:id="3" w:author="cbianchi" w:date="2016-08-17T02:12:00Z">
        <w:r w:rsidR="00A21ED1" w:rsidRPr="00AC39A1">
          <w:rPr>
            <w:szCs w:val="28"/>
            <w:lang w:val="es-ES" w:eastAsia="es-ES"/>
          </w:rPr>
          <w:t>mmamet</w:t>
        </w:r>
      </w:ins>
      <w:r w:rsidR="00A21ED1" w:rsidRPr="00AC39A1">
        <w:rPr>
          <w:szCs w:val="28"/>
          <w:lang w:val="es-ES" w:eastAsia="es-ES"/>
        </w:rPr>
        <w:t xml:space="preserve">, </w:t>
      </w:r>
      <w:del w:id="4" w:author="cbianchi" w:date="2016-08-17T02:12:00Z">
        <w:r w:rsidR="00A21ED1" w:rsidRPr="00AC39A1" w:rsidDel="00054F79">
          <w:rPr>
            <w:szCs w:val="28"/>
            <w:lang w:val="es-ES" w:eastAsia="es-ES"/>
          </w:rPr>
          <w:delText>2012</w:delText>
        </w:r>
      </w:del>
      <w:ins w:id="5" w:author="cbianchi" w:date="2016-08-17T02:12:00Z">
        <w:r w:rsidR="00A21ED1" w:rsidRPr="00AC39A1">
          <w:rPr>
            <w:szCs w:val="28"/>
            <w:lang w:val="es-ES" w:eastAsia="es-ES"/>
          </w:rPr>
          <w:t>2016</w:t>
        </w:r>
      </w:ins>
      <w:r w:rsidRPr="00843990">
        <w:t>)</w:t>
      </w:r>
    </w:p>
    <w:p w:rsidR="00705B93" w:rsidRPr="00D20813" w:rsidRDefault="00EC0A4D">
      <w:pPr>
        <w:pStyle w:val="Restitle"/>
        <w:rPr>
          <w:lang w:val="es-ES"/>
        </w:rPr>
      </w:pPr>
      <w:r w:rsidRPr="00D20813">
        <w:rPr>
          <w:lang w:val="es-ES"/>
        </w:rPr>
        <w:t>Comunicación del número de la parte llamante</w:t>
      </w:r>
      <w:ins w:id="6" w:author="Spanish" w:date="2016-09-26T09:54:00Z">
        <w:r w:rsidR="00B55512">
          <w:rPr>
            <w:lang w:val="es-ES"/>
          </w:rPr>
          <w:t xml:space="preserve"> e</w:t>
        </w:r>
      </w:ins>
      <w:del w:id="7" w:author="Spanish" w:date="2016-09-26T09:54:00Z">
        <w:r w:rsidRPr="00D20813" w:rsidDel="00B55512">
          <w:rPr>
            <w:lang w:val="es-ES"/>
          </w:rPr>
          <w:delText>,</w:delText>
        </w:r>
      </w:del>
      <w:r w:rsidRPr="00D20813">
        <w:rPr>
          <w:lang w:val="es-ES"/>
        </w:rPr>
        <w:t xml:space="preserve"> identificación</w:t>
      </w:r>
      <w:r w:rsidRPr="00D20813">
        <w:rPr>
          <w:lang w:val="es-ES"/>
        </w:rPr>
        <w:br/>
        <w:t>de la línea llamante</w:t>
      </w:r>
      <w:del w:id="8" w:author="Spanish" w:date="2016-09-26T09:54:00Z">
        <w:r w:rsidRPr="00D20813" w:rsidDel="00B55512">
          <w:rPr>
            <w:lang w:val="es-ES"/>
          </w:rPr>
          <w:delText xml:space="preserve"> e identificación del origen</w:delText>
        </w:r>
      </w:del>
    </w:p>
    <w:p w:rsidR="00705B93" w:rsidRPr="004A5E0A" w:rsidRDefault="00EC0A4D" w:rsidP="00705B93">
      <w:pPr>
        <w:pStyle w:val="Resref"/>
      </w:pPr>
      <w:r w:rsidRPr="004A5E0A">
        <w:t xml:space="preserve">(Johannesburgo, 2008; </w:t>
      </w:r>
      <w:del w:id="9" w:author="Spanish" w:date="2016-09-26T09:55:00Z">
        <w:r w:rsidDel="000F4C2F">
          <w:delText>Dubái</w:delText>
        </w:r>
      </w:del>
      <w:ins w:id="10" w:author="cbianchi" w:date="2016-08-17T02:13:00Z">
        <w:r w:rsidR="000F4C2F" w:rsidRPr="00AC39A1">
          <w:rPr>
            <w:szCs w:val="24"/>
            <w:lang w:val="es-ES" w:eastAsia="es-ES"/>
          </w:rPr>
          <w:t>Hammamet</w:t>
        </w:r>
      </w:ins>
      <w:r w:rsidR="000F4C2F" w:rsidRPr="00AC39A1">
        <w:rPr>
          <w:szCs w:val="24"/>
          <w:lang w:val="es-ES" w:eastAsia="es-ES"/>
        </w:rPr>
        <w:t xml:space="preserve">, </w:t>
      </w:r>
      <w:del w:id="11" w:author="cbianchi" w:date="2016-08-17T02:13:00Z">
        <w:r w:rsidR="000F4C2F" w:rsidRPr="00AC39A1" w:rsidDel="00054F79">
          <w:rPr>
            <w:szCs w:val="24"/>
            <w:lang w:val="es-ES" w:eastAsia="es-ES"/>
          </w:rPr>
          <w:delText>2012</w:delText>
        </w:r>
      </w:del>
      <w:ins w:id="12" w:author="cbianchi" w:date="2016-08-17T02:13:00Z">
        <w:r w:rsidR="000F4C2F" w:rsidRPr="00AC39A1">
          <w:rPr>
            <w:szCs w:val="24"/>
            <w:lang w:val="es-ES" w:eastAsia="es-ES"/>
          </w:rPr>
          <w:t>2016</w:t>
        </w:r>
      </w:ins>
      <w:r w:rsidRPr="004A5E0A">
        <w:t>)</w:t>
      </w:r>
    </w:p>
    <w:p w:rsidR="00705B93" w:rsidRPr="00D20813" w:rsidRDefault="00EC0A4D" w:rsidP="00705B93">
      <w:pPr>
        <w:pStyle w:val="Normalaftertitle"/>
        <w:rPr>
          <w:lang w:val="es-ES"/>
        </w:rPr>
      </w:pPr>
      <w:r w:rsidRPr="00D20813">
        <w:rPr>
          <w:lang w:val="es-ES"/>
        </w:rPr>
        <w:t>La Asamblea Mundial de Normalización de las Telecomunicaciones (</w:t>
      </w:r>
      <w:r>
        <w:rPr>
          <w:lang w:val="es-ES"/>
        </w:rPr>
        <w:t>Dubái</w:t>
      </w:r>
      <w:r w:rsidRPr="00D20813">
        <w:rPr>
          <w:lang w:val="es-ES"/>
        </w:rPr>
        <w:t>, 2012),</w:t>
      </w:r>
    </w:p>
    <w:p w:rsidR="00705B93" w:rsidRPr="00D20813" w:rsidRDefault="00EC0A4D" w:rsidP="00705B93">
      <w:pPr>
        <w:pStyle w:val="Call"/>
        <w:rPr>
          <w:rtl/>
          <w:lang w:val="es-ES"/>
        </w:rPr>
      </w:pPr>
      <w:r w:rsidRPr="00D20813">
        <w:rPr>
          <w:lang w:val="es-ES"/>
        </w:rPr>
        <w:t>preocupada</w:t>
      </w:r>
    </w:p>
    <w:p w:rsidR="00705B93" w:rsidRPr="00D20813" w:rsidRDefault="00EC0A4D" w:rsidP="0075054F">
      <w:pPr>
        <w:rPr>
          <w:lang w:val="es-ES"/>
        </w:rPr>
      </w:pPr>
      <w:r w:rsidRPr="00D20813">
        <w:rPr>
          <w:i/>
          <w:iCs/>
          <w:lang w:val="es-ES"/>
        </w:rPr>
        <w:t>a)</w:t>
      </w:r>
      <w:r w:rsidRPr="00D20813">
        <w:rPr>
          <w:lang w:val="es-ES"/>
        </w:rPr>
        <w:tab/>
      </w:r>
      <w:r w:rsidR="0075054F" w:rsidRPr="00AC39A1">
        <w:rPr>
          <w:szCs w:val="24"/>
          <w:lang w:val="es-ES" w:eastAsia="es-ES"/>
        </w:rPr>
        <w:t>porque parece existir una tendencia a suprimir la transmisión de la información de identificación de</w:t>
      </w:r>
      <w:ins w:id="13" w:author="cbianchi" w:date="2016-08-17T02:14:00Z">
        <w:r w:rsidR="0075054F" w:rsidRPr="00AC39A1">
          <w:rPr>
            <w:szCs w:val="24"/>
            <w:lang w:val="es-ES" w:eastAsia="es-ES"/>
          </w:rPr>
          <w:t>l número de</w:t>
        </w:r>
      </w:ins>
      <w:r w:rsidR="0075054F" w:rsidRPr="00AC39A1">
        <w:rPr>
          <w:szCs w:val="24"/>
          <w:lang w:val="es-ES" w:eastAsia="es-ES"/>
        </w:rPr>
        <w:t xml:space="preserve"> la parte llamante</w:t>
      </w:r>
      <w:ins w:id="14" w:author="cbianchi" w:date="2016-08-17T02:14:00Z">
        <w:r w:rsidR="0075054F" w:rsidRPr="00AC39A1">
          <w:rPr>
            <w:szCs w:val="24"/>
            <w:lang w:val="es-ES" w:eastAsia="es-ES"/>
          </w:rPr>
          <w:t xml:space="preserve"> y</w:t>
        </w:r>
      </w:ins>
      <w:del w:id="15" w:author="cbianchi" w:date="2016-08-17T02:14:00Z">
        <w:r w:rsidR="0075054F" w:rsidRPr="00AC39A1" w:rsidDel="00054F79">
          <w:rPr>
            <w:szCs w:val="24"/>
            <w:lang w:val="es-ES" w:eastAsia="es-ES"/>
          </w:rPr>
          <w:delText>,</w:delText>
        </w:r>
      </w:del>
      <w:r w:rsidR="0075054F" w:rsidRPr="00AC39A1">
        <w:rPr>
          <w:szCs w:val="24"/>
          <w:lang w:val="es-ES" w:eastAsia="es-ES"/>
        </w:rPr>
        <w:t xml:space="preserve"> la línea llamante </w:t>
      </w:r>
      <w:del w:id="16" w:author="cbianchi" w:date="2016-08-17T02:14:00Z">
        <w:r w:rsidR="0075054F" w:rsidRPr="00AC39A1" w:rsidDel="00054F79">
          <w:rPr>
            <w:szCs w:val="24"/>
            <w:lang w:val="es-ES" w:eastAsia="es-ES"/>
          </w:rPr>
          <w:delText xml:space="preserve">y el origen </w:delText>
        </w:r>
      </w:del>
      <w:r w:rsidR="0075054F" w:rsidRPr="00AC39A1">
        <w:rPr>
          <w:szCs w:val="24"/>
          <w:lang w:val="es-ES" w:eastAsia="es-ES"/>
        </w:rPr>
        <w:t>a través de las fronteras internacionales, en particular el indicativo de país y el indicativo nacional de destino</w:t>
      </w:r>
      <w:r w:rsidRPr="00D20813">
        <w:rPr>
          <w:lang w:val="es-ES"/>
        </w:rPr>
        <w:t>;</w:t>
      </w:r>
    </w:p>
    <w:p w:rsidR="00705B93" w:rsidRPr="00D20813" w:rsidRDefault="00EC0A4D" w:rsidP="00DC5DFA">
      <w:pPr>
        <w:rPr>
          <w:lang w:val="es-ES"/>
        </w:rPr>
      </w:pPr>
      <w:r w:rsidRPr="00D20813">
        <w:rPr>
          <w:i/>
          <w:iCs/>
          <w:lang w:val="es-ES"/>
        </w:rPr>
        <w:t>b)</w:t>
      </w:r>
      <w:r w:rsidRPr="00D20813">
        <w:rPr>
          <w:lang w:val="es-ES"/>
        </w:rPr>
        <w:tab/>
        <w:t>porque dichas prácticas tienen una repercusión desfavorable sobre cuestiones de seguridad y económicas, en particular en los países en desarrollo</w:t>
      </w:r>
      <w:r>
        <w:rPr>
          <w:rStyle w:val="FootnoteReference"/>
          <w:lang w:val="es-ES"/>
        </w:rPr>
        <w:footnoteReference w:customMarkFollows="1" w:id="1"/>
        <w:t>1</w:t>
      </w:r>
      <w:r w:rsidRPr="00D20813">
        <w:rPr>
          <w:lang w:val="es-ES"/>
        </w:rPr>
        <w:t xml:space="preserve">; </w:t>
      </w:r>
    </w:p>
    <w:p w:rsidR="00705B93" w:rsidRPr="00D20813" w:rsidRDefault="00EC0A4D" w:rsidP="00705B93">
      <w:pPr>
        <w:rPr>
          <w:i/>
          <w:iCs/>
          <w:lang w:val="es-ES"/>
        </w:rPr>
      </w:pPr>
      <w:r w:rsidRPr="00D20813">
        <w:rPr>
          <w:i/>
          <w:iCs/>
          <w:lang w:val="es-ES"/>
        </w:rPr>
        <w:t>c)</w:t>
      </w:r>
      <w:r w:rsidRPr="00D20813">
        <w:rPr>
          <w:lang w:val="es-ES"/>
        </w:rPr>
        <w:tab/>
        <w:t>por el importante número de casos comunicados al Director de la Oficina de Normalización de las Telecomunicaciones de la UIT (TSB) sobre apropiación y uso indebidos de números UIT</w:t>
      </w:r>
      <w:r w:rsidRPr="00D20813">
        <w:rPr>
          <w:lang w:val="es-ES"/>
        </w:rPr>
        <w:noBreakHyphen/>
        <w:t xml:space="preserve">T E.164 en relación con la falta de indicación o falsificación del número de la parte llamante; </w:t>
      </w:r>
    </w:p>
    <w:p w:rsidR="00705B93" w:rsidRPr="00D20813" w:rsidRDefault="00EC0A4D" w:rsidP="00705B93">
      <w:pPr>
        <w:rPr>
          <w:lang w:val="es-ES"/>
        </w:rPr>
      </w:pPr>
      <w:r w:rsidRPr="00D20813">
        <w:rPr>
          <w:i/>
          <w:iCs/>
          <w:lang w:val="es-ES"/>
        </w:rPr>
        <w:t>d)</w:t>
      </w:r>
      <w:r w:rsidRPr="00D20813">
        <w:rPr>
          <w:lang w:val="es-ES"/>
        </w:rPr>
        <w:tab/>
        <w:t>porque la labor sobre este tema debe avanzar con mayor rapidez y ampliarse en la Comisión de Estudio 2 del Sector de Normalización de las Telecomunicaciones de la UIT (UIT-T),</w:t>
      </w:r>
    </w:p>
    <w:p w:rsidR="00705B93" w:rsidRPr="00D20813" w:rsidRDefault="00EC0A4D" w:rsidP="00705B93">
      <w:pPr>
        <w:pStyle w:val="Call"/>
        <w:rPr>
          <w:lang w:val="es-ES"/>
        </w:rPr>
      </w:pPr>
      <w:r w:rsidRPr="00D20813">
        <w:rPr>
          <w:lang w:val="es-ES"/>
        </w:rPr>
        <w:t>observando</w:t>
      </w:r>
    </w:p>
    <w:p w:rsidR="00705B93" w:rsidRPr="00D20813" w:rsidRDefault="00EC0A4D" w:rsidP="00705B93">
      <w:pPr>
        <w:rPr>
          <w:lang w:val="es-ES"/>
        </w:rPr>
      </w:pPr>
      <w:r w:rsidRPr="00D20813">
        <w:rPr>
          <w:i/>
          <w:iCs/>
          <w:lang w:val="es-ES"/>
        </w:rPr>
        <w:t>a)</w:t>
      </w:r>
      <w:r w:rsidRPr="00D20813">
        <w:rPr>
          <w:i/>
          <w:iCs/>
          <w:lang w:val="es-ES"/>
        </w:rPr>
        <w:tab/>
      </w:r>
      <w:r w:rsidRPr="00D20813">
        <w:rPr>
          <w:lang w:val="es-ES"/>
        </w:rPr>
        <w:t>las correspondientes Recomendaciones UIT</w:t>
      </w:r>
      <w:r w:rsidRPr="00D20813">
        <w:rPr>
          <w:lang w:val="es-ES"/>
        </w:rPr>
        <w:noBreakHyphen/>
        <w:t>T y, en particular:</w:t>
      </w:r>
    </w:p>
    <w:p w:rsidR="00705B93" w:rsidRPr="00D20813" w:rsidRDefault="00EC0A4D" w:rsidP="00705B93">
      <w:pPr>
        <w:pStyle w:val="enumlev1"/>
        <w:rPr>
          <w:lang w:val="es-ES"/>
        </w:rPr>
      </w:pPr>
      <w:r w:rsidRPr="00D20813">
        <w:rPr>
          <w:lang w:val="es-ES"/>
        </w:rPr>
        <w:t>i)</w:t>
      </w:r>
      <w:r w:rsidRPr="00D20813">
        <w:rPr>
          <w:lang w:val="es-ES"/>
        </w:rPr>
        <w:tab/>
        <w:t>la UIT-T E.156, Directrices para la actuación del UIT-T cuando se le notifique una utilización indebida de recursos de numeración E.164;</w:t>
      </w:r>
    </w:p>
    <w:p w:rsidR="00705B93" w:rsidRPr="00D20813" w:rsidRDefault="00EC0A4D" w:rsidP="00705B93">
      <w:pPr>
        <w:pStyle w:val="enumlev1"/>
        <w:rPr>
          <w:lang w:val="es-ES"/>
        </w:rPr>
      </w:pPr>
      <w:r w:rsidRPr="00D20813">
        <w:rPr>
          <w:lang w:val="es-ES"/>
        </w:rPr>
        <w:t>ii)</w:t>
      </w:r>
      <w:r w:rsidRPr="00D20813">
        <w:rPr>
          <w:lang w:val="es-ES"/>
        </w:rPr>
        <w:tab/>
        <w:t>la UIT-T E.157, Comunicación internacional del número de la parte llamante;</w:t>
      </w:r>
    </w:p>
    <w:p w:rsidR="00705B93" w:rsidRPr="00D20813" w:rsidRDefault="00EC0A4D" w:rsidP="00705B93">
      <w:pPr>
        <w:pStyle w:val="enumlev1"/>
        <w:rPr>
          <w:lang w:val="es-ES"/>
        </w:rPr>
      </w:pPr>
      <w:r w:rsidRPr="00D20813">
        <w:rPr>
          <w:lang w:val="es-ES"/>
        </w:rPr>
        <w:t>iii)</w:t>
      </w:r>
      <w:r w:rsidRPr="00D20813">
        <w:rPr>
          <w:lang w:val="es-ES"/>
        </w:rPr>
        <w:tab/>
        <w:t>la UIT-T E.164, Plan internacional de numeración de telecomunicaciones públicas;</w:t>
      </w:r>
    </w:p>
    <w:p w:rsidR="00705B93" w:rsidRPr="00D20813" w:rsidRDefault="00EC0A4D" w:rsidP="00705B93">
      <w:pPr>
        <w:pStyle w:val="enumlev1"/>
        <w:rPr>
          <w:lang w:val="es-ES"/>
        </w:rPr>
      </w:pPr>
      <w:r w:rsidRPr="00D20813">
        <w:rPr>
          <w:lang w:val="es-ES"/>
        </w:rPr>
        <w:t>iv)</w:t>
      </w:r>
      <w:r w:rsidRPr="00D20813">
        <w:rPr>
          <w:lang w:val="es-ES"/>
        </w:rPr>
        <w:tab/>
        <w:t>la UIT-T I.251.3, Servicios suplementarios de identificación de números: Presentación de la identificación de la línea llamante;</w:t>
      </w:r>
    </w:p>
    <w:p w:rsidR="00705B93" w:rsidRPr="00D20813" w:rsidRDefault="00EC0A4D" w:rsidP="00705B93">
      <w:pPr>
        <w:pStyle w:val="enumlev1"/>
        <w:rPr>
          <w:lang w:val="es-ES"/>
        </w:rPr>
      </w:pPr>
      <w:r w:rsidRPr="00D20813">
        <w:rPr>
          <w:lang w:val="es-ES"/>
        </w:rPr>
        <w:t>v)</w:t>
      </w:r>
      <w:r w:rsidRPr="00D20813">
        <w:rPr>
          <w:lang w:val="es-ES"/>
        </w:rPr>
        <w:tab/>
        <w:t>la UIT-T I.251.4, Servicios suplementarios de identificación de números: Restricción de la identificación de la línea llamante;</w:t>
      </w:r>
    </w:p>
    <w:p w:rsidR="00705B93" w:rsidRPr="00D20813" w:rsidRDefault="00EC0A4D" w:rsidP="00705B93">
      <w:pPr>
        <w:pStyle w:val="enumlev1"/>
        <w:rPr>
          <w:lang w:val="es-ES"/>
        </w:rPr>
      </w:pPr>
      <w:r w:rsidRPr="00D20813">
        <w:rPr>
          <w:lang w:val="es-ES"/>
        </w:rPr>
        <w:t>vi)</w:t>
      </w:r>
      <w:r w:rsidRPr="00D20813">
        <w:rPr>
          <w:lang w:val="es-ES"/>
        </w:rPr>
        <w:tab/>
        <w:t>la UIT-T I.251.7, Servicios suplementarios de identificación de números: Identificación de llamadas malintencionadas (maliciosas);</w:t>
      </w:r>
    </w:p>
    <w:p w:rsidR="00705B93" w:rsidRPr="00D20813" w:rsidRDefault="00EC0A4D" w:rsidP="00705B93">
      <w:pPr>
        <w:pStyle w:val="enumlev1"/>
        <w:rPr>
          <w:lang w:val="es-ES"/>
        </w:rPr>
      </w:pPr>
      <w:r w:rsidRPr="00D20813">
        <w:rPr>
          <w:lang w:val="es-ES"/>
        </w:rPr>
        <w:t>vii)</w:t>
      </w:r>
      <w:r w:rsidRPr="00D20813">
        <w:rPr>
          <w:lang w:val="es-ES"/>
        </w:rPr>
        <w:tab/>
        <w:t>las de la serie UIT-T Q.731.x, relativas a las descripciones de la etapa 3 para los servicios suplementarios de identificación de número que utilizan el sistema de señalización N.º 7;</w:t>
      </w:r>
    </w:p>
    <w:p w:rsidR="00705B93" w:rsidRPr="00D20813" w:rsidRDefault="00EC0A4D" w:rsidP="00705B93">
      <w:pPr>
        <w:pStyle w:val="enumlev1"/>
        <w:rPr>
          <w:lang w:val="es-ES"/>
        </w:rPr>
      </w:pPr>
      <w:r w:rsidRPr="00D20813">
        <w:rPr>
          <w:lang w:val="es-ES"/>
        </w:rPr>
        <w:lastRenderedPageBreak/>
        <w:t>viii)</w:t>
      </w:r>
      <w:r w:rsidRPr="00D20813">
        <w:rPr>
          <w:lang w:val="es-ES"/>
        </w:rPr>
        <w:tab/>
        <w:t>la UIT-T Q.731.7, Descripción de la etapa 3 para los servicios suplementarios de identificación de número que utilizan el sistema de señalización Nº 7: Identificación de llamadas malintencionadas;</w:t>
      </w:r>
    </w:p>
    <w:p w:rsidR="00705B93" w:rsidRPr="00D20813" w:rsidRDefault="00EC0A4D" w:rsidP="00705B93">
      <w:pPr>
        <w:pStyle w:val="enumlev1"/>
        <w:rPr>
          <w:lang w:val="es-ES"/>
        </w:rPr>
      </w:pPr>
      <w:r w:rsidRPr="00D20813">
        <w:rPr>
          <w:lang w:val="es-ES"/>
        </w:rPr>
        <w:t>ix)</w:t>
      </w:r>
      <w:r w:rsidRPr="00D20813">
        <w:rPr>
          <w:lang w:val="es-ES"/>
        </w:rPr>
        <w:tab/>
        <w:t>la UIT-T Q.764, Sistema de señalización N.º 7 – Procedimientos de señalización de la parte usuario de la RDSI;</w:t>
      </w:r>
    </w:p>
    <w:p w:rsidR="00705B93" w:rsidRPr="00D20813" w:rsidRDefault="00EC0A4D" w:rsidP="00AC7A6E">
      <w:pPr>
        <w:pStyle w:val="enumlev1"/>
        <w:rPr>
          <w:lang w:val="es-ES"/>
        </w:rPr>
      </w:pPr>
      <w:r w:rsidRPr="00D20813">
        <w:rPr>
          <w:lang w:val="es-ES"/>
        </w:rPr>
        <w:t>x)</w:t>
      </w:r>
      <w:r w:rsidRPr="00D20813">
        <w:rPr>
          <w:lang w:val="es-ES"/>
        </w:rPr>
        <w:tab/>
        <w:t>la UIT-T Q.1912.5, Interfuncionamiento entre el protocolo de iniciación de sesión (SIP) y el protocolo de control de llamada independiente (BICC) o la parte usuario RDSI (RDSI-PU);</w:t>
      </w:r>
    </w:p>
    <w:p w:rsidR="00705B93" w:rsidRPr="00D20813" w:rsidRDefault="00EC0A4D" w:rsidP="00DC5DFA">
      <w:pPr>
        <w:rPr>
          <w:lang w:val="es-ES"/>
        </w:rPr>
      </w:pPr>
      <w:r w:rsidRPr="00D20813">
        <w:rPr>
          <w:i/>
          <w:iCs/>
          <w:lang w:val="es-ES"/>
        </w:rPr>
        <w:t>b)</w:t>
      </w:r>
      <w:r w:rsidRPr="00D20813">
        <w:rPr>
          <w:i/>
          <w:iCs/>
          <w:lang w:val="es-ES"/>
        </w:rPr>
        <w:tab/>
      </w:r>
      <w:r w:rsidRPr="00D20813">
        <w:rPr>
          <w:lang w:val="es-ES"/>
        </w:rPr>
        <w:t>de las Resoluciones pertinentes:</w:t>
      </w:r>
    </w:p>
    <w:p w:rsidR="00705B93" w:rsidRPr="00D20813" w:rsidRDefault="00EC0A4D" w:rsidP="00705B93">
      <w:pPr>
        <w:pStyle w:val="enumlev1"/>
        <w:rPr>
          <w:lang w:val="es-ES"/>
        </w:rPr>
      </w:pPr>
      <w:r w:rsidRPr="00D20813">
        <w:rPr>
          <w:lang w:val="es-ES"/>
        </w:rPr>
        <w:t>i)</w:t>
      </w:r>
      <w:r w:rsidRPr="00D20813">
        <w:rPr>
          <w:lang w:val="es-ES"/>
        </w:rPr>
        <w:tab/>
        <w:t xml:space="preserve">la Resolución 61 (Rev. </w:t>
      </w:r>
      <w:r>
        <w:rPr>
          <w:lang w:val="es-ES"/>
        </w:rPr>
        <w:t>Dubái</w:t>
      </w:r>
      <w:r w:rsidRPr="00D20813">
        <w:rPr>
          <w:lang w:val="es-ES"/>
        </w:rPr>
        <w:t>, 2012) de esta Asamblea, Apropiación y uso indebidos de recursos internacionales de numeración para las telecomunicaciones;</w:t>
      </w:r>
    </w:p>
    <w:p w:rsidR="00705B93" w:rsidRPr="00D20813" w:rsidRDefault="00EC0A4D" w:rsidP="00705B93">
      <w:pPr>
        <w:pStyle w:val="enumlev1"/>
        <w:rPr>
          <w:lang w:val="es-ES"/>
        </w:rPr>
      </w:pPr>
      <w:r w:rsidRPr="00D20813">
        <w:rPr>
          <w:lang w:val="es-ES"/>
        </w:rPr>
        <w:t>ii)</w:t>
      </w:r>
      <w:r w:rsidRPr="00D20813">
        <w:rPr>
          <w:lang w:val="es-ES"/>
        </w:rPr>
        <w:tab/>
        <w:t>la Resolución 21 (Rev. Antalya, 2006) de la Conferencia de Plenipotenciarios, Medidas especiales sobre procedimientos alternativos de llamada en las redes internacionales de telecomunicaciones;</w:t>
      </w:r>
    </w:p>
    <w:p w:rsidR="00705B93" w:rsidRPr="00D20813" w:rsidRDefault="00EC0A4D" w:rsidP="00705B93">
      <w:pPr>
        <w:pStyle w:val="enumlev1"/>
        <w:rPr>
          <w:lang w:val="es-ES"/>
        </w:rPr>
      </w:pPr>
      <w:r w:rsidRPr="00D20813">
        <w:rPr>
          <w:lang w:val="es-ES"/>
        </w:rPr>
        <w:t>iii)</w:t>
      </w:r>
      <w:r w:rsidRPr="00D20813">
        <w:rPr>
          <w:lang w:val="es-ES"/>
        </w:rPr>
        <w:tab/>
        <w:t xml:space="preserve">la Resolución 29 (Rev. </w:t>
      </w:r>
      <w:r>
        <w:rPr>
          <w:lang w:val="es-ES"/>
        </w:rPr>
        <w:t>Dubái</w:t>
      </w:r>
      <w:r w:rsidRPr="00D20813">
        <w:rPr>
          <w:lang w:val="es-ES"/>
        </w:rPr>
        <w:t>, 2012) de esta Asamblea, Procedimientos alternativos de llamada en las redes internacionales de telecomunicación,</w:t>
      </w:r>
    </w:p>
    <w:p w:rsidR="00705B93" w:rsidRPr="00D20813" w:rsidRDefault="00EC0A4D" w:rsidP="00705B93">
      <w:pPr>
        <w:pStyle w:val="Call"/>
        <w:rPr>
          <w:lang w:val="es-ES"/>
        </w:rPr>
      </w:pPr>
      <w:r w:rsidRPr="00D20813">
        <w:rPr>
          <w:lang w:val="es-ES"/>
        </w:rPr>
        <w:t>observando además</w:t>
      </w:r>
    </w:p>
    <w:p w:rsidR="00705B93" w:rsidRPr="00D20813" w:rsidRDefault="00EC0A4D" w:rsidP="00705B93">
      <w:pPr>
        <w:rPr>
          <w:lang w:val="es-ES"/>
        </w:rPr>
      </w:pPr>
      <w:r w:rsidRPr="00D20813">
        <w:rPr>
          <w:lang w:val="es-ES"/>
        </w:rPr>
        <w:t>que algunas regiones y países han adoptado recomendaciones, directivas y leyes nacionales relativas a la falta de indicación o falsificación del número de la parte llamante, y/o para garantizar la confianza en la identificación del origen; y que algunos países disponen de recomendaciones, directivas y leyes nacionales para la protección y privacidad de los datos,</w:t>
      </w:r>
    </w:p>
    <w:p w:rsidR="00705B93" w:rsidRPr="00D20813" w:rsidRDefault="00EC0A4D" w:rsidP="00705B93">
      <w:pPr>
        <w:pStyle w:val="Call"/>
        <w:rPr>
          <w:lang w:val="es-ES"/>
        </w:rPr>
      </w:pPr>
      <w:r w:rsidRPr="00D20813">
        <w:rPr>
          <w:lang w:val="es-ES"/>
        </w:rPr>
        <w:t>reafirmando</w:t>
      </w:r>
    </w:p>
    <w:p w:rsidR="00705B93" w:rsidRPr="00D20813" w:rsidRDefault="00220362" w:rsidP="00705B93">
      <w:pPr>
        <w:rPr>
          <w:lang w:val="es-ES"/>
        </w:rPr>
      </w:pPr>
      <w:r w:rsidRPr="00AC39A1">
        <w:rPr>
          <w:szCs w:val="24"/>
          <w:lang w:val="es-ES" w:eastAsia="es-ES"/>
        </w:rPr>
        <w:t>que es el derecho soberano de cada país regular sus telecomunicaciones y, como tal, regular la facilitación de la identificación de la línea llamante (CLI)</w:t>
      </w:r>
      <w:del w:id="17" w:author="cbianchi" w:date="2016-08-17T02:14:00Z">
        <w:r w:rsidRPr="00AC39A1" w:rsidDel="00054F79">
          <w:rPr>
            <w:szCs w:val="24"/>
            <w:lang w:val="es-ES" w:eastAsia="es-ES"/>
          </w:rPr>
          <w:delText>,</w:delText>
        </w:r>
      </w:del>
      <w:r w:rsidRPr="00AC39A1">
        <w:rPr>
          <w:szCs w:val="24"/>
          <w:lang w:val="es-ES" w:eastAsia="es-ES"/>
        </w:rPr>
        <w:t xml:space="preserve"> </w:t>
      </w:r>
      <w:ins w:id="18" w:author="cbianchi" w:date="2016-08-17T02:14:00Z">
        <w:r w:rsidRPr="00AC39A1">
          <w:rPr>
            <w:szCs w:val="24"/>
            <w:lang w:val="es-ES" w:eastAsia="es-ES"/>
          </w:rPr>
          <w:t xml:space="preserve">y </w:t>
        </w:r>
      </w:ins>
      <w:r w:rsidRPr="00AC39A1">
        <w:rPr>
          <w:szCs w:val="24"/>
          <w:lang w:val="es-ES" w:eastAsia="es-ES"/>
        </w:rPr>
        <w:t>la comunicación del número de la parte llamante (CPND)</w:t>
      </w:r>
      <w:del w:id="19" w:author="cbianchi" w:date="2016-08-17T02:14:00Z">
        <w:r w:rsidRPr="00AC39A1" w:rsidDel="00054F79">
          <w:rPr>
            <w:szCs w:val="24"/>
            <w:lang w:val="es-ES" w:eastAsia="es-ES"/>
          </w:rPr>
          <w:delText xml:space="preserve"> y la identificación del origen (OI)</w:delText>
        </w:r>
      </w:del>
      <w:r w:rsidRPr="00AC39A1">
        <w:rPr>
          <w:szCs w:val="24"/>
          <w:lang w:val="es-ES" w:eastAsia="es-ES"/>
        </w:rPr>
        <w:t>, teniendo en cuenta el Preámbulo de la Constitución de la UIT</w:t>
      </w:r>
      <w:r w:rsidR="00EC0A4D" w:rsidRPr="00D20813">
        <w:rPr>
          <w:lang w:val="es-ES"/>
        </w:rPr>
        <w:t>,</w:t>
      </w:r>
    </w:p>
    <w:p w:rsidR="00705B93" w:rsidRPr="00D20813" w:rsidRDefault="00EC0A4D" w:rsidP="00705B93">
      <w:pPr>
        <w:pStyle w:val="Call"/>
        <w:rPr>
          <w:lang w:val="es-ES"/>
        </w:rPr>
      </w:pPr>
      <w:r w:rsidRPr="00D20813">
        <w:rPr>
          <w:lang w:val="es-ES"/>
        </w:rPr>
        <w:t>resuelve</w:t>
      </w:r>
    </w:p>
    <w:p w:rsidR="00705B93" w:rsidRPr="00D20813" w:rsidRDefault="00EC0A4D" w:rsidP="00A1463B">
      <w:pPr>
        <w:rPr>
          <w:lang w:val="es-ES"/>
        </w:rPr>
      </w:pPr>
      <w:r w:rsidRPr="00D20813">
        <w:rPr>
          <w:lang w:val="es-ES"/>
        </w:rPr>
        <w:t>1</w:t>
      </w:r>
      <w:r w:rsidRPr="00D20813">
        <w:rPr>
          <w:lang w:val="es-ES"/>
        </w:rPr>
        <w:tab/>
      </w:r>
      <w:r w:rsidR="00A1463B" w:rsidRPr="00AC39A1">
        <w:rPr>
          <w:szCs w:val="24"/>
          <w:lang w:val="es-ES" w:eastAsia="es-ES"/>
        </w:rPr>
        <w:t>que se facilitará la CLI internacional</w:t>
      </w:r>
      <w:ins w:id="20" w:author="cbianchi" w:date="2016-08-17T02:15:00Z">
        <w:r w:rsidR="00A1463B" w:rsidRPr="00AC39A1">
          <w:rPr>
            <w:szCs w:val="24"/>
            <w:lang w:val="es-ES" w:eastAsia="es-ES"/>
          </w:rPr>
          <w:t xml:space="preserve"> y</w:t>
        </w:r>
      </w:ins>
      <w:del w:id="21" w:author="cbianchi" w:date="2016-08-17T02:15:00Z">
        <w:r w:rsidR="00A1463B" w:rsidRPr="00AC39A1" w:rsidDel="00054F79">
          <w:rPr>
            <w:szCs w:val="24"/>
            <w:lang w:val="es-ES" w:eastAsia="es-ES"/>
          </w:rPr>
          <w:delText>,</w:delText>
        </w:r>
      </w:del>
      <w:r w:rsidR="00A1463B" w:rsidRPr="00AC39A1">
        <w:rPr>
          <w:szCs w:val="24"/>
          <w:lang w:val="es-ES" w:eastAsia="es-ES"/>
        </w:rPr>
        <w:t xml:space="preserve"> la CPND </w:t>
      </w:r>
      <w:del w:id="22" w:author="cbianchi" w:date="2016-08-17T02:15:00Z">
        <w:r w:rsidR="00A1463B" w:rsidRPr="00AC39A1" w:rsidDel="00054F79">
          <w:rPr>
            <w:szCs w:val="24"/>
            <w:lang w:val="es-ES" w:eastAsia="es-ES"/>
          </w:rPr>
          <w:delText xml:space="preserve">y la OI </w:delText>
        </w:r>
      </w:del>
      <w:r w:rsidR="00A1463B" w:rsidRPr="00AC39A1">
        <w:rPr>
          <w:szCs w:val="24"/>
          <w:lang w:val="es-ES" w:eastAsia="es-ES"/>
        </w:rPr>
        <w:t>sobre la base de las Recomendaciones pertinentes del UIT-T en la medida en que sea técnicamente posible</w:t>
      </w:r>
      <w:r w:rsidRPr="00D20813">
        <w:rPr>
          <w:lang w:val="es-ES"/>
        </w:rPr>
        <w:t>;</w:t>
      </w:r>
    </w:p>
    <w:p w:rsidR="00705B93" w:rsidRPr="00D20813" w:rsidRDefault="00EC0A4D" w:rsidP="00705B93">
      <w:pPr>
        <w:rPr>
          <w:lang w:val="es-ES"/>
        </w:rPr>
      </w:pPr>
      <w:r w:rsidRPr="00D20813">
        <w:rPr>
          <w:lang w:val="es-ES"/>
        </w:rPr>
        <w:t>2</w:t>
      </w:r>
      <w:r w:rsidRPr="00D20813">
        <w:rPr>
          <w:lang w:val="es-ES"/>
        </w:rPr>
        <w:tab/>
        <w:t>que los números de partes llamantes (CPN) comunicados irán, como mínimo, en la medida en que sea técnicamente posible, precedidos de los indicativos de país de modo que un país de destino pueda identificar el país en el que tienen su origen las llamadas antes de que se transmitan de un país de origen a un país de destino;</w:t>
      </w:r>
    </w:p>
    <w:p w:rsidR="00705B93" w:rsidRPr="00D20813" w:rsidRDefault="00EC0A4D" w:rsidP="00705B93">
      <w:pPr>
        <w:rPr>
          <w:lang w:val="es-ES"/>
        </w:rPr>
      </w:pPr>
      <w:r w:rsidRPr="00D20813">
        <w:rPr>
          <w:lang w:val="es-ES"/>
        </w:rPr>
        <w:t>3</w:t>
      </w:r>
      <w:r w:rsidRPr="00D20813">
        <w:rPr>
          <w:lang w:val="es-ES"/>
        </w:rPr>
        <w:tab/>
        <w:t>que el CPN y la CLI comunicados incluirán, además del indicativo de país en el caso de ser comunicado, el indicativo nacional de destino o información suficiente para permitir la debida facturación y contabilización de cada llamada;</w:t>
      </w:r>
    </w:p>
    <w:p w:rsidR="00705B93" w:rsidRPr="00D20813" w:rsidRDefault="00EC0A4D" w:rsidP="00A1463B">
      <w:pPr>
        <w:rPr>
          <w:lang w:val="es-ES"/>
        </w:rPr>
      </w:pPr>
      <w:r w:rsidRPr="00D20813">
        <w:rPr>
          <w:lang w:val="es-ES"/>
        </w:rPr>
        <w:t>4</w:t>
      </w:r>
      <w:r w:rsidRPr="00D20813">
        <w:rPr>
          <w:lang w:val="es-ES"/>
        </w:rPr>
        <w:tab/>
      </w:r>
      <w:r w:rsidR="00A1463B" w:rsidRPr="00AC39A1">
        <w:rPr>
          <w:szCs w:val="24"/>
          <w:lang w:val="es-ES" w:eastAsia="es-ES"/>
        </w:rPr>
        <w:t xml:space="preserve">que </w:t>
      </w:r>
      <w:ins w:id="23" w:author="cbianchi" w:date="2016-08-17T02:15:00Z">
        <w:r w:rsidR="00A1463B" w:rsidRPr="00AC39A1">
          <w:rPr>
            <w:szCs w:val="24"/>
            <w:lang w:val="es-ES" w:eastAsia="es-ES"/>
          </w:rPr>
          <w:t>la información d</w:t>
        </w:r>
      </w:ins>
      <w:r w:rsidR="00A1463B" w:rsidRPr="00AC39A1">
        <w:rPr>
          <w:szCs w:val="24"/>
          <w:lang w:val="es-ES" w:eastAsia="es-ES"/>
        </w:rPr>
        <w:t>el CPN</w:t>
      </w:r>
      <w:ins w:id="24" w:author="cbianchi" w:date="2016-08-17T02:15:00Z">
        <w:r w:rsidR="00A1463B" w:rsidRPr="00AC39A1">
          <w:rPr>
            <w:szCs w:val="24"/>
            <w:lang w:val="es-ES" w:eastAsia="es-ES"/>
          </w:rPr>
          <w:t xml:space="preserve"> y</w:t>
        </w:r>
      </w:ins>
      <w:del w:id="25" w:author="cbianchi" w:date="2016-08-17T02:15:00Z">
        <w:r w:rsidR="00A1463B" w:rsidRPr="00AC39A1" w:rsidDel="00054F79">
          <w:rPr>
            <w:szCs w:val="24"/>
            <w:lang w:val="es-ES" w:eastAsia="es-ES"/>
          </w:rPr>
          <w:delText>,</w:delText>
        </w:r>
      </w:del>
      <w:r w:rsidR="00A1463B" w:rsidRPr="00AC39A1">
        <w:rPr>
          <w:szCs w:val="24"/>
          <w:lang w:val="es-ES" w:eastAsia="es-ES"/>
        </w:rPr>
        <w:t xml:space="preserve"> la CLI </w:t>
      </w:r>
      <w:del w:id="26" w:author="cbianchi" w:date="2016-08-17T02:15:00Z">
        <w:r w:rsidR="00A1463B" w:rsidRPr="00AC39A1" w:rsidDel="00054F79">
          <w:rPr>
            <w:szCs w:val="24"/>
            <w:lang w:val="es-ES" w:eastAsia="es-ES"/>
          </w:rPr>
          <w:delText xml:space="preserve">y la información de OI </w:delText>
        </w:r>
      </w:del>
      <w:r w:rsidR="00A1463B" w:rsidRPr="00AC39A1">
        <w:rPr>
          <w:szCs w:val="24"/>
          <w:lang w:val="es-ES" w:eastAsia="es-ES"/>
        </w:rPr>
        <w:t>se transmitirán de manera transparente por las redes de tránsito (incluidos los nodos centralizados),</w:t>
      </w:r>
    </w:p>
    <w:p w:rsidR="00705B93" w:rsidRPr="00D20813" w:rsidRDefault="00EC0A4D" w:rsidP="00705B93">
      <w:pPr>
        <w:pStyle w:val="Call"/>
        <w:rPr>
          <w:lang w:val="es-ES"/>
        </w:rPr>
      </w:pPr>
      <w:r w:rsidRPr="00D20813">
        <w:rPr>
          <w:lang w:val="es-ES"/>
        </w:rPr>
        <w:t>encarga</w:t>
      </w:r>
    </w:p>
    <w:p w:rsidR="00705B93" w:rsidRPr="00D20813" w:rsidRDefault="00EC0A4D" w:rsidP="00F11ADC">
      <w:pPr>
        <w:rPr>
          <w:lang w:val="es-ES"/>
        </w:rPr>
      </w:pPr>
      <w:r w:rsidRPr="00D20813">
        <w:rPr>
          <w:lang w:val="es-ES"/>
        </w:rPr>
        <w:t>1</w:t>
      </w:r>
      <w:r w:rsidRPr="00D20813">
        <w:rPr>
          <w:lang w:val="es-ES"/>
        </w:rPr>
        <w:tab/>
      </w:r>
      <w:r w:rsidR="00F11ADC" w:rsidRPr="00AC39A1">
        <w:rPr>
          <w:szCs w:val="24"/>
          <w:lang w:val="es-ES" w:eastAsia="es-ES"/>
        </w:rPr>
        <w:t>a la Comisión de Estudio 2 del UIT-T, a la Comisión de Estudio 3 del UIT-T y, llegado el caso, a la Comisión de Estudio 17 del UIT T, que sigan estudiando las cuestiones incipientes de la CPND</w:t>
      </w:r>
      <w:ins w:id="27" w:author="cbianchi" w:date="2016-08-17T02:16:00Z">
        <w:r w:rsidR="00F11ADC" w:rsidRPr="00AC39A1">
          <w:rPr>
            <w:szCs w:val="24"/>
            <w:lang w:val="es-ES" w:eastAsia="es-ES"/>
          </w:rPr>
          <w:t xml:space="preserve"> internacional </w:t>
        </w:r>
      </w:ins>
      <w:del w:id="28" w:author="cbianchi" w:date="2016-08-17T02:16:00Z">
        <w:r w:rsidR="00F11ADC" w:rsidRPr="00AC39A1" w:rsidDel="00054F79">
          <w:rPr>
            <w:szCs w:val="24"/>
            <w:lang w:val="es-ES" w:eastAsia="es-ES"/>
          </w:rPr>
          <w:delText>,</w:delText>
        </w:r>
      </w:del>
      <w:ins w:id="29" w:author="cbianchi" w:date="2016-08-17T02:16:00Z">
        <w:r w:rsidR="00F11ADC" w:rsidRPr="00AC39A1">
          <w:rPr>
            <w:szCs w:val="24"/>
            <w:lang w:val="es-ES" w:eastAsia="es-ES"/>
          </w:rPr>
          <w:t>y</w:t>
        </w:r>
      </w:ins>
      <w:r w:rsidR="00F11ADC" w:rsidRPr="00AC39A1">
        <w:rPr>
          <w:szCs w:val="24"/>
          <w:lang w:val="es-ES" w:eastAsia="es-ES"/>
        </w:rPr>
        <w:t xml:space="preserve"> la CLI</w:t>
      </w:r>
      <w:del w:id="30" w:author="cbianchi" w:date="2016-08-17T02:16:00Z">
        <w:r w:rsidR="00F11ADC" w:rsidRPr="00AC39A1" w:rsidDel="00054F79">
          <w:rPr>
            <w:szCs w:val="24"/>
            <w:lang w:val="es-ES" w:eastAsia="es-ES"/>
          </w:rPr>
          <w:delText xml:space="preserve"> y la OI</w:delText>
        </w:r>
      </w:del>
      <w:r w:rsidRPr="00D20813">
        <w:rPr>
          <w:lang w:val="es-ES"/>
        </w:rPr>
        <w:t>;</w:t>
      </w:r>
    </w:p>
    <w:p w:rsidR="00705B93" w:rsidRPr="00D20813" w:rsidRDefault="00EC0A4D" w:rsidP="00705B93">
      <w:pPr>
        <w:rPr>
          <w:lang w:val="es-ES"/>
        </w:rPr>
      </w:pPr>
      <w:r w:rsidRPr="00D20813">
        <w:rPr>
          <w:lang w:val="es-ES"/>
        </w:rPr>
        <w:lastRenderedPageBreak/>
        <w:t>2</w:t>
      </w:r>
      <w:r w:rsidRPr="00D20813">
        <w:rPr>
          <w:lang w:val="es-ES"/>
        </w:rPr>
        <w:tab/>
        <w:t>a las Comisiones de Estudio implicadas que aceleren las labores relativas a las Recomendaciones que facilitarían detalles y orientaciones adicionales para la aplicación de la presente Resolución</w:t>
      </w:r>
      <w:ins w:id="31" w:author="Spanish" w:date="2016-09-26T09:56:00Z">
        <w:r w:rsidR="00CA3407">
          <w:rPr>
            <w:lang w:val="es-ES"/>
          </w:rPr>
          <w:t>,</w:t>
        </w:r>
      </w:ins>
      <w:del w:id="32" w:author="Spanish" w:date="2016-09-26T09:56:00Z">
        <w:r w:rsidRPr="00D20813" w:rsidDel="00CA3407">
          <w:rPr>
            <w:lang w:val="es-ES"/>
          </w:rPr>
          <w:delText>;</w:delText>
        </w:r>
      </w:del>
      <w:r w:rsidRPr="00D20813">
        <w:rPr>
          <w:lang w:val="es-ES"/>
        </w:rPr>
        <w:t xml:space="preserve"> </w:t>
      </w:r>
    </w:p>
    <w:p w:rsidR="00705B93" w:rsidRPr="00D20813" w:rsidRDefault="00EC0A4D" w:rsidP="00DC5DFA">
      <w:pPr>
        <w:rPr>
          <w:lang w:val="es-ES"/>
        </w:rPr>
      </w:pPr>
      <w:del w:id="33" w:author="Spanish" w:date="2016-09-26T09:56:00Z">
        <w:r w:rsidRPr="00D20813" w:rsidDel="00CA3407">
          <w:rPr>
            <w:lang w:val="es-ES"/>
          </w:rPr>
          <w:delText>3</w:delText>
        </w:r>
        <w:r w:rsidRPr="00D20813" w:rsidDel="00CA3407">
          <w:rPr>
            <w:lang w:val="es-ES"/>
          </w:rPr>
          <w:tab/>
          <w:delText>al Director de la TSB que informe de los avances logrados por las Comisiones de Estudio en la aplicación de la presente Resolución, cuya finalidad es aumentar la seguridad y reducir al mínimo el fraude y, según lo dispuesto en el Artículo 42 de la Constitución, los perjuicios técnicos,</w:delText>
        </w:r>
      </w:del>
    </w:p>
    <w:p w:rsidR="00705B93" w:rsidRPr="004A5E0A" w:rsidRDefault="00EC0A4D" w:rsidP="00705B93">
      <w:pPr>
        <w:pStyle w:val="Call"/>
      </w:pPr>
      <w:r w:rsidRPr="004A5E0A">
        <w:t>invita a los Estados Miembros</w:t>
      </w:r>
    </w:p>
    <w:p w:rsidR="00705B93" w:rsidRDefault="00EC0A4D" w:rsidP="00705B93">
      <w:pPr>
        <w:rPr>
          <w:lang w:val="es-ES"/>
        </w:rPr>
      </w:pPr>
      <w:r w:rsidRPr="00D20813">
        <w:rPr>
          <w:lang w:val="es-ES"/>
        </w:rPr>
        <w:t>a contribuir a estos trabajos y a cooperar en la aplicación de la presente Resolución.</w:t>
      </w:r>
    </w:p>
    <w:p w:rsidR="009D2C34" w:rsidRDefault="009D2C34" w:rsidP="0032202E">
      <w:pPr>
        <w:pStyle w:val="Reasons"/>
      </w:pPr>
    </w:p>
    <w:p w:rsidR="009D2C34" w:rsidRDefault="009D2C34">
      <w:pPr>
        <w:jc w:val="center"/>
      </w:pPr>
      <w:r>
        <w:t>______________</w:t>
      </w:r>
    </w:p>
    <w:p w:rsidR="00A12DEE" w:rsidRDefault="00A12DEE">
      <w:pPr>
        <w:pStyle w:val="Reasons"/>
      </w:pPr>
    </w:p>
    <w:sectPr w:rsidR="00A12DEE">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63" w:rsidRDefault="00F02C63">
      <w:r>
        <w:separator/>
      </w:r>
    </w:p>
  </w:endnote>
  <w:endnote w:type="continuationSeparator" w:id="0">
    <w:p w:rsidR="00F02C63" w:rsidRDefault="00F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6E0078" w:rsidRDefault="0077084A">
    <w:pPr>
      <w:ind w:right="360"/>
      <w:rPr>
        <w:lang w:val="fr-CH"/>
      </w:rPr>
    </w:pPr>
    <w:r>
      <w:fldChar w:fldCharType="begin"/>
    </w:r>
    <w:r w:rsidRPr="006E0078">
      <w:rPr>
        <w:lang w:val="fr-CH"/>
      </w:rPr>
      <w:instrText xml:space="preserve"> FILENAME \p  \* MERGEFORMAT </w:instrText>
    </w:r>
    <w:r>
      <w:fldChar w:fldCharType="separate"/>
    </w:r>
    <w:r w:rsidR="00734034">
      <w:rPr>
        <w:noProof/>
        <w:lang w:val="fr-CH"/>
      </w:rPr>
      <w:t>P:\ESP\ITU-T\CONF-T\WTSA16\395105S.docx</w:t>
    </w:r>
    <w:r>
      <w:fldChar w:fldCharType="end"/>
    </w:r>
    <w:r w:rsidRPr="006E0078">
      <w:rPr>
        <w:lang w:val="fr-CH"/>
      </w:rPr>
      <w:tab/>
    </w:r>
    <w:r>
      <w:fldChar w:fldCharType="begin"/>
    </w:r>
    <w:r>
      <w:instrText xml:space="preserve"> SAVEDATE \@ DD.MM.YY </w:instrText>
    </w:r>
    <w:r>
      <w:fldChar w:fldCharType="separate"/>
    </w:r>
    <w:r w:rsidR="00CB0C51">
      <w:rPr>
        <w:noProof/>
      </w:rPr>
      <w:t>26.09.16</w:t>
    </w:r>
    <w:r>
      <w:fldChar w:fldCharType="end"/>
    </w:r>
    <w:r w:rsidRPr="006E0078">
      <w:rPr>
        <w:lang w:val="fr-CH"/>
      </w:rPr>
      <w:tab/>
    </w:r>
    <w:r>
      <w:fldChar w:fldCharType="begin"/>
    </w:r>
    <w:r>
      <w:instrText xml:space="preserve"> PRINTDATE \@ DD.MM.YY </w:instrText>
    </w:r>
    <w:r>
      <w:fldChar w:fldCharType="separate"/>
    </w:r>
    <w:r w:rsidR="00734034">
      <w:rPr>
        <w:noProof/>
      </w:rPr>
      <w:t>08.03.16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4D" w:rsidRPr="00C00F64" w:rsidRDefault="00A52B10" w:rsidP="00EC0A4D">
    <w:pPr>
      <w:pStyle w:val="Footer"/>
      <w:rPr>
        <w:lang w:val="fr-CH"/>
      </w:rPr>
    </w:pPr>
    <w:r>
      <w:fldChar w:fldCharType="begin"/>
    </w:r>
    <w:r w:rsidRPr="00C00F64">
      <w:rPr>
        <w:lang w:val="fr-CH"/>
      </w:rPr>
      <w:instrText xml:space="preserve"> FILENAME \p  \* MERGEFORMAT </w:instrText>
    </w:r>
    <w:r>
      <w:fldChar w:fldCharType="separate"/>
    </w:r>
    <w:r w:rsidR="00EC0A4D" w:rsidRPr="00C00F64">
      <w:rPr>
        <w:lang w:val="fr-CH"/>
      </w:rPr>
      <w:t>P:\ESP\ITU-T\CONF-T\WTSA16\000\046ADD32S.docx</w:t>
    </w:r>
    <w:r>
      <w:fldChar w:fldCharType="end"/>
    </w:r>
    <w:r w:rsidR="00EC0A4D" w:rsidRPr="00C00F64">
      <w:rPr>
        <w:lang w:val="fr-CH"/>
      </w:rPr>
      <w:t xml:space="preserve"> (405159)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925B07" w:rsidTr="00314BA6">
      <w:trPr>
        <w:cantSplit/>
        <w:trHeight w:val="204"/>
      </w:trPr>
      <w:tc>
        <w:tcPr>
          <w:tcW w:w="1617" w:type="dxa"/>
          <w:tcBorders>
            <w:top w:val="single" w:sz="12" w:space="0" w:color="auto"/>
          </w:tcBorders>
        </w:tcPr>
        <w:p w:rsidR="00925B07" w:rsidRDefault="00925B07" w:rsidP="00C53CA9">
          <w:pPr>
            <w:spacing w:before="0"/>
            <w:rPr>
              <w:b/>
              <w:bCs/>
            </w:rPr>
          </w:pPr>
          <w:bookmarkStart w:id="34" w:name="dcontact"/>
          <w:r>
            <w:rPr>
              <w:b/>
              <w:bCs/>
            </w:rPr>
            <w:t>Contacto:</w:t>
          </w:r>
        </w:p>
      </w:tc>
      <w:tc>
        <w:tcPr>
          <w:tcW w:w="4394" w:type="dxa"/>
          <w:tcBorders>
            <w:top w:val="single" w:sz="12" w:space="0" w:color="auto"/>
          </w:tcBorders>
        </w:tcPr>
        <w:p w:rsidR="00925B07" w:rsidRDefault="00925B07" w:rsidP="00C53CA9">
          <w:pPr>
            <w:spacing w:before="0"/>
          </w:pPr>
          <w:r>
            <w:t>Oscar León</w:t>
          </w:r>
        </w:p>
        <w:p w:rsidR="00925B07" w:rsidRDefault="00925B07" w:rsidP="00C53CA9">
          <w:pPr>
            <w:spacing w:before="0"/>
          </w:pPr>
          <w:r>
            <w:t>CITEL</w:t>
          </w:r>
        </w:p>
        <w:p w:rsidR="00925B07" w:rsidRDefault="00925B07" w:rsidP="00C53CA9">
          <w:pPr>
            <w:spacing w:before="0"/>
          </w:pPr>
          <w:r>
            <w:t>Washington, DC, USA</w:t>
          </w:r>
        </w:p>
      </w:tc>
      <w:tc>
        <w:tcPr>
          <w:tcW w:w="3912" w:type="dxa"/>
          <w:tcBorders>
            <w:top w:val="single" w:sz="12" w:space="0" w:color="auto"/>
          </w:tcBorders>
        </w:tcPr>
        <w:p w:rsidR="00925B07" w:rsidRDefault="00925B07" w:rsidP="00C53CA9">
          <w:pPr>
            <w:spacing w:before="0"/>
          </w:pPr>
          <w:r>
            <w:t>Tel: + 1 (202) 370-4713</w:t>
          </w:r>
        </w:p>
        <w:p w:rsidR="00925B07" w:rsidRDefault="00925B07" w:rsidP="00C53CA9">
          <w:pPr>
            <w:spacing w:before="0"/>
          </w:pPr>
          <w:r>
            <w:t>Fax: + (202) 458-6854</w:t>
          </w:r>
        </w:p>
        <w:p w:rsidR="00925B07" w:rsidRDefault="00925B07" w:rsidP="00C53CA9">
          <w:pPr>
            <w:spacing w:before="0"/>
          </w:pPr>
          <w:r>
            <w:t>Correo: citel@oas.org</w:t>
          </w:r>
        </w:p>
      </w:tc>
    </w:tr>
    <w:bookmarkEnd w:id="34"/>
  </w:tbl>
  <w:p w:rsidR="00E83D45" w:rsidRPr="00925B07" w:rsidRDefault="00E83D45" w:rsidP="00925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63" w:rsidRDefault="00F02C63">
      <w:r>
        <w:rPr>
          <w:b/>
        </w:rPr>
        <w:t>_______________</w:t>
      </w:r>
    </w:p>
  </w:footnote>
  <w:footnote w:type="continuationSeparator" w:id="0">
    <w:p w:rsidR="00F02C63" w:rsidRDefault="00F02C63">
      <w:r>
        <w:continuationSeparator/>
      </w:r>
    </w:p>
  </w:footnote>
  <w:footnote w:id="1">
    <w:p w:rsidR="00DC5DFA" w:rsidRPr="00DC5DFA" w:rsidRDefault="00EC0A4D">
      <w:pPr>
        <w:pStyle w:val="FootnoteText"/>
      </w:pPr>
      <w:r>
        <w:rPr>
          <w:rStyle w:val="FootnoteReference"/>
        </w:rPr>
        <w:t>1</w:t>
      </w:r>
      <w:r>
        <w:t xml:space="preserve"> </w:t>
      </w:r>
      <w:r>
        <w:tab/>
      </w:r>
      <w:r w:rsidRPr="00A6222D">
        <w:t>Este término incluye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Default="00E83D45" w:rsidP="00E83D45">
    <w:pPr>
      <w:pStyle w:val="Header"/>
    </w:pPr>
    <w:r>
      <w:fldChar w:fldCharType="begin"/>
    </w:r>
    <w:r>
      <w:instrText xml:space="preserve"> PAGE  \* MERGEFORMAT </w:instrText>
    </w:r>
    <w:r>
      <w:fldChar w:fldCharType="separate"/>
    </w:r>
    <w:r w:rsidR="00CB0C51">
      <w:rPr>
        <w:noProof/>
      </w:rPr>
      <w:t>5</w:t>
    </w:r>
    <w:r>
      <w:fldChar w:fldCharType="end"/>
    </w:r>
  </w:p>
  <w:p w:rsidR="00E83D45" w:rsidRPr="00C72D5C" w:rsidRDefault="00566BEE" w:rsidP="00E83D45">
    <w:pPr>
      <w:pStyle w:val="Header"/>
    </w:pPr>
    <w:r>
      <w:t>AMNT</w:t>
    </w:r>
    <w:r w:rsidR="00E83D45">
      <w:t>16/46(Add.32)-</w:t>
    </w:r>
    <w:r w:rsidR="00E83D45"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21A4"/>
    <w:rsid w:val="00023137"/>
    <w:rsid w:val="0002785D"/>
    <w:rsid w:val="00057296"/>
    <w:rsid w:val="00087AE8"/>
    <w:rsid w:val="000A5B9A"/>
    <w:rsid w:val="000C7758"/>
    <w:rsid w:val="000E5BF9"/>
    <w:rsid w:val="000E5EE9"/>
    <w:rsid w:val="000F0E6D"/>
    <w:rsid w:val="000F4C2F"/>
    <w:rsid w:val="00120191"/>
    <w:rsid w:val="00121170"/>
    <w:rsid w:val="00123CC5"/>
    <w:rsid w:val="0015142D"/>
    <w:rsid w:val="001616DC"/>
    <w:rsid w:val="00163962"/>
    <w:rsid w:val="00191A97"/>
    <w:rsid w:val="001A083F"/>
    <w:rsid w:val="001C41FA"/>
    <w:rsid w:val="001D380F"/>
    <w:rsid w:val="001E2B52"/>
    <w:rsid w:val="001E3F27"/>
    <w:rsid w:val="001F20F0"/>
    <w:rsid w:val="0021371A"/>
    <w:rsid w:val="00220362"/>
    <w:rsid w:val="002337D9"/>
    <w:rsid w:val="00236D2A"/>
    <w:rsid w:val="00255F12"/>
    <w:rsid w:val="00262C09"/>
    <w:rsid w:val="00263815"/>
    <w:rsid w:val="0028017B"/>
    <w:rsid w:val="00286495"/>
    <w:rsid w:val="002A791F"/>
    <w:rsid w:val="002C1B26"/>
    <w:rsid w:val="002C79B8"/>
    <w:rsid w:val="002E701F"/>
    <w:rsid w:val="003237B0"/>
    <w:rsid w:val="003248A9"/>
    <w:rsid w:val="00324FFA"/>
    <w:rsid w:val="0032680B"/>
    <w:rsid w:val="00363A65"/>
    <w:rsid w:val="00377EC9"/>
    <w:rsid w:val="003B1E8C"/>
    <w:rsid w:val="003C2508"/>
    <w:rsid w:val="003D0AA3"/>
    <w:rsid w:val="003E0C0A"/>
    <w:rsid w:val="003E1BCD"/>
    <w:rsid w:val="004104AC"/>
    <w:rsid w:val="00417A95"/>
    <w:rsid w:val="00454553"/>
    <w:rsid w:val="00476FB2"/>
    <w:rsid w:val="004B124A"/>
    <w:rsid w:val="004B520A"/>
    <w:rsid w:val="004C3636"/>
    <w:rsid w:val="004C3A5A"/>
    <w:rsid w:val="00523269"/>
    <w:rsid w:val="00532097"/>
    <w:rsid w:val="00566BEE"/>
    <w:rsid w:val="0058350F"/>
    <w:rsid w:val="005A374D"/>
    <w:rsid w:val="005E782D"/>
    <w:rsid w:val="005F2605"/>
    <w:rsid w:val="00662039"/>
    <w:rsid w:val="00662BA0"/>
    <w:rsid w:val="006709B2"/>
    <w:rsid w:val="00681766"/>
    <w:rsid w:val="00692AAE"/>
    <w:rsid w:val="006B0F54"/>
    <w:rsid w:val="006D6E67"/>
    <w:rsid w:val="006E0078"/>
    <w:rsid w:val="006E1A13"/>
    <w:rsid w:val="006E76B9"/>
    <w:rsid w:val="00701C20"/>
    <w:rsid w:val="00702F3D"/>
    <w:rsid w:val="0070518E"/>
    <w:rsid w:val="00734034"/>
    <w:rsid w:val="007354E9"/>
    <w:rsid w:val="0075054F"/>
    <w:rsid w:val="00765578"/>
    <w:rsid w:val="0077084A"/>
    <w:rsid w:val="00786250"/>
    <w:rsid w:val="00790506"/>
    <w:rsid w:val="007952C7"/>
    <w:rsid w:val="007C2317"/>
    <w:rsid w:val="007C39FA"/>
    <w:rsid w:val="007D330A"/>
    <w:rsid w:val="007E667F"/>
    <w:rsid w:val="00866AE6"/>
    <w:rsid w:val="00866BBD"/>
    <w:rsid w:val="00873B75"/>
    <w:rsid w:val="008750A8"/>
    <w:rsid w:val="008E35DA"/>
    <w:rsid w:val="008E4453"/>
    <w:rsid w:val="0090121B"/>
    <w:rsid w:val="009144C9"/>
    <w:rsid w:val="00916196"/>
    <w:rsid w:val="00925B07"/>
    <w:rsid w:val="0094091F"/>
    <w:rsid w:val="00973754"/>
    <w:rsid w:val="0097673E"/>
    <w:rsid w:val="00986620"/>
    <w:rsid w:val="00990278"/>
    <w:rsid w:val="009A137D"/>
    <w:rsid w:val="009C0BED"/>
    <w:rsid w:val="009D2C34"/>
    <w:rsid w:val="009E11EC"/>
    <w:rsid w:val="009F6A67"/>
    <w:rsid w:val="00A118DB"/>
    <w:rsid w:val="00A12DEE"/>
    <w:rsid w:val="00A1463B"/>
    <w:rsid w:val="00A21ED1"/>
    <w:rsid w:val="00A24AC0"/>
    <w:rsid w:val="00A4450C"/>
    <w:rsid w:val="00A52B10"/>
    <w:rsid w:val="00AA5E6C"/>
    <w:rsid w:val="00AB4E90"/>
    <w:rsid w:val="00AD12BE"/>
    <w:rsid w:val="00AE5677"/>
    <w:rsid w:val="00AE658F"/>
    <w:rsid w:val="00AF2F78"/>
    <w:rsid w:val="00B07178"/>
    <w:rsid w:val="00B1727C"/>
    <w:rsid w:val="00B173B3"/>
    <w:rsid w:val="00B257B2"/>
    <w:rsid w:val="00B51263"/>
    <w:rsid w:val="00B52D55"/>
    <w:rsid w:val="00B55512"/>
    <w:rsid w:val="00B61807"/>
    <w:rsid w:val="00B627DD"/>
    <w:rsid w:val="00B75455"/>
    <w:rsid w:val="00B8288C"/>
    <w:rsid w:val="00BD5FE4"/>
    <w:rsid w:val="00BE2E80"/>
    <w:rsid w:val="00BE5EDD"/>
    <w:rsid w:val="00BE6A1F"/>
    <w:rsid w:val="00C00F64"/>
    <w:rsid w:val="00C126C4"/>
    <w:rsid w:val="00C53CA9"/>
    <w:rsid w:val="00C614DC"/>
    <w:rsid w:val="00C63EB5"/>
    <w:rsid w:val="00C858D0"/>
    <w:rsid w:val="00CA1F40"/>
    <w:rsid w:val="00CA3407"/>
    <w:rsid w:val="00CB0C51"/>
    <w:rsid w:val="00CB35C9"/>
    <w:rsid w:val="00CC01E0"/>
    <w:rsid w:val="00CD5FEE"/>
    <w:rsid w:val="00CD663E"/>
    <w:rsid w:val="00CE60D2"/>
    <w:rsid w:val="00D0288A"/>
    <w:rsid w:val="00D55AAB"/>
    <w:rsid w:val="00D56781"/>
    <w:rsid w:val="00D72A5D"/>
    <w:rsid w:val="00DC629B"/>
    <w:rsid w:val="00E05BFF"/>
    <w:rsid w:val="00E21778"/>
    <w:rsid w:val="00E262F1"/>
    <w:rsid w:val="00E32BEE"/>
    <w:rsid w:val="00E47B44"/>
    <w:rsid w:val="00E71D14"/>
    <w:rsid w:val="00E8097C"/>
    <w:rsid w:val="00E83D45"/>
    <w:rsid w:val="00E94A4A"/>
    <w:rsid w:val="00EC0A4D"/>
    <w:rsid w:val="00EE1779"/>
    <w:rsid w:val="00EF0D6D"/>
    <w:rsid w:val="00F0220A"/>
    <w:rsid w:val="00F02C63"/>
    <w:rsid w:val="00F11ADC"/>
    <w:rsid w:val="00F247BB"/>
    <w:rsid w:val="00F26F4E"/>
    <w:rsid w:val="00F54E0E"/>
    <w:rsid w:val="00F606A0"/>
    <w:rsid w:val="00F62AB3"/>
    <w:rsid w:val="00F63177"/>
    <w:rsid w:val="00F66597"/>
    <w:rsid w:val="00F7212F"/>
    <w:rsid w:val="00F8150C"/>
    <w:rsid w:val="00FC3528"/>
    <w:rsid w:val="00FD32DF"/>
    <w:rsid w:val="00FD5C8C"/>
    <w:rsid w:val="00FE161E"/>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F2070"/>
    <w:rsid w:val="002C1D30"/>
    <w:rsid w:val="003331C5"/>
    <w:rsid w:val="00502EF4"/>
    <w:rsid w:val="00503226"/>
    <w:rsid w:val="005A230A"/>
    <w:rsid w:val="00690C7B"/>
    <w:rsid w:val="007B3EF8"/>
    <w:rsid w:val="009124B2"/>
    <w:rsid w:val="00986969"/>
    <w:rsid w:val="009E7F8E"/>
    <w:rsid w:val="00BD59AE"/>
    <w:rsid w:val="00DA0CD6"/>
    <w:rsid w:val="00E04EE8"/>
    <w:rsid w:val="00E30626"/>
    <w:rsid w:val="00E3524E"/>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27a368c-7627-4179-8efb-86c119f9c8fb">Documents Proposals Manager (DPM)</DPM_x0020_Author>
    <DPM_x0020_File_x0020_name xmlns="027a368c-7627-4179-8efb-86c119f9c8fb">T13-WTSA.16-C-0046!A32!MSW-S</DPM_x0020_File_x0020_name>
    <DPM_x0020_Version xmlns="027a368c-7627-4179-8efb-86c119f9c8fb">DPM_v2016.9.22.1_prod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27a368c-7627-4179-8efb-86c119f9c8fb" targetNamespace="http://schemas.microsoft.com/office/2006/metadata/properties" ma:root="true" ma:fieldsID="d41af5c836d734370eb92e7ee5f83852" ns2:_="" ns3:_="">
    <xsd:import namespace="996b2e75-67fd-4955-a3b0-5ab9934cb50b"/>
    <xsd:import namespace="027a368c-7627-4179-8efb-86c119f9c8f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27a368c-7627-4179-8efb-86c119f9c8f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elements/1.1/"/>
    <ds:schemaRef ds:uri="027a368c-7627-4179-8efb-86c119f9c8fb"/>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996b2e75-67fd-4955-a3b0-5ab9934cb50b"/>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27a368c-7627-4179-8efb-86c119f9c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4F2A8-E0D9-4EEA-830D-25E47FBA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1153</Words>
  <Characters>6832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T13-WTSA.16-C-0046!A32!MSW-S</vt:lpstr>
    </vt:vector>
  </TitlesOfParts>
  <Manager>Secretaría General - Pool</Manager>
  <Company>International Telecommunication Union (ITU)</Company>
  <LinksUpToDate>false</LinksUpToDate>
  <CharactersWithSpaces>7970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T13-WTSA.16-C-0046!A32!MSW-S</dc:title>
  <dc:subject>World Telecommunication Standardization Assembly</dc:subject>
  <dc:creator>Documents Proposals Manager (DPM)</dc:creator>
  <cp:keywords>DPM_v2016.9.22.1_prod</cp:keywords>
  <dc:description>Template used by DPM and CPI for the WTSA-16</dc:description>
  <cp:lastModifiedBy>Spanish</cp:lastModifiedBy>
  <cp:revision>24</cp:revision>
  <cp:lastPrinted>2016-03-08T15:23:00Z</cp:lastPrinted>
  <dcterms:created xsi:type="dcterms:W3CDTF">2016-09-23T14:41:00Z</dcterms:created>
  <dcterms:modified xsi:type="dcterms:W3CDTF">2016-09-26T08:03:00Z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