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222182">
            <w:pPr>
              <w:pStyle w:val="Adress"/>
              <w:framePr w:hSpace="0" w:wrap="auto" w:xAlign="left" w:yAlign="inline"/>
              <w:rPr>
                <w:rtl/>
              </w:rPr>
            </w:pPr>
            <w:r w:rsidRPr="00C26F91">
              <w:rPr>
                <w:rFonts w:ascii="Times New Roman" w:eastAsia="SimSun" w:hAnsi="Times New Roman"/>
                <w:rtl/>
              </w:rPr>
              <w:t>الإضافة</w:t>
            </w:r>
            <w:r w:rsidRPr="00222182">
              <w:rPr>
                <w:rtl/>
              </w:rPr>
              <w:t xml:space="preserve"> </w:t>
            </w:r>
            <w:r>
              <w:t>3</w:t>
            </w:r>
            <w:r>
              <w:br/>
            </w:r>
            <w:r w:rsidRPr="00C26F91">
              <w:rPr>
                <w:rFonts w:ascii="Times New Roman" w:eastAsia="SimSun" w:hAnsi="Times New Roman"/>
                <w:rtl/>
              </w:rPr>
              <w:t>للوثيقة</w:t>
            </w:r>
            <w:r w:rsidR="00222182">
              <w:rPr>
                <w:rFonts w:ascii="Times New Roman" w:eastAsia="SimSun" w:hAnsi="Times New Roman" w:hint="cs"/>
                <w:rtl/>
              </w:rPr>
              <w:t xml:space="preserve"> </w:t>
            </w:r>
            <w:r>
              <w:t>46-</w:t>
            </w:r>
            <w:r w:rsidR="00C26F91">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22345D" w:rsidP="00A25A43">
            <w:pPr>
              <w:pStyle w:val="Adress"/>
              <w:framePr w:hSpace="0" w:wrap="auto" w:xAlign="left" w:yAlign="inline"/>
              <w:rPr>
                <w:rtl/>
              </w:rPr>
            </w:pPr>
            <w:r w:rsidRPr="00C26F91">
              <w:t>21</w:t>
            </w:r>
            <w:r>
              <w:rPr>
                <w:rFonts w:ascii="Times New Roman" w:eastAsia="SimSun" w:hAnsi="Times New Roman"/>
                <w:rtl/>
              </w:rPr>
              <w:t xml:space="preserve"> سبتمبر </w:t>
            </w:r>
            <w:r w:rsidRPr="00C26F91">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 xml:space="preserve">الدول الأعضاء في لجنة البلدان الأمريكية للاتصالات </w:t>
            </w:r>
            <w:r w:rsidR="006E72FE" w:rsidRPr="00E17DAB">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2279E5" w:rsidP="00D70681">
            <w:pPr>
              <w:pStyle w:val="Title1"/>
              <w:spacing w:before="240"/>
              <w:rPr>
                <w:rtl/>
              </w:rPr>
            </w:pPr>
            <w:r w:rsidRPr="00615AA2">
              <w:rPr>
                <w:color w:val="000000"/>
                <w:spacing w:val="-4"/>
                <w:w w:val="110"/>
                <w:rtl/>
              </w:rPr>
              <w:t xml:space="preserve">اقتراح </w:t>
            </w:r>
            <w:r w:rsidRPr="00615AA2">
              <w:rPr>
                <w:rFonts w:hint="cs"/>
                <w:color w:val="000000"/>
                <w:spacing w:val="-4"/>
                <w:w w:val="110"/>
                <w:rtl/>
              </w:rPr>
              <w:t>ب</w:t>
            </w:r>
            <w:r w:rsidRPr="00615AA2">
              <w:rPr>
                <w:color w:val="000000"/>
                <w:spacing w:val="-4"/>
                <w:w w:val="110"/>
                <w:rtl/>
              </w:rPr>
              <w:t xml:space="preserve">إلغاء القـرار </w:t>
            </w:r>
            <w:r>
              <w:rPr>
                <w:spacing w:val="-4"/>
                <w:w w:val="110"/>
                <w:lang w:bidi="ar-SA"/>
              </w:rPr>
              <w:t>32</w:t>
            </w:r>
            <w:r w:rsidRPr="00615AA2">
              <w:rPr>
                <w:rFonts w:hint="cs"/>
                <w:spacing w:val="-4"/>
                <w:w w:val="110"/>
                <w:rtl/>
                <w:lang w:bidi="ar-SA"/>
              </w:rPr>
              <w:t xml:space="preserve"> للجمعية العال</w:t>
            </w:r>
            <w:r>
              <w:rPr>
                <w:rFonts w:hint="cs"/>
                <w:spacing w:val="-4"/>
                <w:w w:val="110"/>
                <w:rtl/>
                <w:lang w:bidi="ar-SA"/>
              </w:rPr>
              <w:t>‍</w:t>
            </w:r>
            <w:r w:rsidRPr="00615AA2">
              <w:rPr>
                <w:rFonts w:hint="cs"/>
                <w:spacing w:val="-4"/>
                <w:w w:val="110"/>
                <w:rtl/>
                <w:lang w:bidi="ar-SA"/>
              </w:rPr>
              <w:t>مية لتقييس الاتصالات</w:t>
            </w:r>
            <w:r w:rsidR="00D70681">
              <w:rPr>
                <w:spacing w:val="-4"/>
                <w:w w:val="110"/>
                <w:rtl/>
              </w:rPr>
              <w:br/>
            </w:r>
            <w:r w:rsidRPr="00615AA2">
              <w:rPr>
                <w:rFonts w:hint="cs"/>
                <w:spacing w:val="-4"/>
                <w:w w:val="110"/>
                <w:rtl/>
                <w:lang w:bidi="ar-SA"/>
              </w:rPr>
              <w:t>لعام</w:t>
            </w:r>
            <w:r w:rsidRPr="00615AA2">
              <w:rPr>
                <w:rFonts w:hint="eastAsia"/>
                <w:spacing w:val="-4"/>
                <w:w w:val="110"/>
                <w:rtl/>
                <w:lang w:bidi="ar-SA"/>
              </w:rPr>
              <w:t> </w:t>
            </w:r>
            <w:r w:rsidRPr="00615AA2">
              <w:rPr>
                <w:spacing w:val="-4"/>
                <w:w w:val="110"/>
                <w:lang w:bidi="ar-SA"/>
              </w:rPr>
              <w:t>2012</w:t>
            </w:r>
            <w:r w:rsidRPr="00615AA2">
              <w:rPr>
                <w:rFonts w:hint="cs"/>
                <w:spacing w:val="-4"/>
                <w:w w:val="110"/>
                <w:rtl/>
                <w:lang w:bidi="ar-SA"/>
              </w:rPr>
              <w:t xml:space="preserve"> </w:t>
            </w:r>
            <w:r w:rsidRPr="00615AA2">
              <w:rPr>
                <w:spacing w:val="-4"/>
                <w:w w:val="110"/>
                <w:lang w:bidi="ar-SA"/>
              </w:rPr>
              <w:t>(WTSA-12)</w:t>
            </w:r>
            <w:r>
              <w:rPr>
                <w:rFonts w:hint="eastAsia"/>
                <w:spacing w:val="-4"/>
                <w:w w:val="110"/>
                <w:rtl/>
                <w:lang w:bidi="ar-SA"/>
              </w:rPr>
              <w:t> </w:t>
            </w:r>
            <w:r w:rsidRPr="00615AA2">
              <w:rPr>
                <w:rFonts w:hint="cs"/>
                <w:spacing w:val="-4"/>
                <w:w w:val="110"/>
                <w:rtl/>
                <w:lang w:bidi="ar-SA"/>
              </w:rPr>
              <w:t xml:space="preserve">- </w:t>
            </w:r>
            <w:r>
              <w:rPr>
                <w:rFonts w:hint="cs"/>
                <w:rtl/>
              </w:rPr>
              <w:t>تعزيز وسائل العمل الإلكترونية</w:t>
            </w:r>
            <w:r w:rsidR="00D70681">
              <w:rPr>
                <w:rtl/>
              </w:rPr>
              <w:br/>
            </w:r>
            <w:r>
              <w:rPr>
                <w:rFonts w:hint="cs"/>
                <w:rtl/>
              </w:rPr>
              <w:t>في أعمال قطاع تقييس الاتصالات</w:t>
            </w:r>
            <w:r w:rsidR="00D70681">
              <w:rPr>
                <w:rFonts w:hint="cs"/>
                <w:rtl/>
              </w:rPr>
              <w:t xml:space="preserve"> </w:t>
            </w:r>
            <w:r>
              <w:rPr>
                <w:rFonts w:hint="cs"/>
                <w:rtl/>
              </w:rPr>
              <w:t>للات</w:t>
            </w:r>
            <w:r w:rsidR="004A34E0">
              <w:rPr>
                <w:rFonts w:hint="cs"/>
                <w:rtl/>
              </w:rPr>
              <w:t>‍</w:t>
            </w:r>
            <w:r>
              <w:rPr>
                <w:rFonts w:hint="cs"/>
                <w:rtl/>
              </w:rPr>
              <w:t>حاد الدولي للاتصالات</w:t>
            </w:r>
          </w:p>
        </w:tc>
      </w:tr>
      <w:tr w:rsidR="0022345D" w:rsidRPr="00E07379" w:rsidTr="00A25A43">
        <w:trPr>
          <w:cantSplit/>
          <w:jc w:val="right"/>
        </w:trPr>
        <w:tc>
          <w:tcPr>
            <w:tcW w:w="5000" w:type="pct"/>
            <w:gridSpan w:val="4"/>
          </w:tcPr>
          <w:p w:rsidR="0022345D" w:rsidRPr="002919E1" w:rsidRDefault="0022345D" w:rsidP="00222182"/>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0A4F57">
        <w:trPr>
          <w:cantSplit/>
          <w:jc w:val="right"/>
        </w:trPr>
        <w:tc>
          <w:tcPr>
            <w:tcW w:w="8506" w:type="dxa"/>
          </w:tcPr>
          <w:p w:rsidR="006157A3" w:rsidRPr="00984EA5" w:rsidRDefault="00096CD1" w:rsidP="00D70681">
            <w:r w:rsidRPr="00096CD1">
              <w:rPr>
                <w:rtl/>
              </w:rPr>
              <w:t>اقترح مدير مكتب تقييس الاتصالات مبادئ توجيهية لتخفيض عدد وطول قرارات الجمعية العالمية لتقييس الاتصالات ترد ‏في الوثيقة ‏</w:t>
            </w:r>
            <w:r w:rsidRPr="00096CD1">
              <w:t>TD 532</w:t>
            </w:r>
            <w:r w:rsidRPr="00096CD1">
              <w:rPr>
                <w:cs/>
              </w:rPr>
              <w:t>‎</w:t>
            </w:r>
            <w:r w:rsidRPr="00096CD1">
              <w:rPr>
                <w:rtl/>
              </w:rPr>
              <w:t>‏ للفريق الاستشاري لتقييس الاتصالات. ودعماً لهذا الهدف، تقترح الدول الأعضاء في لجنة البلدان ‏الأمريكية للاتصالات إلغاء القرار ‏</w:t>
            </w:r>
            <w:r w:rsidRPr="00096CD1">
              <w:rPr>
                <w:cs/>
              </w:rPr>
              <w:t>‎</w:t>
            </w:r>
            <w:r w:rsidRPr="00096CD1">
              <w:t>32</w:t>
            </w:r>
            <w:r w:rsidRPr="00096CD1">
              <w:rPr>
                <w:cs/>
              </w:rPr>
              <w:t>‎</w:t>
            </w:r>
            <w:r w:rsidRPr="00096CD1">
              <w:rPr>
                <w:rtl/>
              </w:rPr>
              <w:t>‏ بشأن تعزيز وسائل العمل الإلكترونية في أعمال قطاع تقييس الاتصالات للاتحاد ‏الدولي للاتصالات.‏</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B6B1A" w:rsidRDefault="001B6B1A" w:rsidP="001B6B1A">
      <w:pPr>
        <w:spacing w:before="0"/>
        <w:rPr>
          <w:rtl/>
        </w:rPr>
      </w:pPr>
    </w:p>
    <w:p w:rsidR="000A4F57" w:rsidRDefault="000A4F57" w:rsidP="000A4F57">
      <w:pPr>
        <w:pStyle w:val="Headingb"/>
        <w:rPr>
          <w:rtl/>
          <w:lang w:bidi="ar-SA"/>
        </w:rPr>
      </w:pPr>
      <w:r>
        <w:rPr>
          <w:rFonts w:hint="cs"/>
          <w:rtl/>
        </w:rPr>
        <w:t>مقدمة</w:t>
      </w:r>
    </w:p>
    <w:p w:rsidR="000A4F57" w:rsidRDefault="001B6B1A" w:rsidP="00D70681">
      <w:pPr>
        <w:rPr>
          <w:color w:val="000000"/>
          <w:rtl/>
          <w:lang w:val="en-GB" w:bidi="ar-EG"/>
        </w:rPr>
      </w:pPr>
      <w:r>
        <w:rPr>
          <w:rFonts w:hint="cs"/>
          <w:color w:val="000000"/>
          <w:rtl/>
        </w:rPr>
        <w:t xml:space="preserve">اعتُمد </w:t>
      </w:r>
      <w:r w:rsidR="000A4F57">
        <w:rPr>
          <w:rFonts w:hint="cs"/>
          <w:color w:val="000000"/>
          <w:rtl/>
        </w:rPr>
        <w:t xml:space="preserve">القرار </w:t>
      </w:r>
      <w:r w:rsidR="000A4F57">
        <w:rPr>
          <w:color w:val="000000"/>
          <w:lang w:val="en-GB"/>
        </w:rPr>
        <w:t>32</w:t>
      </w:r>
      <w:r w:rsidR="000A4F57">
        <w:rPr>
          <w:rFonts w:hint="cs"/>
          <w:color w:val="000000"/>
          <w:rtl/>
          <w:lang w:val="en-GB" w:bidi="ar-EG"/>
        </w:rPr>
        <w:t xml:space="preserve"> </w:t>
      </w:r>
      <w:r>
        <w:rPr>
          <w:rFonts w:hint="cs"/>
          <w:color w:val="000000"/>
          <w:rtl/>
          <w:lang w:val="en-GB" w:bidi="ar-EG"/>
        </w:rPr>
        <w:t xml:space="preserve">في </w:t>
      </w:r>
      <w:r w:rsidR="000A4F57">
        <w:rPr>
          <w:rFonts w:hint="cs"/>
          <w:color w:val="000000"/>
          <w:rtl/>
          <w:lang w:val="en-GB" w:bidi="ar-EG"/>
        </w:rPr>
        <w:t xml:space="preserve">الجمعية العالمية لتقييس الاتصالات لعام </w:t>
      </w:r>
      <w:r w:rsidR="000A4F57">
        <w:rPr>
          <w:color w:val="000000"/>
          <w:lang w:val="en-GB" w:bidi="ar-EG"/>
        </w:rPr>
        <w:t>2000</w:t>
      </w:r>
      <w:r w:rsidR="000A4F57">
        <w:rPr>
          <w:rFonts w:hint="cs"/>
          <w:color w:val="000000"/>
          <w:rtl/>
          <w:lang w:val="en-GB" w:bidi="ar-EG"/>
        </w:rPr>
        <w:t xml:space="preserve"> في مونتريال. ووقت اعتماد هذا القرار للمرة الأولى، كانت وسائل عمل قطاع تقييس الاتصالات تستند في الأساس إلى </w:t>
      </w:r>
      <w:r>
        <w:rPr>
          <w:rFonts w:hint="cs"/>
          <w:color w:val="000000"/>
          <w:rtl/>
          <w:lang w:val="en-GB" w:bidi="ar-EG"/>
        </w:rPr>
        <w:t xml:space="preserve">استعمال </w:t>
      </w:r>
      <w:r w:rsidR="000A4F57">
        <w:rPr>
          <w:rFonts w:hint="cs"/>
          <w:color w:val="000000"/>
          <w:rtl/>
          <w:lang w:val="en-GB" w:bidi="ar-EG"/>
        </w:rPr>
        <w:t xml:space="preserve">الورق وكانت هناك حاجة إلى تسريع تطور القطاع كي يستعمل وسائل العمل الإلكترونية. وفي </w:t>
      </w:r>
      <w:r>
        <w:rPr>
          <w:rFonts w:hint="cs"/>
          <w:color w:val="000000"/>
          <w:rtl/>
          <w:lang w:val="en-GB" w:bidi="ar-EG"/>
        </w:rPr>
        <w:t>المرحلة</w:t>
      </w:r>
      <w:r w:rsidR="000A4F57">
        <w:rPr>
          <w:rFonts w:hint="cs"/>
          <w:color w:val="000000"/>
          <w:rtl/>
          <w:lang w:val="en-GB" w:bidi="ar-EG"/>
        </w:rPr>
        <w:t xml:space="preserve"> الأولى من تنفيذ هذا القرار، كان لدى الفريق الاستشاري لتقييس الاتصالات فرقة عمل انصبّ تركيزها بشكل كامل على أساليب العمل الإلكترونية</w:t>
      </w:r>
      <w:r w:rsidR="00D70681">
        <w:rPr>
          <w:rFonts w:hint="eastAsia"/>
          <w:color w:val="000000"/>
          <w:rtl/>
          <w:lang w:val="en-GB" w:bidi="ar-EG"/>
        </w:rPr>
        <w:t> </w:t>
      </w:r>
      <w:r w:rsidR="000A4F57">
        <w:rPr>
          <w:color w:val="000000"/>
          <w:lang w:val="en-GB" w:bidi="ar-EG"/>
        </w:rPr>
        <w:t>(EWM)</w:t>
      </w:r>
      <w:r w:rsidR="000A4F57">
        <w:rPr>
          <w:rFonts w:hint="cs"/>
          <w:color w:val="000000"/>
          <w:rtl/>
          <w:lang w:val="en-GB" w:bidi="ar-EG"/>
        </w:rPr>
        <w:t>.</w:t>
      </w:r>
    </w:p>
    <w:p w:rsidR="000A4F57" w:rsidRDefault="000A4F57" w:rsidP="001B6B1A">
      <w:pPr>
        <w:rPr>
          <w:color w:val="000000"/>
          <w:rtl/>
          <w:lang w:val="en-GB" w:bidi="ar-EG"/>
        </w:rPr>
      </w:pPr>
      <w:r>
        <w:rPr>
          <w:rFonts w:hint="cs"/>
          <w:color w:val="000000"/>
          <w:rtl/>
          <w:lang w:val="en-GB" w:bidi="ar-EG"/>
        </w:rPr>
        <w:t>وفي الوقت الراهن، تُعقد أغلبية اجتماعات قطاع تقييس الاتصالات بدون</w:t>
      </w:r>
      <w:r w:rsidR="001B6B1A">
        <w:rPr>
          <w:rFonts w:hint="cs"/>
          <w:color w:val="000000"/>
          <w:rtl/>
          <w:lang w:val="en-GB" w:bidi="ar-EG"/>
        </w:rPr>
        <w:t xml:space="preserve"> أي</w:t>
      </w:r>
      <w:r>
        <w:rPr>
          <w:rFonts w:hint="cs"/>
          <w:color w:val="000000"/>
          <w:rtl/>
          <w:lang w:val="en-GB" w:bidi="ar-EG"/>
        </w:rPr>
        <w:t xml:space="preserve"> استعمال </w:t>
      </w:r>
      <w:r w:rsidR="001B6B1A">
        <w:rPr>
          <w:rFonts w:hint="cs"/>
          <w:color w:val="000000"/>
          <w:rtl/>
          <w:lang w:val="en-GB" w:bidi="ar-EG"/>
        </w:rPr>
        <w:t>للورق</w:t>
      </w:r>
      <w:r>
        <w:rPr>
          <w:rFonts w:hint="cs"/>
          <w:color w:val="000000"/>
          <w:rtl/>
          <w:lang w:val="en-GB" w:bidi="ar-EG"/>
        </w:rPr>
        <w:t>. وتتاح جميع المساهمات إلكترونياً قبل الاجتماعات، ولا يحتاج أي شخص إلى الانتظار حتى يصل إلى جنيف لمعرفة المقترحات الموجودة في انتظاره في</w:t>
      </w:r>
      <w:r>
        <w:rPr>
          <w:rFonts w:hint="eastAsia"/>
          <w:color w:val="000000"/>
          <w:rtl/>
          <w:lang w:val="en-GB" w:bidi="ar-EG"/>
        </w:rPr>
        <w:t> </w:t>
      </w:r>
      <w:r>
        <w:rPr>
          <w:rFonts w:hint="cs"/>
          <w:color w:val="000000"/>
          <w:rtl/>
          <w:lang w:val="en-GB" w:bidi="ar-EG"/>
        </w:rPr>
        <w:t>الصندوق الخاص</w:t>
      </w:r>
      <w:r>
        <w:rPr>
          <w:rFonts w:hint="eastAsia"/>
          <w:color w:val="000000"/>
          <w:rtl/>
          <w:lang w:val="en-GB" w:bidi="ar-EG"/>
        </w:rPr>
        <w:t> </w:t>
      </w:r>
      <w:r>
        <w:rPr>
          <w:rFonts w:hint="cs"/>
          <w:color w:val="000000"/>
          <w:rtl/>
          <w:lang w:val="en-GB" w:bidi="ar-EG"/>
        </w:rPr>
        <w:t>به.</w:t>
      </w:r>
      <w:r w:rsidR="002C63BB">
        <w:rPr>
          <w:rFonts w:hint="cs"/>
          <w:color w:val="000000"/>
          <w:rtl/>
          <w:lang w:val="en-GB" w:bidi="ar-EG"/>
        </w:rPr>
        <w:t xml:space="preserve"> </w:t>
      </w:r>
      <w:r>
        <w:rPr>
          <w:rFonts w:hint="cs"/>
          <w:color w:val="000000"/>
          <w:rtl/>
          <w:lang w:val="en-GB" w:bidi="ar-EG"/>
        </w:rPr>
        <w:t xml:space="preserve">وتشهد القدرات الإلكترونية تحسينات مستمرة نتيجةً لمبادرات مكتب تقييس الاتصالات والتعليقات المقدمة من لجان الدراسات ومقترحات الأعضاء. ولم يعد هناك أي اختلاف بين أعمال الفريق الاستشاري لتقييس الاتصالات المنجزة بوسائل العمل الإلكترونية </w:t>
      </w:r>
      <w:r w:rsidR="001B6B1A">
        <w:rPr>
          <w:rFonts w:hint="cs"/>
          <w:color w:val="000000"/>
          <w:rtl/>
          <w:lang w:val="en-GB" w:bidi="ar-EG"/>
        </w:rPr>
        <w:t xml:space="preserve">بالمقارنة </w:t>
      </w:r>
      <w:r>
        <w:rPr>
          <w:rFonts w:hint="cs"/>
          <w:color w:val="000000"/>
          <w:rtl/>
          <w:lang w:val="en-GB" w:bidi="ar-EG"/>
        </w:rPr>
        <w:t>مع أساليب العمل بوجهٍ عام.</w:t>
      </w:r>
    </w:p>
    <w:p w:rsidR="000A4F57" w:rsidRDefault="000A4F57" w:rsidP="00D70681">
      <w:pPr>
        <w:rPr>
          <w:color w:val="000000"/>
          <w:rtl/>
          <w:lang w:val="en-GB" w:bidi="ar-EG"/>
        </w:rPr>
      </w:pPr>
      <w:r>
        <w:rPr>
          <w:rFonts w:hint="cs"/>
          <w:color w:val="000000"/>
          <w:rtl/>
          <w:lang w:val="en-GB" w:bidi="ar-EG"/>
        </w:rPr>
        <w:lastRenderedPageBreak/>
        <w:t xml:space="preserve">وتدمج وسائل العمل الإلكترونية بشكلٍ كامل في الإجراءات الحالية. وتحدد القواعد العامة حالياً أن تتاح المقترحات المقدمة إلى الاجتماعات إلكترونياً. </w:t>
      </w:r>
      <w:r w:rsidR="001B6B1A">
        <w:rPr>
          <w:rFonts w:hint="cs"/>
          <w:color w:val="000000"/>
          <w:rtl/>
          <w:lang w:val="en-GB" w:bidi="ar-EG"/>
        </w:rPr>
        <w:t xml:space="preserve">وينص </w:t>
      </w:r>
      <w:r>
        <w:rPr>
          <w:rFonts w:hint="cs"/>
          <w:color w:val="000000"/>
          <w:rtl/>
          <w:lang w:val="en-GB" w:bidi="ar-EG"/>
        </w:rPr>
        <w:t xml:space="preserve">الملحق </w:t>
      </w:r>
      <w:r>
        <w:rPr>
          <w:color w:val="000000"/>
          <w:lang w:val="en-GB" w:bidi="ar-EG"/>
        </w:rPr>
        <w:t>2</w:t>
      </w:r>
      <w:r>
        <w:rPr>
          <w:rFonts w:hint="cs"/>
          <w:color w:val="000000"/>
          <w:rtl/>
          <w:lang w:val="en-GB" w:bidi="ar-EG"/>
        </w:rPr>
        <w:t xml:space="preserve"> بالمقرر </w:t>
      </w:r>
      <w:r>
        <w:rPr>
          <w:color w:val="000000"/>
          <w:lang w:val="en-GB" w:bidi="ar-EG"/>
        </w:rPr>
        <w:t>5</w:t>
      </w:r>
      <w:r>
        <w:rPr>
          <w:rFonts w:hint="cs"/>
          <w:color w:val="000000"/>
          <w:rtl/>
          <w:lang w:val="en-GB" w:bidi="ar-EG"/>
        </w:rPr>
        <w:t xml:space="preserve"> لمؤتمر المندوبين المفوضين </w:t>
      </w:r>
      <w:r w:rsidR="001B6B1A">
        <w:rPr>
          <w:rFonts w:hint="cs"/>
          <w:color w:val="000000"/>
          <w:rtl/>
          <w:lang w:val="en-GB" w:bidi="ar-EG"/>
        </w:rPr>
        <w:t xml:space="preserve">على </w:t>
      </w:r>
      <w:r>
        <w:rPr>
          <w:rFonts w:hint="cs"/>
          <w:color w:val="000000"/>
          <w:rtl/>
          <w:lang w:val="en-GB" w:bidi="ar-EG"/>
        </w:rPr>
        <w:t xml:space="preserve">الاستعانة بوسائل العمل الإلكترونية كطريقة لتحقيق وفورات في التكلفة. </w:t>
      </w:r>
      <w:r w:rsidR="001B6B1A">
        <w:rPr>
          <w:rFonts w:hint="cs"/>
          <w:color w:val="000000"/>
          <w:rtl/>
          <w:lang w:val="en-GB" w:bidi="ar-EG"/>
        </w:rPr>
        <w:t>وينص</w:t>
      </w:r>
      <w:r>
        <w:rPr>
          <w:rFonts w:hint="cs"/>
          <w:color w:val="000000"/>
          <w:rtl/>
          <w:lang w:val="en-GB" w:bidi="ar-EG"/>
        </w:rPr>
        <w:t xml:space="preserve"> المقرر </w:t>
      </w:r>
      <w:r>
        <w:rPr>
          <w:color w:val="000000"/>
          <w:lang w:val="en-GB" w:bidi="ar-EG"/>
        </w:rPr>
        <w:t>12</w:t>
      </w:r>
      <w:r>
        <w:rPr>
          <w:rFonts w:hint="cs"/>
          <w:color w:val="000000"/>
          <w:rtl/>
          <w:lang w:val="en-GB" w:bidi="ar-EG"/>
        </w:rPr>
        <w:t xml:space="preserve"> لمؤتمر المندوبين المفوضين </w:t>
      </w:r>
      <w:r w:rsidR="001B6B1A">
        <w:rPr>
          <w:rFonts w:hint="cs"/>
          <w:color w:val="000000"/>
          <w:rtl/>
          <w:lang w:val="en-GB" w:bidi="ar-EG"/>
        </w:rPr>
        <w:t xml:space="preserve">تحديداً على </w:t>
      </w:r>
      <w:r>
        <w:rPr>
          <w:rFonts w:hint="cs"/>
          <w:color w:val="000000"/>
          <w:rtl/>
          <w:lang w:val="en-GB" w:bidi="ar-EG"/>
        </w:rPr>
        <w:t>توزيع منشورات الاتحاد إلكترونياً. وينص القرار</w:t>
      </w:r>
      <w:r>
        <w:rPr>
          <w:rFonts w:hint="eastAsia"/>
          <w:color w:val="000000"/>
          <w:rtl/>
          <w:lang w:val="en-GB" w:bidi="ar-EG"/>
        </w:rPr>
        <w:t> </w:t>
      </w:r>
      <w:r>
        <w:rPr>
          <w:color w:val="000000"/>
          <w:lang w:val="en-GB" w:bidi="ar-EG"/>
        </w:rPr>
        <w:t>66</w:t>
      </w:r>
      <w:r>
        <w:rPr>
          <w:rFonts w:hint="cs"/>
          <w:color w:val="000000"/>
          <w:rtl/>
          <w:lang w:val="en-GB" w:bidi="ar-EG"/>
        </w:rPr>
        <w:t xml:space="preserve"> لمؤتمر المندوبين المفوضين على </w:t>
      </w:r>
      <w:r w:rsidR="001B6B1A">
        <w:rPr>
          <w:rFonts w:hint="cs"/>
          <w:color w:val="000000"/>
          <w:rtl/>
          <w:lang w:val="en-GB" w:bidi="ar-EG"/>
        </w:rPr>
        <w:t xml:space="preserve">المعالجة </w:t>
      </w:r>
      <w:r>
        <w:rPr>
          <w:rFonts w:hint="cs"/>
          <w:color w:val="000000"/>
          <w:rtl/>
          <w:lang w:val="en-GB" w:bidi="ar-EG"/>
        </w:rPr>
        <w:t>الإلكتروني</w:t>
      </w:r>
      <w:r w:rsidR="001B6B1A">
        <w:rPr>
          <w:rFonts w:hint="cs"/>
          <w:color w:val="000000"/>
          <w:rtl/>
          <w:lang w:val="en-GB" w:bidi="ar-EG"/>
        </w:rPr>
        <w:t>ة</w:t>
      </w:r>
      <w:r>
        <w:rPr>
          <w:rFonts w:hint="cs"/>
          <w:color w:val="000000"/>
          <w:rtl/>
          <w:lang w:val="en-GB" w:bidi="ar-EG"/>
        </w:rPr>
        <w:t xml:space="preserve"> لوثائق ومنشورات الاتحاد. كما </w:t>
      </w:r>
      <w:r w:rsidR="001B6B1A">
        <w:rPr>
          <w:rFonts w:hint="cs"/>
          <w:color w:val="000000"/>
          <w:rtl/>
          <w:lang w:val="en-GB" w:bidi="ar-EG"/>
        </w:rPr>
        <w:t xml:space="preserve">ينص </w:t>
      </w:r>
      <w:r>
        <w:rPr>
          <w:rFonts w:hint="cs"/>
          <w:color w:val="000000"/>
          <w:rtl/>
          <w:lang w:val="en-GB" w:bidi="ar-EG"/>
        </w:rPr>
        <w:t xml:space="preserve">القرار </w:t>
      </w:r>
      <w:r>
        <w:rPr>
          <w:color w:val="000000"/>
          <w:lang w:val="en-GB" w:bidi="ar-EG"/>
        </w:rPr>
        <w:t>123</w:t>
      </w:r>
      <w:r>
        <w:rPr>
          <w:rFonts w:hint="cs"/>
          <w:color w:val="000000"/>
          <w:rtl/>
          <w:lang w:val="en-GB" w:bidi="ar-EG"/>
        </w:rPr>
        <w:t xml:space="preserve"> لمؤتمر المندوبين المفوضين </w:t>
      </w:r>
      <w:r w:rsidR="001B6B1A">
        <w:rPr>
          <w:rFonts w:hint="cs"/>
          <w:color w:val="000000"/>
          <w:rtl/>
          <w:lang w:val="en-GB" w:bidi="ar-EG"/>
        </w:rPr>
        <w:t xml:space="preserve">على </w:t>
      </w:r>
      <w:r>
        <w:rPr>
          <w:rFonts w:hint="cs"/>
          <w:color w:val="000000"/>
          <w:rtl/>
          <w:lang w:val="en-GB" w:bidi="ar-EG"/>
        </w:rPr>
        <w:t xml:space="preserve">الاستعانة باستعمال وسائل العمل الإلكترونية لتسهيل مشاركة البلدان النامية. وأخيراً، </w:t>
      </w:r>
      <w:r w:rsidR="001B6B1A">
        <w:rPr>
          <w:rFonts w:hint="cs"/>
          <w:color w:val="000000"/>
          <w:rtl/>
          <w:lang w:val="en-GB" w:bidi="ar-EG"/>
        </w:rPr>
        <w:t xml:space="preserve">ينص </w:t>
      </w:r>
      <w:r>
        <w:rPr>
          <w:rFonts w:hint="cs"/>
          <w:color w:val="000000"/>
          <w:rtl/>
          <w:lang w:val="en-GB" w:bidi="ar-EG"/>
        </w:rPr>
        <w:t>القرار</w:t>
      </w:r>
      <w:r w:rsidR="00D70681">
        <w:rPr>
          <w:rFonts w:hint="eastAsia"/>
          <w:color w:val="000000"/>
          <w:rtl/>
          <w:lang w:val="en-GB" w:bidi="ar-EG"/>
        </w:rPr>
        <w:t> </w:t>
      </w:r>
      <w:r w:rsidR="00D9674B">
        <w:rPr>
          <w:color w:val="000000"/>
          <w:lang w:val="en-GB" w:bidi="ar-EG"/>
        </w:rPr>
        <w:t>166</w:t>
      </w:r>
      <w:r>
        <w:rPr>
          <w:rFonts w:hint="cs"/>
          <w:color w:val="000000"/>
          <w:rtl/>
          <w:lang w:val="en-GB" w:bidi="ar-EG"/>
        </w:rPr>
        <w:t xml:space="preserve"> لمؤتمر المندوبين المفوضين </w:t>
      </w:r>
      <w:r w:rsidR="001B6B1A">
        <w:rPr>
          <w:rFonts w:hint="cs"/>
          <w:color w:val="000000"/>
          <w:rtl/>
          <w:lang w:val="en-GB" w:bidi="ar-EG"/>
        </w:rPr>
        <w:t xml:space="preserve">على </w:t>
      </w:r>
      <w:r>
        <w:rPr>
          <w:rFonts w:hint="cs"/>
          <w:color w:val="000000"/>
          <w:rtl/>
          <w:lang w:val="en-GB" w:bidi="ar-EG"/>
        </w:rPr>
        <w:t>الاستعانة بقدرات الاجتماعات</w:t>
      </w:r>
      <w:r>
        <w:rPr>
          <w:rFonts w:hint="eastAsia"/>
          <w:color w:val="000000"/>
          <w:rtl/>
          <w:lang w:val="en-GB" w:bidi="ar-EG"/>
        </w:rPr>
        <w:t> </w:t>
      </w:r>
      <w:r>
        <w:rPr>
          <w:rFonts w:hint="cs"/>
          <w:color w:val="000000"/>
          <w:rtl/>
          <w:lang w:val="en-GB" w:bidi="ar-EG"/>
        </w:rPr>
        <w:t>الإلكترونية.</w:t>
      </w:r>
    </w:p>
    <w:p w:rsidR="000A4F57" w:rsidRDefault="000A4F57" w:rsidP="000A4F57">
      <w:pPr>
        <w:rPr>
          <w:rtl/>
          <w:lang w:val="en-GB" w:bidi="ar-EG"/>
        </w:rPr>
      </w:pPr>
      <w:r>
        <w:rPr>
          <w:rFonts w:hint="cs"/>
          <w:color w:val="000000"/>
          <w:rtl/>
          <w:lang w:val="en-GB" w:bidi="ar-EG"/>
        </w:rPr>
        <w:t>ولم تعد هناك أي حاجة لإيلاء اهتمام خاص بوسائل العمل الإلكترونية، لأنها ببساطة أصبحت مجموعة فرعية من أساليب العمل بوجهٍ</w:t>
      </w:r>
      <w:r>
        <w:rPr>
          <w:rFonts w:hint="eastAsia"/>
          <w:color w:val="000000"/>
          <w:rtl/>
          <w:lang w:val="en-GB" w:bidi="ar-EG"/>
        </w:rPr>
        <w:t> </w:t>
      </w:r>
      <w:r>
        <w:rPr>
          <w:rFonts w:hint="cs"/>
          <w:color w:val="000000"/>
          <w:rtl/>
          <w:lang w:val="en-GB" w:bidi="ar-EG"/>
        </w:rPr>
        <w:t>عام.</w:t>
      </w:r>
    </w:p>
    <w:p w:rsidR="00D9674B" w:rsidRDefault="00D9674B" w:rsidP="00D9674B">
      <w:pPr>
        <w:pStyle w:val="Headingb"/>
      </w:pPr>
      <w:r>
        <w:rPr>
          <w:rFonts w:hint="cs"/>
          <w:rtl/>
        </w:rPr>
        <w:t>المقترح</w:t>
      </w:r>
    </w:p>
    <w:p w:rsidR="00D9674B" w:rsidRDefault="00D9674B" w:rsidP="00D70681">
      <w:pPr>
        <w:rPr>
          <w:rtl/>
        </w:rPr>
      </w:pPr>
      <w:r>
        <w:rPr>
          <w:rFonts w:hint="cs"/>
          <w:color w:val="000000"/>
          <w:rtl/>
        </w:rPr>
        <w:t xml:space="preserve">تقترح </w:t>
      </w:r>
      <w:r>
        <w:rPr>
          <w:rtl/>
        </w:rPr>
        <w:t xml:space="preserve">الدول الأعضاء في لجنة البلدان الأمريكية للاتصالات </w:t>
      </w:r>
      <w:r>
        <w:rPr>
          <w:rFonts w:hint="cs"/>
          <w:color w:val="000000"/>
          <w:rtl/>
        </w:rPr>
        <w:t xml:space="preserve">إلغاء القرار </w:t>
      </w:r>
      <w:r>
        <w:rPr>
          <w:color w:val="000000"/>
        </w:rPr>
        <w:t>32</w:t>
      </w:r>
      <w:r>
        <w:rPr>
          <w:rFonts w:hint="cs"/>
          <w:color w:val="000000"/>
          <w:rtl/>
        </w:rPr>
        <w:t xml:space="preserve">، حيث </w:t>
      </w:r>
      <w:r w:rsidR="001A51E0">
        <w:rPr>
          <w:rFonts w:hint="cs"/>
          <w:color w:val="000000"/>
          <w:rtl/>
        </w:rPr>
        <w:t xml:space="preserve">إن </w:t>
      </w:r>
      <w:r>
        <w:rPr>
          <w:rFonts w:hint="cs"/>
          <w:color w:val="000000"/>
          <w:rtl/>
        </w:rPr>
        <w:t xml:space="preserve">وسائل العمل الإلكترونية </w:t>
      </w:r>
      <w:r w:rsidR="001A51E0">
        <w:rPr>
          <w:rFonts w:hint="cs"/>
          <w:color w:val="000000"/>
          <w:rtl/>
        </w:rPr>
        <w:t xml:space="preserve">أصبحت </w:t>
      </w:r>
      <w:r>
        <w:rPr>
          <w:rFonts w:hint="cs"/>
          <w:color w:val="000000"/>
          <w:rtl/>
        </w:rPr>
        <w:t>جزءاً عادياً</w:t>
      </w:r>
      <w:r w:rsidR="000C4A74">
        <w:rPr>
          <w:rFonts w:hint="cs"/>
          <w:color w:val="000000"/>
          <w:rtl/>
        </w:rPr>
        <w:t xml:space="preserve"> من أساليب العمل بوجهٍ عام. واستفاضت</w:t>
      </w:r>
      <w:r>
        <w:rPr>
          <w:rFonts w:hint="cs"/>
          <w:color w:val="000000"/>
          <w:rtl/>
        </w:rPr>
        <w:t xml:space="preserve"> </w:t>
      </w:r>
      <w:r w:rsidR="000C4A74">
        <w:rPr>
          <w:rFonts w:hint="cs"/>
          <w:color w:val="000000"/>
          <w:rtl/>
        </w:rPr>
        <w:t>نصوص أخرى في</w:t>
      </w:r>
      <w:r w:rsidR="005E200B">
        <w:rPr>
          <w:rFonts w:hint="cs"/>
          <w:color w:val="000000"/>
          <w:rtl/>
        </w:rPr>
        <w:t xml:space="preserve"> موضوع</w:t>
      </w:r>
      <w:r w:rsidR="000C4A74">
        <w:rPr>
          <w:rFonts w:hint="cs"/>
          <w:color w:val="000000"/>
          <w:rtl/>
        </w:rPr>
        <w:t xml:space="preserve"> </w:t>
      </w:r>
      <w:r>
        <w:rPr>
          <w:rFonts w:hint="cs"/>
          <w:color w:val="000000"/>
          <w:rtl/>
        </w:rPr>
        <w:t>استعم</w:t>
      </w:r>
      <w:r w:rsidR="000C4A74">
        <w:rPr>
          <w:rFonts w:hint="cs"/>
          <w:color w:val="000000"/>
          <w:rtl/>
        </w:rPr>
        <w:t>ال هذه الوسائل</w:t>
      </w:r>
      <w:r>
        <w:rPr>
          <w:rFonts w:hint="cs"/>
          <w:color w:val="000000"/>
          <w:rtl/>
        </w:rPr>
        <w:t>، وتخضع الوسائل والأدوات الإلكترونية لتحسينات مستمرة نتيجةً للمقترحات المقدمة من الأعضاء والمشاركين ومبادرات مكتب تقييس</w:t>
      </w:r>
      <w:r w:rsidR="00D70681">
        <w:rPr>
          <w:rFonts w:hint="eastAsia"/>
          <w:color w:val="000000"/>
          <w:rtl/>
        </w:rPr>
        <w:t> </w:t>
      </w:r>
      <w:r>
        <w:rPr>
          <w:rFonts w:hint="cs"/>
          <w:color w:val="000000"/>
          <w:rtl/>
        </w:rPr>
        <w:t>الاتصالات.</w:t>
      </w:r>
    </w:p>
    <w:p w:rsidR="00D9674B" w:rsidRPr="004D74B3" w:rsidRDefault="00D9674B" w:rsidP="000A4F57">
      <w:pPr>
        <w:rPr>
          <w:rtl/>
          <w:lang w:val="en-GB"/>
        </w:rPr>
      </w:pPr>
    </w:p>
    <w:p w:rsidR="000A4F57" w:rsidRDefault="000A4F57">
      <w:pPr>
        <w:tabs>
          <w:tab w:val="clear" w:pos="1134"/>
        </w:tabs>
        <w:bidi w:val="0"/>
        <w:spacing w:before="0" w:after="160" w:line="259" w:lineRule="auto"/>
        <w:jc w:val="left"/>
        <w:rPr>
          <w:lang w:bidi="ar-EG"/>
        </w:rPr>
      </w:pPr>
      <w:r>
        <w:rPr>
          <w:rtl/>
          <w:lang w:bidi="ar-EG"/>
        </w:rPr>
        <w:br w:type="page"/>
      </w:r>
    </w:p>
    <w:p w:rsidR="007133F3" w:rsidRDefault="004128C0">
      <w:pPr>
        <w:pStyle w:val="Proposal"/>
      </w:pPr>
      <w:r>
        <w:lastRenderedPageBreak/>
        <w:t>SUP</w:t>
      </w:r>
      <w:r>
        <w:tab/>
        <w:t>IAP/46A3/1</w:t>
      </w:r>
    </w:p>
    <w:p w:rsidR="00973933" w:rsidRPr="000232DA" w:rsidRDefault="004128C0" w:rsidP="004A34E0">
      <w:pPr>
        <w:pStyle w:val="ResNo"/>
        <w:rPr>
          <w:rtl/>
          <w:lang w:bidi="ar-SY"/>
        </w:rPr>
      </w:pPr>
      <w:bookmarkStart w:id="0" w:name="_Toc349551563"/>
      <w:r w:rsidRPr="000232DA">
        <w:rPr>
          <w:rFonts w:hint="cs"/>
          <w:rtl/>
        </w:rPr>
        <w:t>ال</w:t>
      </w:r>
      <w:r w:rsidRPr="000232DA">
        <w:rPr>
          <w:rtl/>
        </w:rPr>
        <w:t>ق</w:t>
      </w:r>
      <w:r w:rsidRPr="000232DA">
        <w:rPr>
          <w:rFonts w:hint="cs"/>
          <w:rtl/>
        </w:rPr>
        <w:t>ـ</w:t>
      </w:r>
      <w:r w:rsidRPr="000232DA">
        <w:rPr>
          <w:rtl/>
        </w:rPr>
        <w:t xml:space="preserve">رار </w:t>
      </w:r>
      <w:r w:rsidRPr="00687D9E">
        <w:rPr>
          <w:rStyle w:val="href"/>
        </w:rPr>
        <w:t>32</w:t>
      </w:r>
      <w:r w:rsidRPr="001F1EC6">
        <w:rPr>
          <w:rFonts w:hint="cs"/>
          <w:rtl/>
        </w:rPr>
        <w:t xml:space="preserve"> (المراجَع في دبي، </w:t>
      </w:r>
      <w:r w:rsidRPr="001F1EC6">
        <w:t>2012</w:t>
      </w:r>
      <w:r w:rsidRPr="001F1EC6">
        <w:rPr>
          <w:rFonts w:hint="cs"/>
          <w:rtl/>
        </w:rPr>
        <w:t>)</w:t>
      </w:r>
      <w:bookmarkEnd w:id="0"/>
    </w:p>
    <w:p w:rsidR="00973933" w:rsidRDefault="004128C0" w:rsidP="00973933">
      <w:pPr>
        <w:pStyle w:val="Restitle"/>
        <w:keepLines/>
        <w:rPr>
          <w:rtl/>
          <w:lang w:bidi="ar-EG"/>
        </w:rPr>
      </w:pPr>
      <w:bookmarkStart w:id="1" w:name="_Toc349551564"/>
      <w:r>
        <w:rPr>
          <w:rFonts w:hint="cs"/>
          <w:rtl/>
        </w:rPr>
        <w:t>تعزيز وسائل العمل الإلكترونية في أعمال</w:t>
      </w:r>
      <w:r>
        <w:rPr>
          <w:rtl/>
        </w:rPr>
        <w:br/>
      </w:r>
      <w:r>
        <w:rPr>
          <w:rFonts w:hint="cs"/>
          <w:rtl/>
        </w:rPr>
        <w:t>قطاع تقييس الاتصالات للاتحاد الدولي للاتصالات</w:t>
      </w:r>
      <w:bookmarkEnd w:id="1"/>
    </w:p>
    <w:p w:rsidR="00973933" w:rsidRPr="00107483" w:rsidRDefault="004128C0" w:rsidP="00222182">
      <w:pPr>
        <w:pStyle w:val="Resref"/>
        <w:spacing w:after="360"/>
        <w:rPr>
          <w:rFonts w:ascii="Times New Roman italic" w:hAnsi="Times New Roman italic"/>
          <w:iCs/>
          <w:rtl/>
        </w:rPr>
      </w:pPr>
      <w:r w:rsidRPr="00107483">
        <w:rPr>
          <w:rFonts w:ascii="Times New Roman italic" w:hAnsi="Times New Roman italic" w:hint="cs"/>
          <w:iCs/>
          <w:rtl/>
          <w:lang w:val="es-ES"/>
        </w:rPr>
        <w:t xml:space="preserve">(مونتريال، </w:t>
      </w:r>
      <w:r w:rsidRPr="00107483">
        <w:rPr>
          <w:rFonts w:ascii="Times New Roman italic" w:hAnsi="Times New Roman italic"/>
          <w:iCs/>
          <w:lang w:val="es-ES"/>
        </w:rPr>
        <w:t>2000</w:t>
      </w:r>
      <w:r w:rsidRPr="00107483">
        <w:rPr>
          <w:rFonts w:ascii="Times New Roman italic" w:hAnsi="Times New Roman italic" w:hint="cs"/>
          <w:iCs/>
          <w:rtl/>
          <w:lang w:val="es-ES"/>
        </w:rPr>
        <w:t xml:space="preserve">؛ فلوريانوبوليس، </w:t>
      </w:r>
      <w:r w:rsidRPr="00107483">
        <w:rPr>
          <w:rFonts w:ascii="Times New Roman italic" w:hAnsi="Times New Roman italic"/>
          <w:iCs/>
        </w:rPr>
        <w:t>2004</w:t>
      </w:r>
      <w:r w:rsidRPr="00107483">
        <w:rPr>
          <w:rFonts w:ascii="Times New Roman italic" w:hAnsi="Times New Roman italic" w:hint="cs"/>
          <w:iCs/>
          <w:rtl/>
        </w:rPr>
        <w:t xml:space="preserve">؛ جوهانسبرغ، </w:t>
      </w:r>
      <w:r w:rsidRPr="00107483">
        <w:rPr>
          <w:rFonts w:ascii="Times New Roman italic" w:hAnsi="Times New Roman italic"/>
          <w:iCs/>
        </w:rPr>
        <w:t>2008</w:t>
      </w:r>
      <w:r w:rsidRPr="00107483">
        <w:rPr>
          <w:rFonts w:ascii="Times New Roman italic" w:hAnsi="Times New Roman italic" w:hint="cs"/>
          <w:iCs/>
          <w:rtl/>
        </w:rPr>
        <w:t xml:space="preserve">؛ دبي، </w:t>
      </w:r>
      <w:r w:rsidRPr="00107483">
        <w:rPr>
          <w:rFonts w:ascii="Times New Roman italic" w:hAnsi="Times New Roman italic"/>
          <w:iCs/>
        </w:rPr>
        <w:t>2012</w:t>
      </w:r>
      <w:r w:rsidRPr="00107483">
        <w:rPr>
          <w:rFonts w:ascii="Times New Roman italic" w:hAnsi="Times New Roman italic" w:hint="cs"/>
          <w:iCs/>
          <w:rtl/>
          <w:lang w:val="es-ES"/>
        </w:rPr>
        <w:t>)</w:t>
      </w:r>
    </w:p>
    <w:p w:rsidR="007133F3" w:rsidRDefault="004128C0">
      <w:pPr>
        <w:pStyle w:val="Reasons"/>
        <w:rPr>
          <w:b w:val="0"/>
          <w:bCs w:val="0"/>
          <w:rtl/>
        </w:rPr>
      </w:pPr>
      <w:r>
        <w:rPr>
          <w:rtl/>
        </w:rPr>
        <w:t>الأسباب:</w:t>
      </w:r>
      <w:r>
        <w:tab/>
      </w:r>
      <w:r w:rsidR="002915CB" w:rsidRPr="002915CB">
        <w:rPr>
          <w:rFonts w:hint="cs"/>
          <w:b w:val="0"/>
          <w:bCs w:val="0"/>
          <w:rtl/>
        </w:rPr>
        <w:t xml:space="preserve">انظر المقدمة والمقترح في الوثيقة </w:t>
      </w:r>
      <w:r w:rsidR="002915CB" w:rsidRPr="002915CB">
        <w:rPr>
          <w:b w:val="0"/>
          <w:bCs w:val="0"/>
        </w:rPr>
        <w:t>46</w:t>
      </w:r>
      <w:r w:rsidR="002915CB" w:rsidRPr="002915CB">
        <w:rPr>
          <w:rFonts w:hint="cs"/>
          <w:b w:val="0"/>
          <w:bCs w:val="0"/>
          <w:rtl/>
        </w:rPr>
        <w:t xml:space="preserve"> (الإضافة </w:t>
      </w:r>
      <w:r w:rsidR="002915CB" w:rsidRPr="002915CB">
        <w:rPr>
          <w:b w:val="0"/>
          <w:bCs w:val="0"/>
        </w:rPr>
        <w:t>3</w:t>
      </w:r>
      <w:r w:rsidR="002915CB" w:rsidRPr="002915CB">
        <w:rPr>
          <w:rFonts w:hint="cs"/>
          <w:b w:val="0"/>
          <w:bCs w:val="0"/>
          <w:rtl/>
        </w:rPr>
        <w:t>)</w:t>
      </w:r>
      <w:r w:rsidR="00DB550F">
        <w:rPr>
          <w:rFonts w:hint="cs"/>
          <w:b w:val="0"/>
          <w:bCs w:val="0"/>
          <w:rtl/>
        </w:rPr>
        <w:t>.</w:t>
      </w:r>
    </w:p>
    <w:p w:rsidR="00445BB9" w:rsidRPr="00445BB9" w:rsidRDefault="00445BB9" w:rsidP="00445BB9">
      <w:pPr>
        <w:pStyle w:val="Reasons"/>
        <w:rPr>
          <w:rtl/>
        </w:rPr>
      </w:pPr>
      <w:bookmarkStart w:id="2" w:name="_GoBack"/>
      <w:bookmarkEnd w:id="2"/>
    </w:p>
    <w:p w:rsidR="004128C0" w:rsidRPr="004128C0" w:rsidRDefault="00222182" w:rsidP="00222182">
      <w:pPr>
        <w:spacing w:before="600"/>
        <w:jc w:val="center"/>
        <w:rPr>
          <w:rtl/>
        </w:rPr>
      </w:pPr>
      <w:r>
        <w:rPr>
          <w:rtl/>
        </w:rPr>
        <w:t>___________</w:t>
      </w:r>
    </w:p>
    <w:sectPr w:rsidR="004128C0" w:rsidRPr="004128C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4128C0"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128C0">
      <w:rPr>
        <w:rFonts w:cs="Times New Roman"/>
        <w:sz w:val="16"/>
        <w:szCs w:val="16"/>
        <w:lang w:val="fr-CH"/>
      </w:rPr>
      <w:instrText xml:space="preserve"> FILENAME \p \* MERGEFORMAT </w:instrText>
    </w:r>
    <w:r w:rsidRPr="00E07379">
      <w:rPr>
        <w:rFonts w:cs="Times New Roman"/>
        <w:sz w:val="16"/>
        <w:szCs w:val="16"/>
      </w:rPr>
      <w:fldChar w:fldCharType="separate"/>
    </w:r>
    <w:r w:rsidR="00DB550F">
      <w:rPr>
        <w:rFonts w:cs="Times New Roman"/>
        <w:noProof/>
        <w:sz w:val="16"/>
        <w:szCs w:val="16"/>
        <w:lang w:val="fr-CH"/>
      </w:rPr>
      <w:t>P:\ARA\ITU-T\CONF-T\WTSA16\000\046ADD03A.docx</w:t>
    </w:r>
    <w:r w:rsidRPr="00E07379">
      <w:rPr>
        <w:rFonts w:cs="Times New Roman"/>
        <w:sz w:val="16"/>
        <w:szCs w:val="16"/>
      </w:rPr>
      <w:fldChar w:fldCharType="end"/>
    </w:r>
    <w:r w:rsidR="004128C0">
      <w:rPr>
        <w:rFonts w:cs="Times New Roman"/>
        <w:sz w:val="16"/>
        <w:szCs w:val="16"/>
        <w:lang w:val="fr-CH"/>
      </w:rPr>
      <w:t xml:space="preserve">   (405036)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C0" w:rsidRPr="004128C0" w:rsidRDefault="004128C0" w:rsidP="004128C0">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128C0">
      <w:rPr>
        <w:rFonts w:cs="Times New Roman"/>
        <w:sz w:val="16"/>
        <w:szCs w:val="16"/>
        <w:lang w:val="fr-CH"/>
      </w:rPr>
      <w:instrText xml:space="preserve"> FILENAME \p \* MERGEFORMAT </w:instrText>
    </w:r>
    <w:r w:rsidRPr="00E07379">
      <w:rPr>
        <w:rFonts w:cs="Times New Roman"/>
        <w:sz w:val="16"/>
        <w:szCs w:val="16"/>
      </w:rPr>
      <w:fldChar w:fldCharType="separate"/>
    </w:r>
    <w:r w:rsidR="00DB550F">
      <w:rPr>
        <w:rFonts w:cs="Times New Roman"/>
        <w:noProof/>
        <w:sz w:val="16"/>
        <w:szCs w:val="16"/>
        <w:lang w:val="fr-CH"/>
      </w:rPr>
      <w:t>P:\ARA\ITU-T\CONF-T\WTSA16\000\046ADD03A.docx</w:t>
    </w:r>
    <w:r w:rsidRPr="00E07379">
      <w:rPr>
        <w:rFonts w:cs="Times New Roman"/>
        <w:sz w:val="16"/>
        <w:szCs w:val="16"/>
      </w:rPr>
      <w:fldChar w:fldCharType="end"/>
    </w:r>
    <w:r>
      <w:rPr>
        <w:rFonts w:cs="Times New Roman"/>
        <w:sz w:val="16"/>
        <w:szCs w:val="16"/>
        <w:lang w:val="fr-CH"/>
      </w:rPr>
      <w:t xml:space="preserve">   (405036)</w:t>
    </w:r>
  </w:p>
  <w:p w:rsidR="00E07379" w:rsidRPr="004128C0"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45BB9">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08B6"/>
    <w:rsid w:val="0008638B"/>
    <w:rsid w:val="000875EB"/>
    <w:rsid w:val="00090574"/>
    <w:rsid w:val="00092FC2"/>
    <w:rsid w:val="00094793"/>
    <w:rsid w:val="00096CD1"/>
    <w:rsid w:val="000A1677"/>
    <w:rsid w:val="000A31BF"/>
    <w:rsid w:val="000A4F57"/>
    <w:rsid w:val="000B407F"/>
    <w:rsid w:val="000C4A74"/>
    <w:rsid w:val="000F0B1C"/>
    <w:rsid w:val="000F1D42"/>
    <w:rsid w:val="000F4D07"/>
    <w:rsid w:val="00102A03"/>
    <w:rsid w:val="001040A3"/>
    <w:rsid w:val="00107483"/>
    <w:rsid w:val="00173915"/>
    <w:rsid w:val="001A51E0"/>
    <w:rsid w:val="001B6B1A"/>
    <w:rsid w:val="00203D18"/>
    <w:rsid w:val="00222182"/>
    <w:rsid w:val="0022345D"/>
    <w:rsid w:val="00225854"/>
    <w:rsid w:val="002279E5"/>
    <w:rsid w:val="0023283D"/>
    <w:rsid w:val="00252E0C"/>
    <w:rsid w:val="00276881"/>
    <w:rsid w:val="002915CB"/>
    <w:rsid w:val="002978F4"/>
    <w:rsid w:val="002A6FAA"/>
    <w:rsid w:val="002B028D"/>
    <w:rsid w:val="002B435E"/>
    <w:rsid w:val="002C4DAE"/>
    <w:rsid w:val="002C63BB"/>
    <w:rsid w:val="002E6541"/>
    <w:rsid w:val="002F5560"/>
    <w:rsid w:val="002F5957"/>
    <w:rsid w:val="0030486B"/>
    <w:rsid w:val="00311324"/>
    <w:rsid w:val="003231B9"/>
    <w:rsid w:val="003275AC"/>
    <w:rsid w:val="00333D29"/>
    <w:rsid w:val="0033558E"/>
    <w:rsid w:val="003409F4"/>
    <w:rsid w:val="00357185"/>
    <w:rsid w:val="003C475F"/>
    <w:rsid w:val="003E0DB0"/>
    <w:rsid w:val="003E4132"/>
    <w:rsid w:val="003F678F"/>
    <w:rsid w:val="004128C0"/>
    <w:rsid w:val="0042686F"/>
    <w:rsid w:val="004367CE"/>
    <w:rsid w:val="00443869"/>
    <w:rsid w:val="00445BB9"/>
    <w:rsid w:val="004712C6"/>
    <w:rsid w:val="00481486"/>
    <w:rsid w:val="00497703"/>
    <w:rsid w:val="004A34E0"/>
    <w:rsid w:val="004F0F06"/>
    <w:rsid w:val="00501E0E"/>
    <w:rsid w:val="005204D7"/>
    <w:rsid w:val="00552BC5"/>
    <w:rsid w:val="0055516A"/>
    <w:rsid w:val="0056374C"/>
    <w:rsid w:val="0056614F"/>
    <w:rsid w:val="0057656F"/>
    <w:rsid w:val="00576731"/>
    <w:rsid w:val="0059285F"/>
    <w:rsid w:val="005969BF"/>
    <w:rsid w:val="005A24B1"/>
    <w:rsid w:val="005B7B8A"/>
    <w:rsid w:val="005D6476"/>
    <w:rsid w:val="005D6C0D"/>
    <w:rsid w:val="005E200B"/>
    <w:rsid w:val="005E5283"/>
    <w:rsid w:val="005E58F5"/>
    <w:rsid w:val="00606660"/>
    <w:rsid w:val="006157A3"/>
    <w:rsid w:val="00620E60"/>
    <w:rsid w:val="0063315A"/>
    <w:rsid w:val="0065591D"/>
    <w:rsid w:val="00662C5A"/>
    <w:rsid w:val="00670AF5"/>
    <w:rsid w:val="006C1556"/>
    <w:rsid w:val="006E72FE"/>
    <w:rsid w:val="006F267F"/>
    <w:rsid w:val="006F63F7"/>
    <w:rsid w:val="006F6F03"/>
    <w:rsid w:val="00706D7A"/>
    <w:rsid w:val="007133F3"/>
    <w:rsid w:val="00726AEC"/>
    <w:rsid w:val="0074200D"/>
    <w:rsid w:val="007530CA"/>
    <w:rsid w:val="0079553D"/>
    <w:rsid w:val="007B01CC"/>
    <w:rsid w:val="007D4799"/>
    <w:rsid w:val="007F646C"/>
    <w:rsid w:val="00801FCD"/>
    <w:rsid w:val="00803D7E"/>
    <w:rsid w:val="00803F08"/>
    <w:rsid w:val="00811B51"/>
    <w:rsid w:val="008235CD"/>
    <w:rsid w:val="00823A07"/>
    <w:rsid w:val="00835FEC"/>
    <w:rsid w:val="008513CB"/>
    <w:rsid w:val="00874D9C"/>
    <w:rsid w:val="008A1810"/>
    <w:rsid w:val="00917694"/>
    <w:rsid w:val="009263CD"/>
    <w:rsid w:val="00930E6D"/>
    <w:rsid w:val="00972CA2"/>
    <w:rsid w:val="00982B28"/>
    <w:rsid w:val="00984EA5"/>
    <w:rsid w:val="00992593"/>
    <w:rsid w:val="009C17E1"/>
    <w:rsid w:val="009C35ED"/>
    <w:rsid w:val="009F1C12"/>
    <w:rsid w:val="00A25A43"/>
    <w:rsid w:val="00A3295B"/>
    <w:rsid w:val="00A427AC"/>
    <w:rsid w:val="00A42AE5"/>
    <w:rsid w:val="00A52B61"/>
    <w:rsid w:val="00A63F10"/>
    <w:rsid w:val="00A64820"/>
    <w:rsid w:val="00A71DD6"/>
    <w:rsid w:val="00A723C7"/>
    <w:rsid w:val="00A80E11"/>
    <w:rsid w:val="00A97F94"/>
    <w:rsid w:val="00AB1309"/>
    <w:rsid w:val="00AC2C52"/>
    <w:rsid w:val="00AD1503"/>
    <w:rsid w:val="00AE7244"/>
    <w:rsid w:val="00AE7588"/>
    <w:rsid w:val="00AF3FEE"/>
    <w:rsid w:val="00B02F46"/>
    <w:rsid w:val="00B2000C"/>
    <w:rsid w:val="00B20ADE"/>
    <w:rsid w:val="00B66B9A"/>
    <w:rsid w:val="00B82089"/>
    <w:rsid w:val="00B970AE"/>
    <w:rsid w:val="00BA1427"/>
    <w:rsid w:val="00BE49D0"/>
    <w:rsid w:val="00BF2C38"/>
    <w:rsid w:val="00C23331"/>
    <w:rsid w:val="00C265DA"/>
    <w:rsid w:val="00C26F91"/>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EB"/>
    <w:rsid w:val="00D21C89"/>
    <w:rsid w:val="00D45542"/>
    <w:rsid w:val="00D70681"/>
    <w:rsid w:val="00D77D0F"/>
    <w:rsid w:val="00D9674B"/>
    <w:rsid w:val="00DA1CF0"/>
    <w:rsid w:val="00DB2271"/>
    <w:rsid w:val="00DB550F"/>
    <w:rsid w:val="00DB5659"/>
    <w:rsid w:val="00DC24B4"/>
    <w:rsid w:val="00DD7A05"/>
    <w:rsid w:val="00DF16DC"/>
    <w:rsid w:val="00DF5361"/>
    <w:rsid w:val="00E009A1"/>
    <w:rsid w:val="00E00D15"/>
    <w:rsid w:val="00E071BE"/>
    <w:rsid w:val="00E07379"/>
    <w:rsid w:val="00E14494"/>
    <w:rsid w:val="00E17033"/>
    <w:rsid w:val="00E32189"/>
    <w:rsid w:val="00E45211"/>
    <w:rsid w:val="00E708BB"/>
    <w:rsid w:val="00E7380C"/>
    <w:rsid w:val="00E74BE7"/>
    <w:rsid w:val="00E86CC9"/>
    <w:rsid w:val="00E96624"/>
    <w:rsid w:val="00F126F1"/>
    <w:rsid w:val="00F2106A"/>
    <w:rsid w:val="00F36D8B"/>
    <w:rsid w:val="00F401D0"/>
    <w:rsid w:val="00F45F2B"/>
    <w:rsid w:val="00F548DE"/>
    <w:rsid w:val="00F555CD"/>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AA"/>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8a154cf-03f9-4fe2-b5f9-b900285af3f9">Documents Proposals Manager (DPM)</DPM_x0020_Author>
    <DPM_x0020_File_x0020_name xmlns="98a154cf-03f9-4fe2-b5f9-b900285af3f9">T13-WTSA.16-C-0046!A3!MSW-A</DPM_x0020_File_x0020_name>
    <DPM_x0020_Version xmlns="98a154cf-03f9-4fe2-b5f9-b900285af3f9">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a154cf-03f9-4fe2-b5f9-b900285af3f9" targetNamespace="http://schemas.microsoft.com/office/2006/metadata/properties" ma:root="true" ma:fieldsID="d41af5c836d734370eb92e7ee5f83852" ns2:_="" ns3:_="">
    <xsd:import namespace="996b2e75-67fd-4955-a3b0-5ab9934cb50b"/>
    <xsd:import namespace="98a154cf-03f9-4fe2-b5f9-b900285af3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a154cf-03f9-4fe2-b5f9-b900285af3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8a154cf-03f9-4fe2-b5f9-b900285af3f9"/>
    <ds:schemaRef ds:uri="http://schemas.openxmlformats.org/package/2006/metadata/core-properties"/>
    <ds:schemaRef ds:uri="996b2e75-67fd-4955-a3b0-5ab9934cb50b"/>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a154cf-03f9-4fe2-b5f9-b900285a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8F4FA-1A7C-4924-845B-B86BB70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T13-WTSA.16-C-0046!A3!MSW-A</vt:lpstr>
    </vt:vector>
  </TitlesOfParts>
  <Company>International Telecommunication Union (ITU)</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20</cp:revision>
  <cp:lastPrinted>2016-09-30T13:04:00Z</cp:lastPrinted>
  <dcterms:created xsi:type="dcterms:W3CDTF">2016-09-30T12:58:00Z</dcterms:created>
  <dcterms:modified xsi:type="dcterms:W3CDTF">2016-09-30T16:35:00Z</dcterms:modified>
  <cp:category>Conference document</cp:category>
</cp:coreProperties>
</file>