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D67328" w:rsidTr="00530525">
        <w:trPr>
          <w:cantSplit/>
        </w:trPr>
        <w:tc>
          <w:tcPr>
            <w:tcW w:w="1382" w:type="dxa"/>
            <w:vAlign w:val="center"/>
          </w:tcPr>
          <w:p w:rsidR="00CF1E9D" w:rsidRPr="00D67328" w:rsidRDefault="00CF1E9D" w:rsidP="00182DA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D67328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D67328" w:rsidRDefault="001D581B" w:rsidP="00182DA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D673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D67328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D673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D67328" w:rsidRDefault="00CF1E9D" w:rsidP="00182DAD">
            <w:pPr>
              <w:spacing w:before="0"/>
              <w:jc w:val="right"/>
              <w:rPr>
                <w:lang w:val="fr-FR"/>
              </w:rPr>
            </w:pPr>
            <w:r w:rsidRPr="00D67328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D67328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D67328" w:rsidRDefault="00595780" w:rsidP="00182DA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D67328" w:rsidRDefault="00595780" w:rsidP="00182DAD">
            <w:pPr>
              <w:spacing w:before="0"/>
              <w:rPr>
                <w:lang w:val="fr-FR"/>
              </w:rPr>
            </w:pPr>
          </w:p>
        </w:tc>
      </w:tr>
      <w:tr w:rsidR="001D581B" w:rsidRPr="00D67328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D67328" w:rsidRDefault="00595780" w:rsidP="00182DA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D67328" w:rsidRDefault="00595780" w:rsidP="00182DA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D67328" w:rsidTr="00530525">
        <w:trPr>
          <w:cantSplit/>
        </w:trPr>
        <w:tc>
          <w:tcPr>
            <w:tcW w:w="6804" w:type="dxa"/>
            <w:gridSpan w:val="2"/>
          </w:tcPr>
          <w:p w:rsidR="00C26BA2" w:rsidRPr="00D67328" w:rsidRDefault="00C26BA2" w:rsidP="00182DAD">
            <w:pPr>
              <w:spacing w:before="0"/>
              <w:rPr>
                <w:lang w:val="fr-FR"/>
              </w:rPr>
            </w:pPr>
            <w:r w:rsidRPr="00D67328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D67328" w:rsidRDefault="00C26BA2" w:rsidP="00182DAD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D67328">
              <w:rPr>
                <w:rFonts w:ascii="Verdana" w:hAnsi="Verdana"/>
                <w:b/>
                <w:sz w:val="20"/>
                <w:lang w:val="fr-FR"/>
              </w:rPr>
              <w:t>Addendum 27 au</w:t>
            </w:r>
            <w:r w:rsidRPr="00D67328">
              <w:rPr>
                <w:rFonts w:ascii="Verdana" w:hAnsi="Verdana"/>
                <w:b/>
                <w:sz w:val="20"/>
                <w:lang w:val="fr-FR"/>
              </w:rPr>
              <w:br/>
              <w:t>Document 46-F</w:t>
            </w:r>
          </w:p>
        </w:tc>
      </w:tr>
      <w:tr w:rsidR="001D581B" w:rsidRPr="00D67328" w:rsidTr="00530525">
        <w:trPr>
          <w:cantSplit/>
        </w:trPr>
        <w:tc>
          <w:tcPr>
            <w:tcW w:w="6804" w:type="dxa"/>
            <w:gridSpan w:val="2"/>
          </w:tcPr>
          <w:p w:rsidR="00595780" w:rsidRPr="00D67328" w:rsidRDefault="00595780" w:rsidP="00182DA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D67328" w:rsidRDefault="00C26BA2" w:rsidP="00182DAD">
            <w:pPr>
              <w:spacing w:before="0"/>
              <w:rPr>
                <w:lang w:val="fr-FR"/>
              </w:rPr>
            </w:pPr>
            <w:r w:rsidRPr="00D67328">
              <w:rPr>
                <w:rFonts w:ascii="Verdana" w:hAnsi="Verdana"/>
                <w:b/>
                <w:sz w:val="20"/>
                <w:lang w:val="fr-FR"/>
              </w:rPr>
              <w:t>23 septembre 2016</w:t>
            </w:r>
          </w:p>
        </w:tc>
      </w:tr>
      <w:tr w:rsidR="001D581B" w:rsidRPr="00D67328" w:rsidTr="00530525">
        <w:trPr>
          <w:cantSplit/>
        </w:trPr>
        <w:tc>
          <w:tcPr>
            <w:tcW w:w="6804" w:type="dxa"/>
            <w:gridSpan w:val="2"/>
          </w:tcPr>
          <w:p w:rsidR="00595780" w:rsidRPr="00D67328" w:rsidRDefault="00595780" w:rsidP="00182DA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D67328" w:rsidRDefault="00C26BA2" w:rsidP="00182DAD">
            <w:pPr>
              <w:spacing w:before="0"/>
              <w:rPr>
                <w:lang w:val="fr-FR"/>
              </w:rPr>
            </w:pPr>
            <w:r w:rsidRPr="00D67328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D67328" w:rsidTr="00530525">
        <w:trPr>
          <w:cantSplit/>
        </w:trPr>
        <w:tc>
          <w:tcPr>
            <w:tcW w:w="9811" w:type="dxa"/>
            <w:gridSpan w:val="4"/>
          </w:tcPr>
          <w:p w:rsidR="000032AD" w:rsidRPr="00D67328" w:rsidRDefault="000032AD" w:rsidP="00182DA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835FD" w:rsidTr="00530525">
        <w:trPr>
          <w:cantSplit/>
        </w:trPr>
        <w:tc>
          <w:tcPr>
            <w:tcW w:w="9811" w:type="dxa"/>
            <w:gridSpan w:val="4"/>
          </w:tcPr>
          <w:p w:rsidR="00595780" w:rsidRPr="00D67328" w:rsidRDefault="00C26BA2" w:rsidP="00182DAD">
            <w:pPr>
              <w:pStyle w:val="Source"/>
              <w:rPr>
                <w:lang w:val="fr-FR"/>
              </w:rPr>
            </w:pPr>
            <w:proofErr w:type="spellStart"/>
            <w:r w:rsidRPr="00D67328">
              <w:rPr>
                <w:lang w:val="fr-FR"/>
              </w:rPr>
              <w:t>Etats</w:t>
            </w:r>
            <w:proofErr w:type="spellEnd"/>
            <w:r w:rsidRPr="00D67328">
              <w:rPr>
                <w:lang w:val="fr-FR"/>
              </w:rPr>
              <w:t xml:space="preserve"> Membres de la Commission interaméricaine des télécommunications (CITEL)</w:t>
            </w:r>
          </w:p>
        </w:tc>
      </w:tr>
      <w:tr w:rsidR="00595780" w:rsidRPr="00A835FD" w:rsidTr="00530525">
        <w:trPr>
          <w:cantSplit/>
        </w:trPr>
        <w:tc>
          <w:tcPr>
            <w:tcW w:w="9811" w:type="dxa"/>
            <w:gridSpan w:val="4"/>
          </w:tcPr>
          <w:p w:rsidR="00595780" w:rsidRPr="00D67328" w:rsidRDefault="00B2438A" w:rsidP="00182DAD">
            <w:pPr>
              <w:pStyle w:val="Title1"/>
              <w:rPr>
                <w:lang w:val="fr-FR"/>
              </w:rPr>
            </w:pPr>
            <w:r w:rsidRPr="00D67328">
              <w:rPr>
                <w:lang w:val="fr-FR"/>
              </w:rPr>
              <w:t xml:space="preserve">Proposition de </w:t>
            </w:r>
            <w:r w:rsidR="00C26BA2" w:rsidRPr="00D67328">
              <w:rPr>
                <w:lang w:val="fr-FR"/>
              </w:rPr>
              <w:t xml:space="preserve">suppression </w:t>
            </w:r>
            <w:r w:rsidRPr="00D67328">
              <w:rPr>
                <w:lang w:val="fr-FR"/>
              </w:rPr>
              <w:t xml:space="preserve">de la </w:t>
            </w:r>
            <w:r w:rsidR="00C26BA2" w:rsidRPr="00D67328">
              <w:rPr>
                <w:lang w:val="fr-FR"/>
              </w:rPr>
              <w:t>R</w:t>
            </w:r>
            <w:r w:rsidRPr="00D67328">
              <w:rPr>
                <w:lang w:val="fr-FR"/>
              </w:rPr>
              <w:t>é</w:t>
            </w:r>
            <w:r w:rsidR="00C26BA2" w:rsidRPr="00D67328">
              <w:rPr>
                <w:lang w:val="fr-FR"/>
              </w:rPr>
              <w:t xml:space="preserve">solution 45 </w:t>
            </w:r>
            <w:r w:rsidRPr="00D67328">
              <w:rPr>
                <w:lang w:val="fr-FR"/>
              </w:rPr>
              <w:t>de l'amnt</w:t>
            </w:r>
            <w:r w:rsidRPr="00D67328">
              <w:rPr>
                <w:lang w:val="fr-FR"/>
              </w:rPr>
              <w:noBreakHyphen/>
              <w:t xml:space="preserve">12 </w:t>
            </w:r>
            <w:r w:rsidR="00F5379F" w:rsidRPr="00F5379F">
              <w:rPr>
                <w:lang w:val="fr-FR"/>
              </w:rPr>
              <w:t>–</w:t>
            </w:r>
            <w:r w:rsidR="00C26BA2" w:rsidRPr="00D67328">
              <w:rPr>
                <w:lang w:val="fr-FR"/>
              </w:rPr>
              <w:t xml:space="preserve"> </w:t>
            </w:r>
            <w:r w:rsidRPr="00D67328">
              <w:rPr>
                <w:lang w:val="fr-FR"/>
              </w:rPr>
              <w:t xml:space="preserve">Coordination efficace des travaux de normalisation entre les commissions d'études du Secteur de la normalisation des télécommunications de l'UIT et rôle du Groupe consultatif de la normalisation </w:t>
            </w:r>
            <w:r w:rsidR="00A835FD">
              <w:rPr>
                <w:lang w:val="fr-FR"/>
              </w:rPr>
              <w:br/>
            </w:r>
            <w:r w:rsidRPr="00D67328">
              <w:rPr>
                <w:lang w:val="fr-FR"/>
              </w:rPr>
              <w:t>des télécommunications</w:t>
            </w:r>
          </w:p>
        </w:tc>
      </w:tr>
      <w:tr w:rsidR="00595780" w:rsidRPr="00A835FD" w:rsidTr="00530525">
        <w:trPr>
          <w:cantSplit/>
        </w:trPr>
        <w:tc>
          <w:tcPr>
            <w:tcW w:w="9811" w:type="dxa"/>
            <w:gridSpan w:val="4"/>
          </w:tcPr>
          <w:p w:rsidR="00595780" w:rsidRPr="00D67328" w:rsidRDefault="00595780" w:rsidP="00182DAD">
            <w:pPr>
              <w:pStyle w:val="Title2"/>
              <w:rPr>
                <w:lang w:val="fr-FR"/>
              </w:rPr>
            </w:pPr>
          </w:p>
        </w:tc>
      </w:tr>
    </w:tbl>
    <w:p w:rsidR="00E11197" w:rsidRPr="00D67328" w:rsidRDefault="00E11197" w:rsidP="00182DAD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A835FD" w:rsidTr="00193AD1">
        <w:trPr>
          <w:cantSplit/>
        </w:trPr>
        <w:tc>
          <w:tcPr>
            <w:tcW w:w="1951" w:type="dxa"/>
          </w:tcPr>
          <w:p w:rsidR="00E11197" w:rsidRPr="00D67328" w:rsidRDefault="00E11197" w:rsidP="00182DAD">
            <w:pPr>
              <w:rPr>
                <w:lang w:val="fr-FR"/>
              </w:rPr>
            </w:pPr>
            <w:r w:rsidRPr="00D67328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rFonts w:eastAsia="Times New Roman"/>
              <w:color w:val="000000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D67328" w:rsidRDefault="00B2438A" w:rsidP="00182DAD">
                <w:pPr>
                  <w:rPr>
                    <w:color w:val="000000" w:themeColor="text1"/>
                    <w:lang w:val="fr-FR"/>
                  </w:rPr>
                </w:pPr>
                <w:r w:rsidRPr="00D67328">
                  <w:rPr>
                    <w:rFonts w:eastAsia="Times New Roman"/>
                    <w:color w:val="000000"/>
                    <w:lang w:val="fr-FR"/>
                  </w:rPr>
                  <w:t xml:space="preserve">Cette contribution propose </w:t>
                </w:r>
                <w:r w:rsidR="007415AE" w:rsidRPr="00D67328">
                  <w:rPr>
                    <w:rFonts w:eastAsia="Times New Roman"/>
                    <w:color w:val="000000"/>
                    <w:lang w:val="fr-FR"/>
                  </w:rPr>
                  <w:t>la suppression de la</w:t>
                </w:r>
                <w:r w:rsidRPr="00D67328">
                  <w:rPr>
                    <w:rFonts w:eastAsia="Times New Roman"/>
                    <w:color w:val="000000"/>
                    <w:lang w:val="fr-FR"/>
                  </w:rPr>
                  <w:t xml:space="preserve"> Résolution 45 de l'AMNT</w:t>
                </w:r>
                <w:r w:rsidRPr="00D67328">
                  <w:rPr>
                    <w:rFonts w:eastAsia="Times New Roman"/>
                    <w:color w:val="000000"/>
                    <w:lang w:val="fr-FR"/>
                  </w:rPr>
                  <w:noBreakHyphen/>
                  <w:t xml:space="preserve">12 – Coordination efficace des travaux de normalisation entre les commissions d'études du Secteur de la normalisation des télécommunications de l'UIT et </w:t>
                </w:r>
                <w:r w:rsidR="00A835FD">
                  <w:rPr>
                    <w:rFonts w:eastAsia="Times New Roman"/>
                    <w:color w:val="000000"/>
                    <w:lang w:val="fr-FR"/>
                  </w:rPr>
                  <w:t xml:space="preserve">le </w:t>
                </w:r>
                <w:r w:rsidRPr="00D67328">
                  <w:rPr>
                    <w:rFonts w:eastAsia="Times New Roman"/>
                    <w:color w:val="000000"/>
                    <w:lang w:val="fr-FR"/>
                  </w:rPr>
                  <w:t>rôle du Groupe consultatif de la normalisation des télécommunications.</w:t>
                </w:r>
              </w:p>
            </w:tc>
          </w:sdtContent>
        </w:sdt>
      </w:tr>
    </w:tbl>
    <w:p w:rsidR="00B2438A" w:rsidRPr="00D67328" w:rsidRDefault="00B2438A" w:rsidP="0094123D">
      <w:pPr>
        <w:pStyle w:val="Headingb"/>
        <w:rPr>
          <w:lang w:val="fr-FR"/>
        </w:rPr>
      </w:pPr>
      <w:r w:rsidRPr="00D67328">
        <w:rPr>
          <w:lang w:val="fr-FR"/>
        </w:rPr>
        <w:t>Discussion</w:t>
      </w:r>
    </w:p>
    <w:p w:rsidR="00B2438A" w:rsidRPr="00D67328" w:rsidRDefault="007063A0" w:rsidP="00314818">
      <w:pPr>
        <w:rPr>
          <w:rFonts w:eastAsia="Times New Roman"/>
          <w:lang w:val="fr-FR"/>
        </w:rPr>
      </w:pPr>
      <w:r w:rsidRPr="00D67328">
        <w:rPr>
          <w:rFonts w:eastAsia="Times New Roman"/>
          <w:lang w:val="fr-FR"/>
        </w:rPr>
        <w:t>Il est manifestement</w:t>
      </w:r>
      <w:r w:rsidR="00F1045B" w:rsidRPr="00D67328">
        <w:rPr>
          <w:rFonts w:eastAsia="Times New Roman"/>
          <w:lang w:val="fr-FR"/>
        </w:rPr>
        <w:t xml:space="preserve"> inutile de maintenir</w:t>
      </w:r>
      <w:r w:rsidR="008E15B3" w:rsidRPr="00D67328">
        <w:rPr>
          <w:rFonts w:eastAsia="Times New Roman"/>
          <w:lang w:val="fr-FR"/>
        </w:rPr>
        <w:t xml:space="preserve"> la Résolution 45, compte tenu du caractère permanent du rôle et des responsabilités du GCNT définis à l'</w:t>
      </w:r>
      <w:r w:rsidR="00314818">
        <w:rPr>
          <w:rFonts w:eastAsia="Times New Roman"/>
          <w:lang w:val="fr-FR"/>
        </w:rPr>
        <w:t>a</w:t>
      </w:r>
      <w:r w:rsidR="008E15B3" w:rsidRPr="00D67328">
        <w:rPr>
          <w:rFonts w:eastAsia="Times New Roman"/>
          <w:lang w:val="fr-FR"/>
        </w:rPr>
        <w:t xml:space="preserve">rticle 14A de la Convention de l'UIT, ainsi que dans </w:t>
      </w:r>
      <w:r w:rsidR="00915D67" w:rsidRPr="00D67328">
        <w:rPr>
          <w:rFonts w:eastAsia="Times New Roman"/>
          <w:lang w:val="fr-FR"/>
        </w:rPr>
        <w:t xml:space="preserve">les Résolutions UIT-T 1 et 22, dans lesquelles il est fait </w:t>
      </w:r>
      <w:r w:rsidR="008E15B3" w:rsidRPr="00D67328">
        <w:rPr>
          <w:rFonts w:eastAsia="Times New Roman"/>
          <w:lang w:val="fr-FR"/>
        </w:rPr>
        <w:t>état d'une</w:t>
      </w:r>
      <w:r w:rsidR="00DB310A" w:rsidRPr="00D67328">
        <w:rPr>
          <w:rFonts w:eastAsia="Times New Roman"/>
          <w:lang w:val="fr-FR"/>
        </w:rPr>
        <w:t xml:space="preserve"> telle</w:t>
      </w:r>
      <w:r w:rsidR="008E15B3" w:rsidRPr="00D67328">
        <w:rPr>
          <w:rFonts w:eastAsia="Times New Roman"/>
          <w:lang w:val="fr-FR"/>
        </w:rPr>
        <w:t xml:space="preserve"> fonction de coordination</w:t>
      </w:r>
      <w:r w:rsidR="0033380F" w:rsidRPr="00D67328">
        <w:rPr>
          <w:rFonts w:eastAsia="Times New Roman"/>
          <w:lang w:val="fr-FR"/>
        </w:rPr>
        <w:t>. Dans le</w:t>
      </w:r>
      <w:r w:rsidR="00E545B0" w:rsidRPr="00D67328">
        <w:rPr>
          <w:rFonts w:eastAsia="Times New Roman"/>
          <w:lang w:val="fr-FR"/>
        </w:rPr>
        <w:t xml:space="preserve"> </w:t>
      </w:r>
      <w:r w:rsidR="00E545B0" w:rsidRPr="00D67328">
        <w:rPr>
          <w:rFonts w:eastAsia="Times New Roman"/>
          <w:i/>
          <w:iCs/>
          <w:lang w:val="fr-FR"/>
        </w:rPr>
        <w:t>décide</w:t>
      </w:r>
      <w:r w:rsidR="00E545B0" w:rsidRPr="00D67328">
        <w:rPr>
          <w:rFonts w:eastAsia="Times New Roman"/>
          <w:lang w:val="fr-FR"/>
        </w:rPr>
        <w:t xml:space="preserve"> de la Résolution 45, </w:t>
      </w:r>
      <w:r w:rsidR="006751F8" w:rsidRPr="00D67328">
        <w:rPr>
          <w:rFonts w:eastAsia="Times New Roman"/>
          <w:lang w:val="fr-FR"/>
        </w:rPr>
        <w:t xml:space="preserve">il est fait </w:t>
      </w:r>
      <w:r w:rsidR="00040495" w:rsidRPr="00D67328">
        <w:rPr>
          <w:rFonts w:eastAsia="Times New Roman"/>
          <w:lang w:val="fr-FR"/>
        </w:rPr>
        <w:t>référence aux</w:t>
      </w:r>
      <w:r w:rsidR="006751F8" w:rsidRPr="00D67328">
        <w:rPr>
          <w:rFonts w:eastAsia="Times New Roman"/>
          <w:lang w:val="fr-FR"/>
        </w:rPr>
        <w:t xml:space="preserve"> </w:t>
      </w:r>
      <w:r w:rsidR="00CA241F" w:rsidRPr="00D67328">
        <w:rPr>
          <w:rFonts w:eastAsia="Times New Roman"/>
          <w:lang w:val="fr-FR"/>
        </w:rPr>
        <w:t>éléments suivants</w:t>
      </w:r>
      <w:r w:rsidR="00E545B0" w:rsidRPr="00D67328">
        <w:rPr>
          <w:rFonts w:eastAsia="Times New Roman"/>
          <w:lang w:val="fr-FR"/>
        </w:rPr>
        <w:t>:</w:t>
      </w:r>
      <w:r w:rsidR="00B2438A" w:rsidRPr="00D67328">
        <w:rPr>
          <w:rFonts w:eastAsia="Times New Roman"/>
          <w:lang w:val="fr-FR"/>
        </w:rPr>
        <w:t xml:space="preserve"> </w:t>
      </w:r>
    </w:p>
    <w:p w:rsidR="00B2438A" w:rsidRPr="00D67328" w:rsidRDefault="00B2438A" w:rsidP="00BD2DE1">
      <w:pPr>
        <w:pStyle w:val="enumlev1"/>
        <w:rPr>
          <w:rFonts w:eastAsia="Times New Roman"/>
          <w:lang w:val="fr-FR"/>
        </w:rPr>
      </w:pPr>
      <w:r w:rsidRPr="00D67328">
        <w:rPr>
          <w:rFonts w:eastAsia="Times New Roman"/>
          <w:iCs/>
          <w:lang w:val="fr-FR"/>
        </w:rPr>
        <w:t>i)</w:t>
      </w:r>
      <w:r w:rsidRPr="00D67328">
        <w:rPr>
          <w:rFonts w:eastAsia="Times New Roman"/>
          <w:iCs/>
          <w:lang w:val="fr-FR"/>
        </w:rPr>
        <w:tab/>
      </w:r>
      <w:r w:rsidR="001C230F" w:rsidRPr="00D67328">
        <w:rPr>
          <w:i/>
          <w:iCs/>
          <w:lang w:val="fr-FR"/>
        </w:rPr>
        <w:t>L</w:t>
      </w:r>
      <w:r w:rsidRPr="00D67328">
        <w:rPr>
          <w:i/>
          <w:iCs/>
          <w:lang w:val="fr-FR"/>
        </w:rPr>
        <w:t>'identification d'objectifs et de priorités de haut nive</w:t>
      </w:r>
      <w:r w:rsidR="00215E84" w:rsidRPr="00D67328">
        <w:rPr>
          <w:i/>
          <w:iCs/>
          <w:lang w:val="fr-FR"/>
        </w:rPr>
        <w:t>au pour les études de l'UIT-T dans une</w:t>
      </w:r>
      <w:r w:rsidRPr="00D67328">
        <w:rPr>
          <w:i/>
          <w:iCs/>
          <w:lang w:val="fr-FR"/>
        </w:rPr>
        <w:t xml:space="preserve"> </w:t>
      </w:r>
      <w:r w:rsidR="008E15B3" w:rsidRPr="00D67328">
        <w:rPr>
          <w:i/>
          <w:iCs/>
          <w:lang w:val="fr-FR"/>
        </w:rPr>
        <w:t>perspective</w:t>
      </w:r>
      <w:r w:rsidRPr="00D67328">
        <w:rPr>
          <w:i/>
          <w:iCs/>
          <w:lang w:val="fr-FR"/>
        </w:rPr>
        <w:t xml:space="preserve"> mondial</w:t>
      </w:r>
      <w:r w:rsidR="008E15B3" w:rsidRPr="00D67328">
        <w:rPr>
          <w:i/>
          <w:iCs/>
          <w:lang w:val="fr-FR"/>
        </w:rPr>
        <w:t>e</w:t>
      </w:r>
      <w:r w:rsidRPr="00D67328">
        <w:rPr>
          <w:lang w:val="fr-FR"/>
        </w:rPr>
        <w:t xml:space="preserve">. </w:t>
      </w:r>
      <w:r w:rsidR="00E545B0" w:rsidRPr="00D67328">
        <w:rPr>
          <w:lang w:val="fr-FR"/>
        </w:rPr>
        <w:t xml:space="preserve">Cette </w:t>
      </w:r>
      <w:r w:rsidR="00912CAD" w:rsidRPr="00D67328">
        <w:rPr>
          <w:lang w:val="fr-FR"/>
        </w:rPr>
        <w:t>tâche</w:t>
      </w:r>
      <w:r w:rsidR="00E545B0" w:rsidRPr="00D67328">
        <w:rPr>
          <w:lang w:val="fr-FR"/>
        </w:rPr>
        <w:t xml:space="preserve"> peut être réalisée par l'intermédiaire de la création </w:t>
      </w:r>
      <w:r w:rsidR="00477378" w:rsidRPr="00D67328">
        <w:rPr>
          <w:lang w:val="fr-FR"/>
        </w:rPr>
        <w:t xml:space="preserve">récente </w:t>
      </w:r>
      <w:r w:rsidR="00E545B0" w:rsidRPr="00D67328">
        <w:rPr>
          <w:lang w:val="fr-FR"/>
        </w:rPr>
        <w:t xml:space="preserve">du Groupe du Rapporteur du GCNT sur la </w:t>
      </w:r>
      <w:r w:rsidR="00595449" w:rsidRPr="00D67328">
        <w:rPr>
          <w:lang w:val="fr-FR"/>
        </w:rPr>
        <w:t>stratégie de normalisation.</w:t>
      </w:r>
    </w:p>
    <w:p w:rsidR="00B2438A" w:rsidRPr="00D67328" w:rsidRDefault="00B2438A" w:rsidP="00BD2DE1">
      <w:pPr>
        <w:pStyle w:val="enumlev1"/>
        <w:rPr>
          <w:lang w:val="fr-FR"/>
        </w:rPr>
      </w:pPr>
      <w:r w:rsidRPr="00D67328">
        <w:rPr>
          <w:iCs/>
          <w:lang w:val="fr-FR"/>
        </w:rPr>
        <w:t>ii)</w:t>
      </w:r>
      <w:r w:rsidRPr="00D67328">
        <w:rPr>
          <w:iCs/>
          <w:lang w:val="fr-FR"/>
        </w:rPr>
        <w:tab/>
      </w:r>
      <w:r w:rsidR="001C230F" w:rsidRPr="00D67328">
        <w:rPr>
          <w:i/>
          <w:iCs/>
          <w:lang w:val="fr-FR"/>
        </w:rPr>
        <w:t>L</w:t>
      </w:r>
      <w:r w:rsidRPr="00D67328">
        <w:rPr>
          <w:i/>
          <w:iCs/>
          <w:lang w:val="fr-FR"/>
        </w:rPr>
        <w:t>a coopération entre les commissions d'études, y compris pour éviter la redondance des tâches et en identifiant les liens entre domaines d'étude</w:t>
      </w:r>
      <w:r w:rsidR="00A835FD">
        <w:rPr>
          <w:i/>
          <w:iCs/>
          <w:lang w:val="fr-FR"/>
        </w:rPr>
        <w:t>s</w:t>
      </w:r>
      <w:r w:rsidRPr="00D67328">
        <w:rPr>
          <w:i/>
          <w:iCs/>
          <w:lang w:val="fr-FR"/>
        </w:rPr>
        <w:t xml:space="preserve"> apparentés</w:t>
      </w:r>
      <w:r w:rsidRPr="00D67328">
        <w:rPr>
          <w:lang w:val="fr-FR"/>
        </w:rPr>
        <w:t xml:space="preserve">. </w:t>
      </w:r>
      <w:r w:rsidR="00536976" w:rsidRPr="00D67328">
        <w:rPr>
          <w:lang w:val="fr-FR"/>
        </w:rPr>
        <w:t>Cette fonction</w:t>
      </w:r>
      <w:r w:rsidR="007423A3" w:rsidRPr="00D67328">
        <w:rPr>
          <w:lang w:val="fr-FR"/>
        </w:rPr>
        <w:t>, qui</w:t>
      </w:r>
      <w:r w:rsidR="00536976" w:rsidRPr="00D67328">
        <w:rPr>
          <w:lang w:val="fr-FR"/>
        </w:rPr>
        <w:t xml:space="preserve"> figure p</w:t>
      </w:r>
      <w:r w:rsidR="001C230F" w:rsidRPr="00D67328">
        <w:rPr>
          <w:lang w:val="fr-FR"/>
        </w:rPr>
        <w:t>armi les responsabilités permanentes du GCNT</w:t>
      </w:r>
      <w:r w:rsidR="007423A3" w:rsidRPr="00D67328">
        <w:rPr>
          <w:lang w:val="fr-FR"/>
        </w:rPr>
        <w:t>,</w:t>
      </w:r>
      <w:r w:rsidR="001C230F" w:rsidRPr="00D67328">
        <w:rPr>
          <w:lang w:val="fr-FR"/>
        </w:rPr>
        <w:t xml:space="preserve"> est assurée par la tenu</w:t>
      </w:r>
      <w:r w:rsidR="00B276A1" w:rsidRPr="00D67328">
        <w:rPr>
          <w:lang w:val="fr-FR"/>
        </w:rPr>
        <w:t>e</w:t>
      </w:r>
      <w:r w:rsidR="001C230F" w:rsidRPr="00D67328">
        <w:rPr>
          <w:lang w:val="fr-FR"/>
        </w:rPr>
        <w:t xml:space="preserve"> régu</w:t>
      </w:r>
      <w:r w:rsidR="00BD2DE1" w:rsidRPr="00D67328">
        <w:rPr>
          <w:lang w:val="fr-FR"/>
        </w:rPr>
        <w:t>lière de réunions et de conférences</w:t>
      </w:r>
      <w:r w:rsidR="001C230F" w:rsidRPr="00D67328">
        <w:rPr>
          <w:lang w:val="fr-FR"/>
        </w:rPr>
        <w:t xml:space="preserve"> électroniques</w:t>
      </w:r>
      <w:r w:rsidR="00912CAD" w:rsidRPr="00D67328">
        <w:rPr>
          <w:lang w:val="fr-FR"/>
        </w:rPr>
        <w:t xml:space="preserve"> de l'équipe de direction de la</w:t>
      </w:r>
      <w:r w:rsidR="00B276A1" w:rsidRPr="00D67328">
        <w:rPr>
          <w:lang w:val="fr-FR"/>
        </w:rPr>
        <w:t xml:space="preserve"> </w:t>
      </w:r>
      <w:r w:rsidR="00912CAD" w:rsidRPr="00D67328">
        <w:rPr>
          <w:lang w:val="fr-FR"/>
        </w:rPr>
        <w:t>commission d'études</w:t>
      </w:r>
      <w:r w:rsidR="00B276A1" w:rsidRPr="00D67328">
        <w:rPr>
          <w:lang w:val="fr-FR"/>
        </w:rPr>
        <w:t xml:space="preserve"> </w:t>
      </w:r>
      <w:r w:rsidR="004506BC" w:rsidRPr="00D67328">
        <w:rPr>
          <w:lang w:val="fr-FR"/>
        </w:rPr>
        <w:t>concern</w:t>
      </w:r>
      <w:r w:rsidR="00044D19" w:rsidRPr="00D67328">
        <w:rPr>
          <w:lang w:val="fr-FR"/>
        </w:rPr>
        <w:t>ée</w:t>
      </w:r>
      <w:r w:rsidR="00912CAD" w:rsidRPr="00D67328">
        <w:rPr>
          <w:lang w:val="fr-FR"/>
        </w:rPr>
        <w:t xml:space="preserve">. </w:t>
      </w:r>
    </w:p>
    <w:p w:rsidR="00B2438A" w:rsidRPr="00D67328" w:rsidRDefault="00B2438A" w:rsidP="00BD2DE1">
      <w:pPr>
        <w:pStyle w:val="enumlev1"/>
        <w:rPr>
          <w:rFonts w:eastAsia="Times New Roman"/>
          <w:lang w:val="fr-FR"/>
        </w:rPr>
      </w:pPr>
      <w:r w:rsidRPr="00D67328">
        <w:rPr>
          <w:rFonts w:eastAsia="Times New Roman"/>
          <w:lang w:val="fr-FR"/>
        </w:rPr>
        <w:lastRenderedPageBreak/>
        <w:t>iii)</w:t>
      </w:r>
      <w:r w:rsidRPr="00D67328">
        <w:rPr>
          <w:rFonts w:eastAsia="Times New Roman"/>
          <w:lang w:val="fr-FR"/>
        </w:rPr>
        <w:tab/>
      </w:r>
      <w:r w:rsidR="00B154B3" w:rsidRPr="00D67328">
        <w:rPr>
          <w:i/>
          <w:lang w:val="fr-FR"/>
        </w:rPr>
        <w:t>L</w:t>
      </w:r>
      <w:r w:rsidRPr="00D67328">
        <w:rPr>
          <w:i/>
          <w:lang w:val="fr-FR"/>
        </w:rPr>
        <w:t>a coordination planifiée des délais, des produits attendus, des objectifs et des échéances pour les activités de normalisation</w:t>
      </w:r>
      <w:r w:rsidRPr="00D67328">
        <w:rPr>
          <w:rFonts w:eastAsia="Times New Roman"/>
          <w:lang w:val="fr-FR"/>
        </w:rPr>
        <w:t xml:space="preserve">. </w:t>
      </w:r>
      <w:r w:rsidR="00240C31" w:rsidRPr="00D67328">
        <w:rPr>
          <w:rFonts w:eastAsia="Times New Roman"/>
          <w:lang w:val="fr-FR"/>
        </w:rPr>
        <w:t xml:space="preserve">Le Plan stratégique de l'UIT, qui </w:t>
      </w:r>
      <w:r w:rsidR="0012403D" w:rsidRPr="00D67328">
        <w:rPr>
          <w:rFonts w:eastAsia="Times New Roman"/>
          <w:lang w:val="fr-FR"/>
        </w:rPr>
        <w:t>s'appuie</w:t>
      </w:r>
      <w:r w:rsidR="00240C31" w:rsidRPr="00D67328">
        <w:rPr>
          <w:rFonts w:eastAsia="Times New Roman"/>
          <w:lang w:val="fr-FR"/>
        </w:rPr>
        <w:t xml:space="preserve"> sur </w:t>
      </w:r>
      <w:r w:rsidR="00BD2DE1" w:rsidRPr="00D67328">
        <w:rPr>
          <w:color w:val="000000"/>
          <w:lang w:val="fr-FR"/>
        </w:rPr>
        <w:t>un cadre de gestion ax</w:t>
      </w:r>
      <w:r w:rsidR="00240C31" w:rsidRPr="00D67328">
        <w:rPr>
          <w:color w:val="000000"/>
          <w:lang w:val="fr-FR"/>
        </w:rPr>
        <w:t>ée sur les résultats</w:t>
      </w:r>
      <w:r w:rsidR="00AB1817" w:rsidRPr="00D67328">
        <w:rPr>
          <w:color w:val="000000"/>
          <w:lang w:val="fr-FR"/>
        </w:rPr>
        <w:t xml:space="preserve">, ainsi que </w:t>
      </w:r>
      <w:r w:rsidR="00240C31" w:rsidRPr="00D67328">
        <w:rPr>
          <w:color w:val="000000"/>
          <w:lang w:val="fr-FR"/>
        </w:rPr>
        <w:t>les plans opérationnels glissants</w:t>
      </w:r>
      <w:r w:rsidR="004C343B" w:rsidRPr="00D67328">
        <w:rPr>
          <w:color w:val="000000"/>
          <w:lang w:val="fr-FR"/>
        </w:rPr>
        <w:t xml:space="preserve">, </w:t>
      </w:r>
      <w:r w:rsidR="007A0E25" w:rsidRPr="00D67328">
        <w:rPr>
          <w:color w:val="000000"/>
          <w:lang w:val="fr-FR"/>
        </w:rPr>
        <w:t>sont régulièrement examinés</w:t>
      </w:r>
      <w:r w:rsidR="004C343B" w:rsidRPr="00D67328">
        <w:rPr>
          <w:color w:val="000000"/>
          <w:lang w:val="fr-FR"/>
        </w:rPr>
        <w:t xml:space="preserve"> par le Groupe du Rapporteur du GCNT sur l</w:t>
      </w:r>
      <w:r w:rsidR="00BD2DE1" w:rsidRPr="00D67328">
        <w:rPr>
          <w:color w:val="000000"/>
          <w:lang w:val="fr-FR"/>
        </w:rPr>
        <w:t>a</w:t>
      </w:r>
      <w:r w:rsidR="004C343B" w:rsidRPr="00D67328">
        <w:rPr>
          <w:color w:val="000000"/>
          <w:lang w:val="fr-FR"/>
        </w:rPr>
        <w:t xml:space="preserve"> planification stratégique et </w:t>
      </w:r>
      <w:r w:rsidR="00BD2DE1" w:rsidRPr="00D67328">
        <w:rPr>
          <w:color w:val="000000"/>
          <w:lang w:val="fr-FR"/>
        </w:rPr>
        <w:t xml:space="preserve">la planification </w:t>
      </w:r>
      <w:r w:rsidR="004C343B" w:rsidRPr="00D67328">
        <w:rPr>
          <w:color w:val="000000"/>
          <w:lang w:val="fr-FR"/>
        </w:rPr>
        <w:t xml:space="preserve">opérationnelle. </w:t>
      </w:r>
    </w:p>
    <w:p w:rsidR="00B2438A" w:rsidRPr="00D67328" w:rsidRDefault="00B2438A" w:rsidP="00BD2DE1">
      <w:pPr>
        <w:pStyle w:val="enumlev1"/>
        <w:rPr>
          <w:rFonts w:eastAsia="Times New Roman"/>
          <w:lang w:val="fr-FR"/>
        </w:rPr>
      </w:pPr>
      <w:r w:rsidRPr="00D67328">
        <w:rPr>
          <w:rFonts w:eastAsia="Times New Roman"/>
          <w:lang w:val="fr-FR"/>
        </w:rPr>
        <w:t>iv)</w:t>
      </w:r>
      <w:r w:rsidRPr="00D67328">
        <w:rPr>
          <w:rFonts w:eastAsia="Times New Roman"/>
          <w:lang w:val="fr-FR"/>
        </w:rPr>
        <w:tab/>
      </w:r>
      <w:r w:rsidR="00811649" w:rsidRPr="00D67328">
        <w:rPr>
          <w:i/>
          <w:iCs/>
          <w:lang w:val="fr-FR"/>
        </w:rPr>
        <w:t>Q</w:t>
      </w:r>
      <w:r w:rsidRPr="00D67328">
        <w:rPr>
          <w:i/>
          <w:iCs/>
          <w:lang w:val="fr-FR"/>
        </w:rPr>
        <w:t>ue les intérêts des pays en développement sont pris en compte et que leur participation à ces activités est encouragée et facilitée</w:t>
      </w:r>
      <w:r w:rsidRPr="00D67328">
        <w:rPr>
          <w:rFonts w:eastAsia="Times New Roman"/>
          <w:lang w:val="fr-FR"/>
        </w:rPr>
        <w:t xml:space="preserve">. </w:t>
      </w:r>
      <w:r w:rsidR="00AE11FC" w:rsidRPr="00D67328">
        <w:rPr>
          <w:rFonts w:eastAsia="Times New Roman"/>
          <w:lang w:val="fr-FR"/>
        </w:rPr>
        <w:t xml:space="preserve">Cette directive est mise en </w:t>
      </w:r>
      <w:proofErr w:type="spellStart"/>
      <w:r w:rsidR="00AE11FC" w:rsidRPr="00D67328">
        <w:rPr>
          <w:rFonts w:eastAsia="Times New Roman"/>
          <w:lang w:val="fr-FR"/>
        </w:rPr>
        <w:t>oeuvre</w:t>
      </w:r>
      <w:proofErr w:type="spellEnd"/>
      <w:r w:rsidR="00AE11FC" w:rsidRPr="00D67328">
        <w:rPr>
          <w:rFonts w:eastAsia="Times New Roman"/>
          <w:lang w:val="fr-FR"/>
        </w:rPr>
        <w:t xml:space="preserve"> </w:t>
      </w:r>
      <w:r w:rsidR="003975E9" w:rsidRPr="00D67328">
        <w:rPr>
          <w:rFonts w:eastAsia="Times New Roman"/>
          <w:lang w:val="fr-FR"/>
        </w:rPr>
        <w:t>par</w:t>
      </w:r>
      <w:r w:rsidR="00AE11FC" w:rsidRPr="00D67328">
        <w:rPr>
          <w:rFonts w:eastAsia="Times New Roman"/>
          <w:lang w:val="fr-FR"/>
        </w:rPr>
        <w:t xml:space="preserve"> l'ensemble du Secteur</w:t>
      </w:r>
      <w:r w:rsidR="003975E9" w:rsidRPr="00D67328">
        <w:rPr>
          <w:rFonts w:eastAsia="Times New Roman"/>
          <w:lang w:val="fr-FR"/>
        </w:rPr>
        <w:t>;</w:t>
      </w:r>
      <w:r w:rsidR="00AE11FC" w:rsidRPr="00D67328">
        <w:rPr>
          <w:rFonts w:eastAsia="Times New Roman"/>
          <w:lang w:val="fr-FR"/>
        </w:rPr>
        <w:t xml:space="preserve"> </w:t>
      </w:r>
      <w:r w:rsidR="003975E9" w:rsidRPr="00D67328">
        <w:rPr>
          <w:rFonts w:eastAsia="Times New Roman"/>
          <w:lang w:val="fr-FR"/>
        </w:rPr>
        <w:t xml:space="preserve">au sein du GCNT, deux vice-présidents </w:t>
      </w:r>
      <w:r w:rsidR="00C00521" w:rsidRPr="00D67328">
        <w:rPr>
          <w:rFonts w:eastAsia="Times New Roman"/>
          <w:lang w:val="fr-FR"/>
        </w:rPr>
        <w:t xml:space="preserve">ont pour tâche spécifique d'étudier les </w:t>
      </w:r>
      <w:r w:rsidR="003975E9" w:rsidRPr="00D67328">
        <w:rPr>
          <w:rFonts w:eastAsia="Times New Roman"/>
          <w:lang w:val="fr-FR"/>
        </w:rPr>
        <w:t>questions relatives à la "réduction de l'écart en matière de normalisation".</w:t>
      </w:r>
    </w:p>
    <w:p w:rsidR="00B2438A" w:rsidRPr="00D67328" w:rsidRDefault="00B2438A" w:rsidP="00314818">
      <w:pPr>
        <w:pStyle w:val="enumlev1"/>
        <w:rPr>
          <w:lang w:val="fr-FR"/>
        </w:rPr>
      </w:pPr>
      <w:r w:rsidRPr="00D67328">
        <w:rPr>
          <w:iCs/>
          <w:lang w:val="fr-FR"/>
        </w:rPr>
        <w:t>v)</w:t>
      </w:r>
      <w:r w:rsidRPr="00D67328">
        <w:rPr>
          <w:iCs/>
          <w:lang w:val="fr-FR"/>
        </w:rPr>
        <w:tab/>
      </w:r>
      <w:r w:rsidR="00BC4342" w:rsidRPr="00D67328">
        <w:rPr>
          <w:i/>
          <w:lang w:val="fr-FR"/>
        </w:rPr>
        <w:t>L</w:t>
      </w:r>
      <w:r w:rsidR="007415AE" w:rsidRPr="00D67328">
        <w:rPr>
          <w:i/>
          <w:lang w:val="fr-FR"/>
        </w:rPr>
        <w:t xml:space="preserve">a coopération et la coordination avec </w:t>
      </w:r>
      <w:r w:rsidR="0061110F" w:rsidRPr="00D67328">
        <w:rPr>
          <w:i/>
          <w:lang w:val="fr-FR"/>
        </w:rPr>
        <w:t>l'UIT-R et l'UIT-D</w:t>
      </w:r>
      <w:r w:rsidR="007415AE" w:rsidRPr="00D67328">
        <w:rPr>
          <w:i/>
          <w:lang w:val="fr-FR"/>
        </w:rPr>
        <w:t xml:space="preserve"> et avec d'autres organismes de normalisation extérieurs</w:t>
      </w:r>
      <w:r w:rsidRPr="00D67328">
        <w:rPr>
          <w:i/>
          <w:lang w:val="fr-FR"/>
        </w:rPr>
        <w:t>.</w:t>
      </w:r>
      <w:r w:rsidRPr="00D67328">
        <w:rPr>
          <w:lang w:val="fr-FR"/>
        </w:rPr>
        <w:t xml:space="preserve"> </w:t>
      </w:r>
      <w:r w:rsidR="00C45BD0" w:rsidRPr="00D67328">
        <w:rPr>
          <w:lang w:val="fr-FR"/>
        </w:rPr>
        <w:t>Les questions relatives à la coordination et à la collaboration intersectorielles sont traitées par le Sous-Groupe du Rapporteur du GCNT sur la collaboration et la coordination à l'intérieur de l'UIT.</w:t>
      </w:r>
      <w:r w:rsidR="00242E60" w:rsidRPr="00D67328">
        <w:rPr>
          <w:lang w:val="fr-FR"/>
        </w:rPr>
        <w:t xml:space="preserve"> Au niveau des membres, ces questions sont </w:t>
      </w:r>
      <w:r w:rsidR="00F50484" w:rsidRPr="00D67328">
        <w:rPr>
          <w:lang w:val="fr-FR"/>
        </w:rPr>
        <w:t>examinées</w:t>
      </w:r>
      <w:r w:rsidR="00242E60" w:rsidRPr="00D67328">
        <w:rPr>
          <w:lang w:val="fr-FR"/>
        </w:rPr>
        <w:t xml:space="preserve"> par l</w:t>
      </w:r>
      <w:r w:rsidR="00242E60" w:rsidRPr="00D67328">
        <w:rPr>
          <w:color w:val="000000"/>
          <w:lang w:val="fr-FR"/>
        </w:rPr>
        <w:t>'</w:t>
      </w:r>
      <w:proofErr w:type="spellStart"/>
      <w:r w:rsidR="00314818">
        <w:rPr>
          <w:color w:val="000000"/>
          <w:lang w:val="fr-FR"/>
        </w:rPr>
        <w:t>E</w:t>
      </w:r>
      <w:r w:rsidR="00242E60" w:rsidRPr="00D67328">
        <w:rPr>
          <w:color w:val="000000"/>
          <w:lang w:val="fr-FR"/>
        </w:rPr>
        <w:t>quipe</w:t>
      </w:r>
      <w:proofErr w:type="spellEnd"/>
      <w:r w:rsidR="00242E60" w:rsidRPr="00D67328">
        <w:rPr>
          <w:color w:val="000000"/>
          <w:lang w:val="fr-FR"/>
        </w:rPr>
        <w:t xml:space="preserve"> de coordination intersectorielle</w:t>
      </w:r>
      <w:r w:rsidR="00F50484" w:rsidRPr="00D67328">
        <w:rPr>
          <w:lang w:val="fr-FR"/>
        </w:rPr>
        <w:t>, tandis qu'</w:t>
      </w:r>
      <w:r w:rsidR="00242E60" w:rsidRPr="00D67328">
        <w:rPr>
          <w:lang w:val="fr-FR"/>
        </w:rPr>
        <w:t xml:space="preserve">au niveau du secrétariat, </w:t>
      </w:r>
      <w:r w:rsidR="00FA218F" w:rsidRPr="00D67328">
        <w:rPr>
          <w:lang w:val="fr-FR"/>
        </w:rPr>
        <w:t xml:space="preserve">elles sont traitées </w:t>
      </w:r>
      <w:r w:rsidR="001B15A8" w:rsidRPr="00D67328">
        <w:rPr>
          <w:lang w:val="fr-FR"/>
        </w:rPr>
        <w:t xml:space="preserve">par </w:t>
      </w:r>
      <w:r w:rsidR="00242E60" w:rsidRPr="00D67328">
        <w:rPr>
          <w:lang w:val="fr-FR"/>
        </w:rPr>
        <w:t>le Groupe de coordination intersectorielle. En ce qui concerne les organisations extérieures, le GCNT a créé le Groupe du Rapporteur sur le renforcement de la collaboration avec les ent</w:t>
      </w:r>
      <w:r w:rsidR="00C82672" w:rsidRPr="00D67328">
        <w:rPr>
          <w:lang w:val="fr-FR"/>
        </w:rPr>
        <w:t>ités extérieures et les organis</w:t>
      </w:r>
      <w:r w:rsidR="00A5737E" w:rsidRPr="00D67328">
        <w:rPr>
          <w:lang w:val="fr-FR"/>
        </w:rPr>
        <w:t>me</w:t>
      </w:r>
      <w:r w:rsidR="00242E60" w:rsidRPr="00D67328">
        <w:rPr>
          <w:lang w:val="fr-FR"/>
        </w:rPr>
        <w:t>s de normalisation.</w:t>
      </w:r>
    </w:p>
    <w:p w:rsidR="00C55BD2" w:rsidRPr="00D67328" w:rsidRDefault="00B2438A" w:rsidP="00BD2DE1">
      <w:pPr>
        <w:pStyle w:val="Headingb"/>
        <w:rPr>
          <w:lang w:val="fr-FR"/>
        </w:rPr>
      </w:pPr>
      <w:r w:rsidRPr="00D67328">
        <w:rPr>
          <w:lang w:val="fr-FR"/>
        </w:rPr>
        <w:t>Propo</w:t>
      </w:r>
      <w:r w:rsidR="00C55BD2" w:rsidRPr="00D67328">
        <w:rPr>
          <w:lang w:val="fr-FR"/>
        </w:rPr>
        <w:t>sition</w:t>
      </w:r>
    </w:p>
    <w:p w:rsidR="00B2438A" w:rsidRPr="00D67328" w:rsidRDefault="00182DAD" w:rsidP="00BD2DE1">
      <w:pPr>
        <w:keepNext/>
        <w:spacing w:before="160"/>
        <w:rPr>
          <w:rFonts w:ascii="Times New Roman Bold" w:eastAsia="Times New Roman" w:hAnsi="Times New Roman Bold" w:cs="Times New Roman Bold"/>
          <w:b/>
          <w:lang w:val="fr-FR"/>
        </w:rPr>
      </w:pPr>
      <w:proofErr w:type="spellStart"/>
      <w:r w:rsidRPr="00D67328">
        <w:rPr>
          <w:rFonts w:eastAsia="Times New Roman"/>
          <w:lang w:val="fr-FR"/>
        </w:rPr>
        <w:t>E</w:t>
      </w:r>
      <w:r w:rsidR="00C55BD2" w:rsidRPr="00D67328">
        <w:rPr>
          <w:rFonts w:eastAsia="Times New Roman"/>
          <w:lang w:val="fr-FR"/>
        </w:rPr>
        <w:t>tant</w:t>
      </w:r>
      <w:proofErr w:type="spellEnd"/>
      <w:r w:rsidR="00C55BD2" w:rsidRPr="00D67328">
        <w:rPr>
          <w:rFonts w:eastAsia="Times New Roman"/>
          <w:lang w:val="fr-FR"/>
        </w:rPr>
        <w:t xml:space="preserve"> donné que les mesures</w:t>
      </w:r>
      <w:r w:rsidR="00BD2DE1" w:rsidRPr="00D67328">
        <w:rPr>
          <w:rFonts w:eastAsia="Times New Roman"/>
          <w:lang w:val="fr-FR"/>
        </w:rPr>
        <w:t xml:space="preserve"> préconisées dans</w:t>
      </w:r>
      <w:r w:rsidR="00C55BD2" w:rsidRPr="00D67328">
        <w:rPr>
          <w:rFonts w:eastAsia="Times New Roman"/>
          <w:lang w:val="fr-FR"/>
        </w:rPr>
        <w:t xml:space="preserve"> la Résolution 45 sont </w:t>
      </w:r>
      <w:r w:rsidR="00BD2DE1" w:rsidRPr="00D67328">
        <w:rPr>
          <w:rFonts w:eastAsia="Times New Roman"/>
          <w:lang w:val="fr-FR"/>
        </w:rPr>
        <w:t>examin</w:t>
      </w:r>
      <w:r w:rsidR="00C55BD2" w:rsidRPr="00D67328">
        <w:rPr>
          <w:rFonts w:eastAsia="Times New Roman"/>
          <w:lang w:val="fr-FR"/>
        </w:rPr>
        <w:t>ées</w:t>
      </w:r>
      <w:r w:rsidR="00BD2DE1" w:rsidRPr="00D67328">
        <w:rPr>
          <w:rFonts w:eastAsia="Times New Roman"/>
          <w:lang w:val="fr-FR"/>
        </w:rPr>
        <w:t xml:space="preserve"> d'une manière suivie</w:t>
      </w:r>
      <w:r w:rsidR="0025490F">
        <w:rPr>
          <w:rFonts w:eastAsia="Times New Roman"/>
          <w:lang w:val="fr-FR"/>
        </w:rPr>
        <w:t>,</w:t>
      </w:r>
      <w:r w:rsidR="00BD2DE1" w:rsidRPr="00D67328">
        <w:rPr>
          <w:rFonts w:eastAsia="Times New Roman"/>
          <w:lang w:val="fr-FR"/>
        </w:rPr>
        <w:t xml:space="preserve"> cette </w:t>
      </w:r>
      <w:r w:rsidR="0053699B" w:rsidRPr="00D67328">
        <w:rPr>
          <w:rFonts w:eastAsia="Times New Roman"/>
          <w:lang w:val="fr-FR"/>
        </w:rPr>
        <w:t>Résolution</w:t>
      </w:r>
      <w:r w:rsidR="00BD2DE1" w:rsidRPr="00D67328">
        <w:rPr>
          <w:rFonts w:eastAsia="Times New Roman"/>
          <w:lang w:val="fr-FR"/>
        </w:rPr>
        <w:t xml:space="preserve"> peut être supprimée</w:t>
      </w:r>
      <w:r w:rsidR="00EC3814" w:rsidRPr="00D67328">
        <w:rPr>
          <w:rFonts w:eastAsia="Times New Roman"/>
          <w:lang w:val="fr-FR"/>
        </w:rPr>
        <w:t>.</w:t>
      </w:r>
    </w:p>
    <w:p w:rsidR="00B2438A" w:rsidRPr="00D67328" w:rsidRDefault="00B2438A" w:rsidP="00182DAD">
      <w:pPr>
        <w:rPr>
          <w:lang w:val="fr-FR"/>
        </w:rPr>
      </w:pPr>
    </w:p>
    <w:p w:rsidR="00B2438A" w:rsidRPr="00D67328" w:rsidRDefault="00B2438A" w:rsidP="00182DAD">
      <w:pPr>
        <w:rPr>
          <w:lang w:val="fr-FR"/>
        </w:rPr>
      </w:pPr>
    </w:p>
    <w:p w:rsidR="00F776DF" w:rsidRPr="00D67328" w:rsidRDefault="00F776DF" w:rsidP="00182D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67328">
        <w:rPr>
          <w:lang w:val="fr-FR"/>
        </w:rPr>
        <w:br w:type="page"/>
      </w:r>
    </w:p>
    <w:p w:rsidR="00987C1F" w:rsidRPr="00D67328" w:rsidRDefault="00987C1F" w:rsidP="00182DAD">
      <w:pPr>
        <w:rPr>
          <w:lang w:val="fr-FR"/>
        </w:rPr>
      </w:pPr>
    </w:p>
    <w:p w:rsidR="004801D7" w:rsidRPr="00D67328" w:rsidRDefault="007415AE" w:rsidP="00182DAD">
      <w:pPr>
        <w:pStyle w:val="Proposal"/>
        <w:rPr>
          <w:lang w:val="fr-FR"/>
        </w:rPr>
      </w:pPr>
      <w:r w:rsidRPr="00D67328">
        <w:rPr>
          <w:lang w:val="fr-FR"/>
        </w:rPr>
        <w:t>SUP</w:t>
      </w:r>
      <w:r w:rsidRPr="00D67328">
        <w:rPr>
          <w:lang w:val="fr-FR"/>
        </w:rPr>
        <w:tab/>
        <w:t>IAP/46A27/1</w:t>
      </w:r>
    </w:p>
    <w:p w:rsidR="000A3C7B" w:rsidRPr="00D67328" w:rsidRDefault="007415AE" w:rsidP="00182DAD">
      <w:pPr>
        <w:pStyle w:val="ResNo"/>
        <w:rPr>
          <w:lang w:val="fr-FR"/>
        </w:rPr>
      </w:pPr>
      <w:r w:rsidRPr="00D67328">
        <w:rPr>
          <w:lang w:val="fr-FR"/>
        </w:rPr>
        <w:t xml:space="preserve">RÉSOLUTION </w:t>
      </w:r>
      <w:r w:rsidRPr="00D67328">
        <w:rPr>
          <w:rStyle w:val="href"/>
          <w:lang w:val="fr-FR"/>
        </w:rPr>
        <w:t>45</w:t>
      </w:r>
      <w:r w:rsidR="00A835FD">
        <w:rPr>
          <w:lang w:val="fr-FR"/>
        </w:rPr>
        <w:t xml:space="preserve"> (Rév.</w:t>
      </w:r>
      <w:r w:rsidRPr="00D67328">
        <w:rPr>
          <w:lang w:val="fr-FR"/>
        </w:rPr>
        <w:t>Dubaï, 2012)</w:t>
      </w:r>
    </w:p>
    <w:p w:rsidR="000A3C7B" w:rsidRPr="00D67328" w:rsidRDefault="007415AE" w:rsidP="00182DAD">
      <w:pPr>
        <w:pStyle w:val="Restitle"/>
        <w:rPr>
          <w:lang w:val="fr-FR"/>
        </w:rPr>
      </w:pPr>
      <w:r w:rsidRPr="00D67328">
        <w:rPr>
          <w:lang w:val="fr-FR"/>
        </w:rPr>
        <w:t>Coordination efficace des travaux de normalisation entre les commissions d'</w:t>
      </w:r>
      <w:r w:rsidRPr="00D67328">
        <w:rPr>
          <w:lang w:val="fr-FR"/>
        </w:rPr>
        <w:t>é</w:t>
      </w:r>
      <w:r w:rsidRPr="00D67328">
        <w:rPr>
          <w:lang w:val="fr-FR"/>
        </w:rPr>
        <w:t>tudes du Secteur de la normalisation des t</w:t>
      </w:r>
      <w:r w:rsidRPr="00D67328">
        <w:rPr>
          <w:lang w:val="fr-FR"/>
        </w:rPr>
        <w:t>é</w:t>
      </w:r>
      <w:r w:rsidRPr="00D67328">
        <w:rPr>
          <w:lang w:val="fr-FR"/>
        </w:rPr>
        <w:t>l</w:t>
      </w:r>
      <w:r w:rsidRPr="00D67328">
        <w:rPr>
          <w:lang w:val="fr-FR"/>
        </w:rPr>
        <w:t>é</w:t>
      </w:r>
      <w:r w:rsidRPr="00D67328">
        <w:rPr>
          <w:lang w:val="fr-FR"/>
        </w:rPr>
        <w:t xml:space="preserve">communications de </w:t>
      </w:r>
      <w:r w:rsidRPr="00D67328">
        <w:rPr>
          <w:lang w:val="fr-FR"/>
        </w:rPr>
        <w:br/>
        <w:t>l'UIT et r</w:t>
      </w:r>
      <w:r w:rsidRPr="00D67328">
        <w:rPr>
          <w:lang w:val="fr-FR"/>
        </w:rPr>
        <w:t>ô</w:t>
      </w:r>
      <w:r w:rsidRPr="00D67328">
        <w:rPr>
          <w:lang w:val="fr-FR"/>
        </w:rPr>
        <w:t xml:space="preserve">le du Groupe consultatif de la normalisation </w:t>
      </w:r>
      <w:r w:rsidRPr="00D67328">
        <w:rPr>
          <w:lang w:val="fr-FR"/>
        </w:rPr>
        <w:br/>
        <w:t>des t</w:t>
      </w:r>
      <w:r w:rsidRPr="00D67328">
        <w:rPr>
          <w:lang w:val="fr-FR"/>
        </w:rPr>
        <w:t>é</w:t>
      </w:r>
      <w:r w:rsidRPr="00D67328">
        <w:rPr>
          <w:lang w:val="fr-FR"/>
        </w:rPr>
        <w:t>l</w:t>
      </w:r>
      <w:r w:rsidRPr="00D67328">
        <w:rPr>
          <w:lang w:val="fr-FR"/>
        </w:rPr>
        <w:t>é</w:t>
      </w:r>
      <w:r w:rsidRPr="00D67328">
        <w:rPr>
          <w:lang w:val="fr-FR"/>
        </w:rPr>
        <w:t>communications</w:t>
      </w:r>
    </w:p>
    <w:p w:rsidR="000A3C7B" w:rsidRPr="00D67328" w:rsidRDefault="007415AE" w:rsidP="00182DAD">
      <w:pPr>
        <w:pStyle w:val="Resref"/>
      </w:pPr>
      <w:r w:rsidRPr="00D67328">
        <w:t>(Florianópolis, 2004; Johannesburg, 2008; Dubaï 2012)</w:t>
      </w:r>
    </w:p>
    <w:p w:rsidR="007415AE" w:rsidRPr="00D67328" w:rsidRDefault="007415AE" w:rsidP="0094123D">
      <w:pPr>
        <w:pStyle w:val="Reasons"/>
        <w:rPr>
          <w:rFonts w:eastAsia="Times New Roman"/>
          <w:lang w:val="fr-FR"/>
        </w:rPr>
      </w:pPr>
      <w:r w:rsidRPr="00D67328">
        <w:rPr>
          <w:b/>
          <w:lang w:val="fr-FR"/>
        </w:rPr>
        <w:t>Motifs:</w:t>
      </w:r>
      <w:r w:rsidRPr="00D67328">
        <w:rPr>
          <w:lang w:val="fr-FR"/>
        </w:rPr>
        <w:tab/>
      </w:r>
      <w:r w:rsidR="00C55BD2" w:rsidRPr="00D67328">
        <w:rPr>
          <w:lang w:val="fr-FR"/>
        </w:rPr>
        <w:t>Voir la discussion e</w:t>
      </w:r>
      <w:r w:rsidR="00A835FD">
        <w:rPr>
          <w:lang w:val="fr-FR"/>
        </w:rPr>
        <w:t>t la proposition ci-avant (Add.</w:t>
      </w:r>
      <w:bookmarkStart w:id="0" w:name="_GoBack"/>
      <w:bookmarkEnd w:id="0"/>
      <w:r w:rsidR="00C55BD2" w:rsidRPr="00D67328">
        <w:rPr>
          <w:lang w:val="fr-FR"/>
        </w:rPr>
        <w:t>27 au Document 46).</w:t>
      </w:r>
    </w:p>
    <w:p w:rsidR="007415AE" w:rsidRPr="00D67328" w:rsidRDefault="007415AE" w:rsidP="00182DAD">
      <w:pPr>
        <w:pStyle w:val="Reasons"/>
        <w:rPr>
          <w:lang w:val="fr-FR"/>
        </w:rPr>
      </w:pPr>
    </w:p>
    <w:p w:rsidR="007415AE" w:rsidRPr="00D67328" w:rsidRDefault="007415AE" w:rsidP="00182DAD">
      <w:pPr>
        <w:jc w:val="center"/>
        <w:rPr>
          <w:lang w:val="fr-FR"/>
        </w:rPr>
      </w:pPr>
      <w:r w:rsidRPr="00D67328">
        <w:rPr>
          <w:lang w:val="fr-FR"/>
        </w:rPr>
        <w:t>______________</w:t>
      </w:r>
    </w:p>
    <w:p w:rsidR="004801D7" w:rsidRPr="00D67328" w:rsidRDefault="004801D7" w:rsidP="00182DAD">
      <w:pPr>
        <w:pStyle w:val="Reasons"/>
        <w:rPr>
          <w:lang w:val="fr-FR"/>
        </w:rPr>
      </w:pPr>
    </w:p>
    <w:sectPr w:rsidR="004801D7" w:rsidRPr="00D67328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D67328" w:rsidRDefault="00E45D05">
    <w:pPr>
      <w:ind w:right="360"/>
      <w:rPr>
        <w:lang w:val="fr-CH"/>
      </w:rPr>
    </w:pPr>
    <w:r>
      <w:fldChar w:fldCharType="begin"/>
    </w:r>
    <w:r w:rsidRPr="00D67328">
      <w:rPr>
        <w:lang w:val="fr-CH"/>
      </w:rPr>
      <w:instrText xml:space="preserve"> FILENAME \p  \* MERGEFORMAT </w:instrText>
    </w:r>
    <w:r>
      <w:fldChar w:fldCharType="separate"/>
    </w:r>
    <w:r w:rsidR="00314818">
      <w:rPr>
        <w:noProof/>
        <w:lang w:val="fr-CH"/>
      </w:rPr>
      <w:t>P:\FRA\ITU-T\CONF-T\WTSA16\000\046ADD27F.docx</w:t>
    </w:r>
    <w:r>
      <w:fldChar w:fldCharType="end"/>
    </w:r>
    <w:r w:rsidRPr="00D6732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35FD">
      <w:rPr>
        <w:noProof/>
      </w:rPr>
      <w:t>10.10.16</w:t>
    </w:r>
    <w:r>
      <w:fldChar w:fldCharType="end"/>
    </w:r>
    <w:r w:rsidRPr="00D6732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4818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BD2DE1" w:rsidRDefault="00413423" w:rsidP="00BD2DE1">
    <w:pPr>
      <w:pStyle w:val="Footer"/>
      <w:rPr>
        <w:lang w:val="fr-CH"/>
      </w:rPr>
    </w:pPr>
    <w:r>
      <w:fldChar w:fldCharType="begin"/>
    </w:r>
    <w:r w:rsidRPr="00BD2DE1">
      <w:rPr>
        <w:lang w:val="fr-CH"/>
      </w:rPr>
      <w:instrText xml:space="preserve"> FILENAME \p  \* MERGEFORMAT </w:instrText>
    </w:r>
    <w:r>
      <w:fldChar w:fldCharType="separate"/>
    </w:r>
    <w:r w:rsidR="00314818">
      <w:rPr>
        <w:lang w:val="fr-CH"/>
      </w:rPr>
      <w:t>P:\FRA\ITU-T\CONF-T\WTSA16\000\046ADD27F.docx</w:t>
    </w:r>
    <w:r>
      <w:fldChar w:fldCharType="end"/>
    </w:r>
    <w:r w:rsidR="00BD2DE1" w:rsidRPr="00BD2DE1">
      <w:rPr>
        <w:lang w:val="fr-CH"/>
      </w:rPr>
      <w:t xml:space="preserve"> (</w:t>
    </w:r>
    <w:r w:rsidR="00BD2DE1">
      <w:rPr>
        <w:lang w:val="fr-CH"/>
      </w:rPr>
      <w:t>405154</w:t>
    </w:r>
    <w:r w:rsidR="00BD2DE1" w:rsidRPr="00BD2DE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7415AE" w:rsidRPr="00A835FD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7415AE" w:rsidRDefault="007415AE">
          <w:pPr>
            <w:rPr>
              <w:sz w:val="22"/>
              <w:lang w:val="fr-CH"/>
            </w:rPr>
          </w:pPr>
          <w:r>
            <w:rPr>
              <w:b/>
              <w:bCs/>
              <w:sz w:val="22"/>
              <w:lang w:val="fr-CH"/>
            </w:rPr>
            <w:t>Contact</w:t>
          </w:r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7415AE" w:rsidRPr="00182DAD" w:rsidRDefault="007415AE" w:rsidP="007415AE">
          <w:pPr>
            <w:rPr>
              <w:lang w:val="fr-CH"/>
            </w:rPr>
          </w:pPr>
          <w:r w:rsidRPr="00182DAD">
            <w:rPr>
              <w:lang w:val="fr-CH"/>
            </w:rPr>
            <w:t>Oscar León</w:t>
          </w:r>
        </w:p>
        <w:p w:rsidR="007415AE" w:rsidRPr="00182DAD" w:rsidRDefault="007415AE" w:rsidP="007415AE">
          <w:pPr>
            <w:spacing w:before="0"/>
            <w:rPr>
              <w:lang w:val="fr-CH"/>
            </w:rPr>
          </w:pPr>
          <w:r w:rsidRPr="00182DAD">
            <w:rPr>
              <w:lang w:val="fr-CH"/>
            </w:rPr>
            <w:t>CITEL</w:t>
          </w:r>
        </w:p>
        <w:p w:rsidR="007415AE" w:rsidRPr="00182DAD" w:rsidRDefault="007415AE" w:rsidP="00182DAD">
          <w:pPr>
            <w:spacing w:before="0"/>
            <w:rPr>
              <w:sz w:val="22"/>
              <w:lang w:val="fr-CH"/>
            </w:rPr>
          </w:pPr>
          <w:r w:rsidRPr="00182DAD">
            <w:rPr>
              <w:lang w:val="fr-CH"/>
            </w:rPr>
            <w:t>Washington, D</w:t>
          </w:r>
          <w:r w:rsidR="00A835FD">
            <w:rPr>
              <w:lang w:val="fr-CH"/>
            </w:rPr>
            <w:t>.</w:t>
          </w:r>
          <w:r w:rsidRPr="00182DAD">
            <w:rPr>
              <w:lang w:val="fr-CH"/>
            </w:rPr>
            <w:t>C</w:t>
          </w:r>
          <w:r w:rsidR="00A835FD">
            <w:rPr>
              <w:lang w:val="fr-CH"/>
            </w:rPr>
            <w:t>.</w:t>
          </w:r>
          <w:r w:rsidRPr="00182DAD">
            <w:rPr>
              <w:lang w:val="fr-CH"/>
            </w:rPr>
            <w:t xml:space="preserve">, </w:t>
          </w:r>
          <w:proofErr w:type="spellStart"/>
          <w:r w:rsidR="00182DAD" w:rsidRPr="00182DAD">
            <w:rPr>
              <w:lang w:val="fr-CH"/>
            </w:rPr>
            <w:t>Etat</w:t>
          </w:r>
          <w:r w:rsidR="00182DAD">
            <w:rPr>
              <w:lang w:val="fr-CH"/>
            </w:rPr>
            <w:t>s</w:t>
          </w:r>
          <w:r w:rsidR="00182DAD" w:rsidRPr="00182DAD">
            <w:rPr>
              <w:lang w:val="fr-CH"/>
            </w:rPr>
            <w:t>-Unis</w:t>
          </w:r>
          <w:proofErr w:type="spellEnd"/>
          <w:r w:rsidR="00182DAD" w:rsidRPr="00182DAD">
            <w:rPr>
              <w:lang w:val="fr-CH"/>
            </w:rPr>
            <w:t xml:space="preserve">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7415AE" w:rsidRDefault="007415AE" w:rsidP="007415AE">
          <w:pPr>
            <w:tabs>
              <w:tab w:val="left" w:pos="690"/>
            </w:tabs>
            <w:rPr>
              <w:sz w:val="22"/>
              <w:lang w:val="fr-CH"/>
            </w:rPr>
          </w:pPr>
          <w:r>
            <w:rPr>
              <w:sz w:val="22"/>
              <w:lang w:val="fr-CH"/>
            </w:rPr>
            <w:t>Tél.:</w:t>
          </w:r>
          <w:r>
            <w:rPr>
              <w:sz w:val="22"/>
              <w:lang w:val="fr-CH"/>
            </w:rPr>
            <w:tab/>
          </w:r>
          <w:r w:rsidRPr="007415AE">
            <w:rPr>
              <w:sz w:val="22"/>
              <w:lang w:val="fr-CH"/>
            </w:rPr>
            <w:t>+ 1 (202) 370-4713</w:t>
          </w:r>
        </w:p>
        <w:p w:rsidR="007415AE" w:rsidRDefault="007415AE" w:rsidP="007415AE">
          <w:pPr>
            <w:tabs>
              <w:tab w:val="left" w:pos="690"/>
            </w:tabs>
            <w:spacing w:before="0"/>
            <w:rPr>
              <w:sz w:val="22"/>
              <w:lang w:val="fr-CH"/>
            </w:rPr>
          </w:pPr>
          <w:r>
            <w:rPr>
              <w:sz w:val="22"/>
              <w:lang w:val="fr-CH"/>
            </w:rPr>
            <w:t>Fax:</w:t>
          </w:r>
          <w:r>
            <w:rPr>
              <w:sz w:val="22"/>
              <w:lang w:val="fr-CH"/>
            </w:rPr>
            <w:tab/>
          </w:r>
          <w:r w:rsidRPr="007415AE">
            <w:rPr>
              <w:lang w:val="fr-CH"/>
            </w:rPr>
            <w:t>+ 1 (202) 370-4713</w:t>
          </w:r>
        </w:p>
        <w:p w:rsidR="007415AE" w:rsidRPr="007415AE" w:rsidRDefault="007415AE" w:rsidP="007415AE">
          <w:pPr>
            <w:tabs>
              <w:tab w:val="left" w:pos="690"/>
            </w:tabs>
            <w:spacing w:before="0"/>
            <w:rPr>
              <w:sz w:val="22"/>
              <w:lang w:val="fr-CH"/>
            </w:rPr>
          </w:pPr>
          <w:r w:rsidRPr="007415AE">
            <w:rPr>
              <w:sz w:val="22"/>
              <w:lang w:val="fr-CH"/>
            </w:rPr>
            <w:t>Email:</w:t>
          </w:r>
          <w:r w:rsidRPr="007415AE">
            <w:rPr>
              <w:sz w:val="22"/>
              <w:lang w:val="fr-CH"/>
            </w:rPr>
            <w:tab/>
          </w:r>
          <w:hyperlink r:id="rId1" w:history="1">
            <w:r w:rsidR="00B625D3" w:rsidRPr="0014347C">
              <w:rPr>
                <w:rStyle w:val="Hyperlink"/>
                <w:lang w:val="fr-CH"/>
              </w:rPr>
              <w:t>citel@oas.orgcitel</w:t>
            </w:r>
          </w:hyperlink>
        </w:p>
      </w:tc>
    </w:tr>
    <w:tr w:rsidR="007415AE" w:rsidRPr="00A835FD">
      <w:trPr>
        <w:cantSplit/>
        <w:trHeight w:hRule="exact" w:val="113"/>
        <w:jc w:val="center"/>
      </w:trPr>
      <w:tc>
        <w:tcPr>
          <w:tcW w:w="9923" w:type="dxa"/>
          <w:gridSpan w:val="3"/>
        </w:tcPr>
        <w:p w:rsidR="007415AE" w:rsidRPr="007415AE" w:rsidRDefault="007415AE">
          <w:pPr>
            <w:rPr>
              <w:sz w:val="22"/>
              <w:lang w:val="fr-CH"/>
            </w:rPr>
          </w:pPr>
        </w:p>
      </w:tc>
    </w:tr>
  </w:tbl>
  <w:p w:rsidR="00987C1F" w:rsidRPr="007415AE" w:rsidRDefault="00987C1F" w:rsidP="007415A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835FD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/46(Add.27)-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40495"/>
    <w:rsid w:val="00044D19"/>
    <w:rsid w:val="00051E39"/>
    <w:rsid w:val="00077239"/>
    <w:rsid w:val="00084115"/>
    <w:rsid w:val="00086491"/>
    <w:rsid w:val="00091346"/>
    <w:rsid w:val="0009706C"/>
    <w:rsid w:val="000A14AF"/>
    <w:rsid w:val="000F73FF"/>
    <w:rsid w:val="00114CF7"/>
    <w:rsid w:val="00123B68"/>
    <w:rsid w:val="0012403D"/>
    <w:rsid w:val="00126F2E"/>
    <w:rsid w:val="00146F6F"/>
    <w:rsid w:val="00164C14"/>
    <w:rsid w:val="00182DAD"/>
    <w:rsid w:val="00187BD9"/>
    <w:rsid w:val="00190B55"/>
    <w:rsid w:val="001978FA"/>
    <w:rsid w:val="001A0F27"/>
    <w:rsid w:val="001B15A8"/>
    <w:rsid w:val="001C230F"/>
    <w:rsid w:val="001C3B5F"/>
    <w:rsid w:val="001D058F"/>
    <w:rsid w:val="001D581B"/>
    <w:rsid w:val="001D77E9"/>
    <w:rsid w:val="001E1430"/>
    <w:rsid w:val="002009EA"/>
    <w:rsid w:val="00202CA0"/>
    <w:rsid w:val="00215E84"/>
    <w:rsid w:val="00216B6D"/>
    <w:rsid w:val="00240C31"/>
    <w:rsid w:val="00242E60"/>
    <w:rsid w:val="00250AF4"/>
    <w:rsid w:val="0025490F"/>
    <w:rsid w:val="00271316"/>
    <w:rsid w:val="00292388"/>
    <w:rsid w:val="002B2A75"/>
    <w:rsid w:val="002B742D"/>
    <w:rsid w:val="002D58BE"/>
    <w:rsid w:val="002E210D"/>
    <w:rsid w:val="00302316"/>
    <w:rsid w:val="00314818"/>
    <w:rsid w:val="003236A6"/>
    <w:rsid w:val="00332C56"/>
    <w:rsid w:val="0033380F"/>
    <w:rsid w:val="00345A52"/>
    <w:rsid w:val="00377BD3"/>
    <w:rsid w:val="003832C0"/>
    <w:rsid w:val="00384088"/>
    <w:rsid w:val="0039169B"/>
    <w:rsid w:val="003975E9"/>
    <w:rsid w:val="003A7F8C"/>
    <w:rsid w:val="003B38E6"/>
    <w:rsid w:val="003B532E"/>
    <w:rsid w:val="003D0F8B"/>
    <w:rsid w:val="004054F5"/>
    <w:rsid w:val="004079B0"/>
    <w:rsid w:val="00413423"/>
    <w:rsid w:val="0041348E"/>
    <w:rsid w:val="00417AD4"/>
    <w:rsid w:val="00444030"/>
    <w:rsid w:val="004506BC"/>
    <w:rsid w:val="004508E2"/>
    <w:rsid w:val="00476533"/>
    <w:rsid w:val="00477378"/>
    <w:rsid w:val="004801D7"/>
    <w:rsid w:val="00492075"/>
    <w:rsid w:val="004969AD"/>
    <w:rsid w:val="004A26C4"/>
    <w:rsid w:val="004B13CB"/>
    <w:rsid w:val="004C343B"/>
    <w:rsid w:val="004D5D5C"/>
    <w:rsid w:val="004E30AE"/>
    <w:rsid w:val="004E42A3"/>
    <w:rsid w:val="0050139F"/>
    <w:rsid w:val="00526703"/>
    <w:rsid w:val="00530525"/>
    <w:rsid w:val="00536976"/>
    <w:rsid w:val="0053699B"/>
    <w:rsid w:val="0055140B"/>
    <w:rsid w:val="00595449"/>
    <w:rsid w:val="00595780"/>
    <w:rsid w:val="005964AB"/>
    <w:rsid w:val="005C099A"/>
    <w:rsid w:val="005C31A5"/>
    <w:rsid w:val="005E10C9"/>
    <w:rsid w:val="005E61DD"/>
    <w:rsid w:val="006023DF"/>
    <w:rsid w:val="0061110F"/>
    <w:rsid w:val="00657DE0"/>
    <w:rsid w:val="006751F8"/>
    <w:rsid w:val="00685313"/>
    <w:rsid w:val="0069092B"/>
    <w:rsid w:val="00692833"/>
    <w:rsid w:val="00695330"/>
    <w:rsid w:val="006A6E9B"/>
    <w:rsid w:val="006B249F"/>
    <w:rsid w:val="006B7C2A"/>
    <w:rsid w:val="006C23DA"/>
    <w:rsid w:val="006E013B"/>
    <w:rsid w:val="006E3D45"/>
    <w:rsid w:val="006F580E"/>
    <w:rsid w:val="007063A0"/>
    <w:rsid w:val="007149F9"/>
    <w:rsid w:val="00733A30"/>
    <w:rsid w:val="007415AE"/>
    <w:rsid w:val="007423A3"/>
    <w:rsid w:val="00745AEE"/>
    <w:rsid w:val="00750F10"/>
    <w:rsid w:val="007742CA"/>
    <w:rsid w:val="00790D70"/>
    <w:rsid w:val="007A0E25"/>
    <w:rsid w:val="007D5320"/>
    <w:rsid w:val="008006C5"/>
    <w:rsid w:val="00800972"/>
    <w:rsid w:val="00804475"/>
    <w:rsid w:val="00811633"/>
    <w:rsid w:val="00811649"/>
    <w:rsid w:val="00813B79"/>
    <w:rsid w:val="00864CD2"/>
    <w:rsid w:val="00872FC8"/>
    <w:rsid w:val="008845D0"/>
    <w:rsid w:val="008A69FB"/>
    <w:rsid w:val="008B1AEA"/>
    <w:rsid w:val="008B43F2"/>
    <w:rsid w:val="008B6A98"/>
    <w:rsid w:val="008B6CFF"/>
    <w:rsid w:val="008C27E9"/>
    <w:rsid w:val="008C6BAA"/>
    <w:rsid w:val="008E15B3"/>
    <w:rsid w:val="00912CAD"/>
    <w:rsid w:val="00915D67"/>
    <w:rsid w:val="0092425C"/>
    <w:rsid w:val="009274B4"/>
    <w:rsid w:val="00934EA2"/>
    <w:rsid w:val="00940614"/>
    <w:rsid w:val="0094123D"/>
    <w:rsid w:val="00944A5C"/>
    <w:rsid w:val="00952A66"/>
    <w:rsid w:val="00957670"/>
    <w:rsid w:val="00987C1F"/>
    <w:rsid w:val="009A5EAC"/>
    <w:rsid w:val="009B20FB"/>
    <w:rsid w:val="009C3191"/>
    <w:rsid w:val="009C56E5"/>
    <w:rsid w:val="009C7F1D"/>
    <w:rsid w:val="009E5FC8"/>
    <w:rsid w:val="009E687A"/>
    <w:rsid w:val="009F63E2"/>
    <w:rsid w:val="00A066F1"/>
    <w:rsid w:val="00A141AF"/>
    <w:rsid w:val="00A16D29"/>
    <w:rsid w:val="00A30305"/>
    <w:rsid w:val="00A31D2D"/>
    <w:rsid w:val="00A45BB2"/>
    <w:rsid w:val="00A4600A"/>
    <w:rsid w:val="00A538A6"/>
    <w:rsid w:val="00A54C25"/>
    <w:rsid w:val="00A5737E"/>
    <w:rsid w:val="00A710E7"/>
    <w:rsid w:val="00A7372E"/>
    <w:rsid w:val="00A811DC"/>
    <w:rsid w:val="00A835FD"/>
    <w:rsid w:val="00A90939"/>
    <w:rsid w:val="00A93B85"/>
    <w:rsid w:val="00A94A88"/>
    <w:rsid w:val="00AA0B18"/>
    <w:rsid w:val="00AA666F"/>
    <w:rsid w:val="00AB1817"/>
    <w:rsid w:val="00AB5A50"/>
    <w:rsid w:val="00AB7C5F"/>
    <w:rsid w:val="00AE11FC"/>
    <w:rsid w:val="00AF359D"/>
    <w:rsid w:val="00B125EF"/>
    <w:rsid w:val="00B154B3"/>
    <w:rsid w:val="00B2438A"/>
    <w:rsid w:val="00B276A1"/>
    <w:rsid w:val="00B31EF6"/>
    <w:rsid w:val="00B37B6D"/>
    <w:rsid w:val="00B625D3"/>
    <w:rsid w:val="00B639E9"/>
    <w:rsid w:val="00B817CD"/>
    <w:rsid w:val="00B94AD0"/>
    <w:rsid w:val="00BA5265"/>
    <w:rsid w:val="00BB3A95"/>
    <w:rsid w:val="00BB6D50"/>
    <w:rsid w:val="00BC4342"/>
    <w:rsid w:val="00BD2DE1"/>
    <w:rsid w:val="00BE5A93"/>
    <w:rsid w:val="00C0018F"/>
    <w:rsid w:val="00C00521"/>
    <w:rsid w:val="00C0505D"/>
    <w:rsid w:val="00C16A5A"/>
    <w:rsid w:val="00C20466"/>
    <w:rsid w:val="00C214ED"/>
    <w:rsid w:val="00C22D97"/>
    <w:rsid w:val="00C234E6"/>
    <w:rsid w:val="00C26BA2"/>
    <w:rsid w:val="00C324A8"/>
    <w:rsid w:val="00C43482"/>
    <w:rsid w:val="00C45BD0"/>
    <w:rsid w:val="00C54517"/>
    <w:rsid w:val="00C55BD2"/>
    <w:rsid w:val="00C63B4E"/>
    <w:rsid w:val="00C64CD8"/>
    <w:rsid w:val="00C82672"/>
    <w:rsid w:val="00C97C68"/>
    <w:rsid w:val="00CA1A47"/>
    <w:rsid w:val="00CA241F"/>
    <w:rsid w:val="00CC0738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689D"/>
    <w:rsid w:val="00D57A34"/>
    <w:rsid w:val="00D6112A"/>
    <w:rsid w:val="00D61149"/>
    <w:rsid w:val="00D67328"/>
    <w:rsid w:val="00D74898"/>
    <w:rsid w:val="00D801ED"/>
    <w:rsid w:val="00D936BC"/>
    <w:rsid w:val="00D96530"/>
    <w:rsid w:val="00DB310A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45B0"/>
    <w:rsid w:val="00E55816"/>
    <w:rsid w:val="00E55AEF"/>
    <w:rsid w:val="00E84ED7"/>
    <w:rsid w:val="00E917FD"/>
    <w:rsid w:val="00E976C1"/>
    <w:rsid w:val="00EA12E5"/>
    <w:rsid w:val="00EB55C6"/>
    <w:rsid w:val="00EC3814"/>
    <w:rsid w:val="00EF2B09"/>
    <w:rsid w:val="00F02766"/>
    <w:rsid w:val="00F05BD4"/>
    <w:rsid w:val="00F1045B"/>
    <w:rsid w:val="00F50484"/>
    <w:rsid w:val="00F5379F"/>
    <w:rsid w:val="00F6155B"/>
    <w:rsid w:val="00F65C19"/>
    <w:rsid w:val="00F7356B"/>
    <w:rsid w:val="00F776DF"/>
    <w:rsid w:val="00F840C7"/>
    <w:rsid w:val="00FA218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Hyperlink">
    <w:name w:val="Hyperlink"/>
    <w:aliases w:val="CEO_Hyperlink,超级链接"/>
    <w:basedOn w:val="DefaultParagraphFont"/>
    <w:uiPriority w:val="99"/>
    <w:unhideWhenUsed/>
    <w:rsid w:val="00B24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cite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615475-6785-4589-8a0b-12101ef3f4e6" targetNamespace="http://schemas.microsoft.com/office/2006/metadata/properties" ma:root="true" ma:fieldsID="d41af5c836d734370eb92e7ee5f83852" ns2:_="" ns3:_="">
    <xsd:import namespace="996b2e75-67fd-4955-a3b0-5ab9934cb50b"/>
    <xsd:import namespace="f0615475-6785-4589-8a0b-12101ef3f4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475-6785-4589-8a0b-12101ef3f4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615475-6785-4589-8a0b-12101ef3f4e6">Documents Proposals Manager (DPM)</DPM_x0020_Author>
    <DPM_x0020_File_x0020_name xmlns="f0615475-6785-4589-8a0b-12101ef3f4e6">T13-WTSA.16-C-0046!A27!MSW-F</DPM_x0020_File_x0020_name>
    <DPM_x0020_Version xmlns="f0615475-6785-4589-8a0b-12101ef3f4e6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615475-6785-4589-8a0b-12101ef3f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f0615475-6785-4589-8a0b-12101ef3f4e6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C51809-3B84-4137-96D4-FF8089F0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569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T13-WTSA.16-C-0046!A27!MSW-F</vt:lpstr>
    </vt:vector>
  </TitlesOfParts>
  <Manager>General Secretariat - Pool</Manager>
  <Company>International Telecommunication Union (ITU)</Company>
  <LinksUpToDate>false</LinksUpToDate>
  <CharactersWithSpaces>3957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T13-WTSA.16-C-0046!A27!MSW-F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Haari, Laetitia</cp:lastModifiedBy>
  <cp:revision>9</cp:revision>
  <cp:lastPrinted>2016-10-10T07:26:00Z</cp:lastPrinted>
  <dcterms:created xsi:type="dcterms:W3CDTF">2016-10-10T06:24:00Z</dcterms:created>
  <dcterms:modified xsi:type="dcterms:W3CDTF">2016-10-10T10:04:00Z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