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357"/>
        <w:gridCol w:w="5260"/>
        <w:gridCol w:w="1390"/>
        <w:gridCol w:w="1804"/>
      </w:tblGrid>
      <w:tr w:rsidR="00BC7D84" w:rsidRPr="00426748" w:rsidTr="00F00DDC">
        <w:trPr>
          <w:cantSplit/>
        </w:trPr>
        <w:tc>
          <w:tcPr>
            <w:tcW w:w="1357" w:type="dxa"/>
            <w:vAlign w:val="center"/>
          </w:tcPr>
          <w:p w:rsidR="00BC7D84" w:rsidRPr="00426748" w:rsidRDefault="00BC7D84" w:rsidP="00F00DDC">
            <w:pPr>
              <w:pStyle w:val="TopHeader"/>
              <w:rPr>
                <w:sz w:val="22"/>
                <w:szCs w:val="22"/>
              </w:rPr>
            </w:pPr>
            <w:r w:rsidRPr="00977369"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gridSpan w:val="2"/>
            <w:vAlign w:val="center"/>
          </w:tcPr>
          <w:p w:rsidR="00BC7D84" w:rsidRPr="00426748" w:rsidRDefault="00BC7D84" w:rsidP="00E94DBA">
            <w:pPr>
              <w:pStyle w:val="TopHeader"/>
              <w:rPr>
                <w:sz w:val="22"/>
                <w:szCs w:val="22"/>
              </w:rPr>
            </w:pPr>
            <w:r w:rsidRPr="00426748">
              <w:t>World Telecommunication Standardization Assembly (WTSA-16)</w:t>
            </w:r>
            <w:r w:rsidRPr="00EC7F04">
              <w:br/>
            </w:r>
            <w:r>
              <w:rPr>
                <w:sz w:val="20"/>
                <w:szCs w:val="20"/>
              </w:rPr>
              <w:t>Hammamet, 25 October - 3 November</w:t>
            </w:r>
            <w:r w:rsidRPr="00EC7F04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804" w:type="dxa"/>
            <w:vAlign w:val="center"/>
          </w:tcPr>
          <w:p w:rsidR="00BC7D84" w:rsidRPr="00E0753B" w:rsidRDefault="00BC7D84" w:rsidP="00F00DDC">
            <w:pPr>
              <w:jc w:val="right"/>
            </w:pPr>
            <w:r w:rsidRPr="00E0753B"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  <w:tcBorders>
              <w:bottom w:val="single" w:sz="12" w:space="0" w:color="auto"/>
            </w:tcBorders>
          </w:tcPr>
          <w:p w:rsidR="00BC7D84" w:rsidRPr="003251EA" w:rsidRDefault="00BC7D84" w:rsidP="00F00DDC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bottom w:val="single" w:sz="12" w:space="0" w:color="auto"/>
            </w:tcBorders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  <w:tcBorders>
              <w:top w:val="single" w:sz="12" w:space="0" w:color="auto"/>
            </w:tcBorders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3251EA" w:rsidRDefault="00BC7D84" w:rsidP="00F00DD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</w:tcPr>
          <w:p w:rsidR="00BC7D84" w:rsidRPr="00420EDB" w:rsidRDefault="00AB416A" w:rsidP="00F00DDC">
            <w:pPr>
              <w:pStyle w:val="Committee"/>
            </w:pPr>
            <w:r>
              <w:t>PLENARY MEETING</w:t>
            </w:r>
          </w:p>
        </w:tc>
        <w:tc>
          <w:tcPr>
            <w:tcW w:w="3194" w:type="dxa"/>
            <w:gridSpan w:val="2"/>
          </w:tcPr>
          <w:p w:rsidR="00BC7D84" w:rsidRPr="003251EA" w:rsidRDefault="00BC7D84" w:rsidP="00F00DDC">
            <w:pPr>
              <w:pStyle w:val="Docnumber"/>
              <w:ind w:left="-57"/>
            </w:pPr>
            <w:r>
              <w:t>Addendum 27 to</w:t>
            </w:r>
            <w:r>
              <w:br/>
              <w:t>Document 46</w:t>
            </w:r>
            <w:r w:rsidRPr="0056747D">
              <w:t>-</w:t>
            </w:r>
            <w:r w:rsidRPr="003251EA">
              <w:t>E</w:t>
            </w: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3251EA" w:rsidRDefault="00BC7D84" w:rsidP="00E94DBA">
            <w:pPr>
              <w:pStyle w:val="Docnumber"/>
              <w:ind w:left="-57"/>
            </w:pPr>
            <w:r w:rsidRPr="003251EA">
              <w:t>23 September 2016</w:t>
            </w: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3251EA" w:rsidRDefault="00BC7D84" w:rsidP="00E94DBA">
            <w:pPr>
              <w:pStyle w:val="Docnumber"/>
              <w:ind w:left="-57"/>
            </w:pPr>
            <w:r w:rsidRPr="003251EA">
              <w:t>Original: English</w:t>
            </w:r>
          </w:p>
        </w:tc>
      </w:tr>
      <w:tr w:rsidR="00BC7D84" w:rsidRPr="003251EA" w:rsidTr="00F00DDC">
        <w:trPr>
          <w:cantSplit/>
        </w:trPr>
        <w:tc>
          <w:tcPr>
            <w:tcW w:w="9811" w:type="dxa"/>
            <w:gridSpan w:val="4"/>
          </w:tcPr>
          <w:p w:rsidR="00BC7D84" w:rsidRPr="003251EA" w:rsidRDefault="00BC7D84" w:rsidP="00F00DDC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D643B3" w:rsidRDefault="00BC7D84" w:rsidP="00F00DDC">
            <w:pPr>
              <w:pStyle w:val="Source"/>
              <w:rPr>
                <w:highlight w:val="yellow"/>
              </w:rPr>
            </w:pPr>
            <w:r>
              <w:t>Member States of the Inter-American Telecommunication Commission (CITEL)</w:t>
            </w: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D643B3" w:rsidRDefault="00BC7D84" w:rsidP="00F00DDC">
            <w:pPr>
              <w:pStyle w:val="Title1"/>
              <w:rPr>
                <w:highlight w:val="yellow"/>
              </w:rPr>
            </w:pPr>
            <w:r>
              <w:t>Proposed suppression of WTSA-12 Resolution 45 - Effective coordination of standardization work across study groups in the ITU Telecommunication Standardization Sector and the role of the ITU Telecommunication Standardization Advisory Group</w:t>
            </w: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Default="00BC7D84" w:rsidP="00F00DDC">
            <w:pPr>
              <w:pStyle w:val="Title2"/>
            </w:pP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E216F8" w:rsidRDefault="00BC7D84" w:rsidP="00F00DDC">
            <w:pPr>
              <w:pStyle w:val="Agendaitem"/>
              <w:rPr>
                <w:lang w:val="en-GB"/>
              </w:rPr>
            </w:pPr>
          </w:p>
        </w:tc>
      </w:tr>
    </w:tbl>
    <w:p w:rsidR="009E1967" w:rsidRDefault="009E1967" w:rsidP="009E1967"/>
    <w:tbl>
      <w:tblPr>
        <w:tblpPr w:leftFromText="180" w:rightFromText="180" w:vertAnchor="text" w:tblpY="1"/>
        <w:tblOverlap w:val="never"/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2957A7" w:rsidRPr="002957A7" w:rsidTr="00E216F8">
        <w:trPr>
          <w:cantSplit/>
        </w:trPr>
        <w:tc>
          <w:tcPr>
            <w:tcW w:w="1912" w:type="dxa"/>
          </w:tcPr>
          <w:p w:rsidR="009E1967" w:rsidRPr="00426748" w:rsidRDefault="009E1967" w:rsidP="00D055D3">
            <w:r w:rsidRPr="008F7104">
              <w:rPr>
                <w:b/>
                <w:bCs/>
              </w:rPr>
              <w:t>Abstract:</w:t>
            </w:r>
          </w:p>
        </w:tc>
        <w:sdt>
          <w:sdtPr>
            <w:rPr>
              <w:color w:val="000000" w:themeColor="text1"/>
              <w:lang w:val="en-US"/>
            </w:rPr>
            <w:alias w:val="Abstract"/>
            <w:tag w:val="Abstract"/>
            <w:id w:val="-939903723"/>
            <w:placeholder>
              <w:docPart w:val="E6A04320D0824299BD96245E84494D7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Content>
            <w:tc>
              <w:tcPr>
                <w:tcW w:w="7899" w:type="dxa"/>
              </w:tcPr>
              <w:p w:rsidR="009E1967" w:rsidRPr="002957A7" w:rsidRDefault="00E216F8" w:rsidP="00D055D3">
                <w:pPr>
                  <w:rPr>
                    <w:color w:val="000000" w:themeColor="text1"/>
                  </w:rPr>
                </w:pPr>
                <w:r w:rsidRPr="00E216F8">
                  <w:rPr>
                    <w:color w:val="000000" w:themeColor="text1"/>
                    <w:lang w:val="en-US"/>
                  </w:rPr>
                  <w:t>This contribution proposes the suppression of Resolution 45 of WTSA-12 –  Effective coordination of standardization work across study groups in the ITU Telecommunication Standardization Sector and the role of the ITU Telecommunication Standardization Advisory Group</w:t>
                </w:r>
                <w:r>
                  <w:rPr>
                    <w:color w:val="000000" w:themeColor="text1"/>
                    <w:lang w:val="en-US"/>
                  </w:rPr>
                  <w:t>.</w:t>
                </w:r>
              </w:p>
            </w:tc>
          </w:sdtContent>
        </w:sdt>
      </w:tr>
    </w:tbl>
    <w:p w:rsidR="00E216F8" w:rsidRPr="00E216F8" w:rsidRDefault="00E216F8" w:rsidP="00E216F8">
      <w:pPr>
        <w:pStyle w:val="Headingb"/>
      </w:pPr>
      <w:r w:rsidRPr="00E216F8">
        <w:t>Discussion</w:t>
      </w:r>
    </w:p>
    <w:p w:rsidR="00E216F8" w:rsidRPr="00E216F8" w:rsidRDefault="00E216F8" w:rsidP="00E216F8">
      <w:pPr>
        <w:rPr>
          <w:lang w:val="en-US"/>
        </w:rPr>
      </w:pPr>
      <w:r w:rsidRPr="00E216F8">
        <w:rPr>
          <w:lang w:val="en-US"/>
        </w:rPr>
        <w:t xml:space="preserve">There is no apparent purpose served in maintaining Resolution 45, given TSAG’s ongoing role and responsibilities defined in Article 14A of the ITU Convention, and in ITU-T Resolutions 1 and 22, which include such a coordination function. In consideration of the </w:t>
      </w:r>
      <w:r w:rsidRPr="00E216F8">
        <w:rPr>
          <w:i/>
          <w:lang w:val="en-US"/>
        </w:rPr>
        <w:t>resolves</w:t>
      </w:r>
      <w:r w:rsidRPr="00E216F8">
        <w:rPr>
          <w:lang w:val="en-US"/>
        </w:rPr>
        <w:t xml:space="preserve"> of Resolution 45, references are made to the following:</w:t>
      </w:r>
    </w:p>
    <w:p w:rsidR="00E216F8" w:rsidRPr="00E216F8" w:rsidRDefault="00E216F8" w:rsidP="00E216F8">
      <w:pPr>
        <w:pStyle w:val="enumlev1"/>
        <w:rPr>
          <w:lang w:val="en-US"/>
        </w:rPr>
      </w:pPr>
      <w:r w:rsidRPr="00E216F8">
        <w:rPr>
          <w:iCs/>
          <w:lang w:val="en-US"/>
        </w:rPr>
        <w:t>i)</w:t>
      </w:r>
      <w:r w:rsidRPr="00E216F8">
        <w:rPr>
          <w:iCs/>
          <w:lang w:val="en-US"/>
        </w:rPr>
        <w:tab/>
      </w:r>
      <w:r w:rsidRPr="00E216F8">
        <w:rPr>
          <w:i/>
          <w:lang w:val="en-US"/>
        </w:rPr>
        <w:t>the identification of high-level objectives and priorities for ITU-T studies from a global perspective</w:t>
      </w:r>
      <w:r w:rsidRPr="00E216F8">
        <w:rPr>
          <w:lang w:val="en-US"/>
        </w:rPr>
        <w:t xml:space="preserve">.  This can be achieved through the recent establishment of the TSAG Rapporteur Group on the Standardization Strategy. </w:t>
      </w:r>
    </w:p>
    <w:p w:rsidR="00E216F8" w:rsidRPr="00E216F8" w:rsidRDefault="00E216F8" w:rsidP="00E216F8">
      <w:pPr>
        <w:pStyle w:val="enumlev1"/>
        <w:rPr>
          <w:lang w:val="en-US"/>
        </w:rPr>
      </w:pPr>
      <w:r w:rsidRPr="00E216F8">
        <w:rPr>
          <w:iCs/>
          <w:lang w:val="en-US"/>
        </w:rPr>
        <w:t>ii)</w:t>
      </w:r>
      <w:r w:rsidRPr="00E216F8">
        <w:rPr>
          <w:iCs/>
          <w:lang w:val="en-US"/>
        </w:rPr>
        <w:tab/>
      </w:r>
      <w:r w:rsidRPr="00E216F8">
        <w:rPr>
          <w:i/>
          <w:lang w:val="en-US"/>
        </w:rPr>
        <w:t>cooperation between study groups, including the avoidance of duplication of work and the identification of linkages between related work items</w:t>
      </w:r>
      <w:r w:rsidRPr="00E216F8">
        <w:rPr>
          <w:lang w:val="en-US"/>
        </w:rPr>
        <w:t>. TSAG’s ongoing responsibilities include this function, which is supported by regular meetings/conference calls of the Study Group Management Team.</w:t>
      </w:r>
    </w:p>
    <w:p w:rsidR="00E216F8" w:rsidRPr="00E216F8" w:rsidRDefault="00E216F8" w:rsidP="00E216F8">
      <w:pPr>
        <w:pStyle w:val="enumlev1"/>
        <w:rPr>
          <w:lang w:val="en-US"/>
        </w:rPr>
      </w:pPr>
    </w:p>
    <w:p w:rsidR="00E216F8" w:rsidRPr="00E216F8" w:rsidRDefault="00E216F8" w:rsidP="00E216F8">
      <w:pPr>
        <w:pStyle w:val="enumlev1"/>
        <w:rPr>
          <w:lang w:val="en-US"/>
        </w:rPr>
      </w:pPr>
      <w:r w:rsidRPr="00E216F8">
        <w:rPr>
          <w:iCs/>
          <w:lang w:val="en-US"/>
        </w:rPr>
        <w:t>iii)</w:t>
      </w:r>
      <w:r w:rsidRPr="00E216F8">
        <w:rPr>
          <w:iCs/>
          <w:lang w:val="en-US"/>
        </w:rPr>
        <w:tab/>
      </w:r>
      <w:r w:rsidRPr="00E216F8">
        <w:rPr>
          <w:i/>
          <w:lang w:val="en-US"/>
        </w:rPr>
        <w:t>the planned coordination of time</w:t>
      </w:r>
      <w:r w:rsidRPr="00E216F8">
        <w:rPr>
          <w:lang w:val="en-US"/>
        </w:rPr>
        <w:t>-</w:t>
      </w:r>
      <w:r w:rsidRPr="00E216F8">
        <w:rPr>
          <w:i/>
          <w:lang w:val="en-US"/>
        </w:rPr>
        <w:t>frames, deliverables, objectives and milestones for standardization activities</w:t>
      </w:r>
      <w:r w:rsidRPr="00E216F8">
        <w:rPr>
          <w:lang w:val="en-US"/>
        </w:rPr>
        <w:t>. The Strategic Plan for ITU, based on a results-based management framework, along with the rolling operational plans, are under review on an ongoing basis by the TSAG Rapporteur Group on strategic and operational planning.</w:t>
      </w:r>
    </w:p>
    <w:p w:rsidR="00E216F8" w:rsidRPr="00E216F8" w:rsidRDefault="00E216F8" w:rsidP="00E216F8">
      <w:pPr>
        <w:pStyle w:val="enumlev1"/>
        <w:rPr>
          <w:lang w:val="en-US"/>
        </w:rPr>
      </w:pPr>
      <w:r w:rsidRPr="00E216F8">
        <w:rPr>
          <w:iCs/>
          <w:lang w:val="en-US"/>
        </w:rPr>
        <w:t>iv)</w:t>
      </w:r>
      <w:r w:rsidRPr="00E216F8">
        <w:rPr>
          <w:iCs/>
          <w:lang w:val="en-US"/>
        </w:rPr>
        <w:tab/>
      </w:r>
      <w:r w:rsidRPr="00E216F8">
        <w:rPr>
          <w:i/>
          <w:lang w:val="en-US"/>
        </w:rPr>
        <w:t>that the interests of developing countries are taken into account and that their involvement in these activities is encouraged and facilitated.</w:t>
      </w:r>
      <w:r w:rsidRPr="00E216F8">
        <w:rPr>
          <w:lang w:val="en-US"/>
        </w:rPr>
        <w:t xml:space="preserve"> This is a directive implemented throughout the entire Sector; in TSAG, two Vice-chairs are specifically tasked with matters relating to “bridging the standardization gap”.</w:t>
      </w:r>
    </w:p>
    <w:p w:rsidR="00E216F8" w:rsidRPr="00E216F8" w:rsidRDefault="00E216F8" w:rsidP="00E216F8">
      <w:pPr>
        <w:pStyle w:val="enumlev1"/>
        <w:rPr>
          <w:lang w:val="en-US"/>
        </w:rPr>
      </w:pPr>
      <w:r w:rsidRPr="00E216F8">
        <w:rPr>
          <w:iCs/>
          <w:lang w:val="en-US"/>
        </w:rPr>
        <w:t>v)</w:t>
      </w:r>
      <w:r w:rsidRPr="00E216F8">
        <w:rPr>
          <w:iCs/>
          <w:lang w:val="en-US"/>
        </w:rPr>
        <w:tab/>
      </w:r>
      <w:r w:rsidRPr="00E216F8">
        <w:rPr>
          <w:i/>
          <w:lang w:val="en-US"/>
        </w:rPr>
        <w:t>cooperation and coordination with ITU-R and ITU-D and with other, external, standardization bodies.</w:t>
      </w:r>
      <w:r w:rsidRPr="00E216F8">
        <w:rPr>
          <w:lang w:val="en-US"/>
        </w:rPr>
        <w:t xml:space="preserve"> Matters relating to inter-Sector coordination and collaboration are undertaken in TSAG sub-Rapporteur Group on intra-ITU collaboration and coordination. This is supported at the membership level by the new Inter-Sector Coordination Team, and at the Secretariat level, by the Inter-Sector Coordination Task Force. In relation to external organization, TSAG has established a Rapporteur Group on Strengthening Collaboration with external entities and SDOs.</w:t>
      </w:r>
    </w:p>
    <w:p w:rsidR="00E216F8" w:rsidRPr="00E216F8" w:rsidRDefault="00E216F8" w:rsidP="00E216F8">
      <w:pPr>
        <w:pStyle w:val="Headingb"/>
      </w:pPr>
      <w:r w:rsidRPr="00E216F8">
        <w:t>Proposal</w:t>
      </w:r>
    </w:p>
    <w:p w:rsidR="00E216F8" w:rsidRPr="00E216F8" w:rsidRDefault="00E216F8" w:rsidP="00E216F8">
      <w:pPr>
        <w:rPr>
          <w:lang w:val="en-US"/>
        </w:rPr>
      </w:pPr>
      <w:r w:rsidRPr="00E216F8">
        <w:rPr>
          <w:lang w:val="en-US"/>
        </w:rPr>
        <w:t>Given that actions associated with Resolution are being addressed on an ongoing basis, Resolution 45 can be suppressed.</w:t>
      </w:r>
    </w:p>
    <w:p w:rsidR="00ED30BC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E1967" w:rsidRDefault="009E1967" w:rsidP="009E1967"/>
    <w:p w:rsidR="005709C7" w:rsidRDefault="00E216F8">
      <w:pPr>
        <w:pStyle w:val="Proposal"/>
      </w:pPr>
      <w:r>
        <w:t>SUP</w:t>
      </w:r>
      <w:r>
        <w:tab/>
        <w:t>IAP/46A27/1</w:t>
      </w:r>
    </w:p>
    <w:p w:rsidR="00324ABE" w:rsidRPr="00BC43D8" w:rsidRDefault="00E216F8" w:rsidP="00324ABE">
      <w:pPr>
        <w:pStyle w:val="ResNo"/>
      </w:pPr>
      <w:r w:rsidRPr="00BC43D8">
        <w:t>RESOLUTION 45 (</w:t>
      </w:r>
      <w:r w:rsidRPr="00BC43D8">
        <w:t>REV. DUBAI, 2012</w:t>
      </w:r>
      <w:r w:rsidRPr="00BC43D8">
        <w:t>)</w:t>
      </w:r>
    </w:p>
    <w:p w:rsidR="00324ABE" w:rsidRPr="00BC43D8" w:rsidRDefault="00E216F8" w:rsidP="00324ABE">
      <w:pPr>
        <w:pStyle w:val="Restitle"/>
      </w:pPr>
      <w:r w:rsidRPr="00BC43D8">
        <w:t xml:space="preserve">Effective coordination of standardization work across </w:t>
      </w:r>
      <w:r w:rsidRPr="00BC43D8">
        <w:br/>
        <w:t xml:space="preserve">study groups in the ITU Telecommunication </w:t>
      </w:r>
      <w:r w:rsidRPr="00BC43D8">
        <w:t>Standardization</w:t>
      </w:r>
      <w:r w:rsidRPr="00BC43D8">
        <w:br/>
        <w:t xml:space="preserve"> Sector and the role of the ITU Telecommunication</w:t>
      </w:r>
      <w:r w:rsidRPr="00BC43D8">
        <w:br/>
        <w:t xml:space="preserve"> Standardization Advisory Group</w:t>
      </w:r>
    </w:p>
    <w:p w:rsidR="00324ABE" w:rsidRPr="00BC43D8" w:rsidRDefault="00E216F8" w:rsidP="00324ABE">
      <w:pPr>
        <w:pStyle w:val="Resref"/>
      </w:pPr>
      <w:r w:rsidRPr="00BC43D8">
        <w:t>(</w:t>
      </w:r>
      <w:r w:rsidRPr="00BC43D8" w:rsidDel="00F12BE4">
        <w:t>Florianópolis</w:t>
      </w:r>
      <w:r w:rsidRPr="00BC43D8">
        <w:t>, 2004; Johannesburg, 2008; Dubai, 2012)</w:t>
      </w:r>
    </w:p>
    <w:p w:rsidR="00324ABE" w:rsidRPr="00735B87" w:rsidRDefault="00E216F8" w:rsidP="00324ABE">
      <w:pPr>
        <w:pStyle w:val="Normalaftertitle"/>
        <w:rPr>
          <w:lang w:val="en-US"/>
        </w:rPr>
      </w:pPr>
      <w:r w:rsidRPr="00735B87">
        <w:rPr>
          <w:lang w:val="en-US"/>
        </w:rPr>
        <w:t>The World Telecommunication Standardization Assembly (Dubai, 2012),</w:t>
      </w:r>
    </w:p>
    <w:p w:rsidR="005709C7" w:rsidRDefault="00E216F8">
      <w:pPr>
        <w:pStyle w:val="Reasons"/>
      </w:pPr>
      <w:r>
        <w:rPr>
          <w:b/>
        </w:rPr>
        <w:t>Reasons:</w:t>
      </w:r>
      <w:r>
        <w:tab/>
      </w:r>
      <w:r w:rsidRPr="00E216F8">
        <w:t>See discussion and proposal to Document</w:t>
      </w:r>
      <w:bookmarkStart w:id="0" w:name="_GoBack"/>
      <w:bookmarkEnd w:id="0"/>
      <w:r w:rsidRPr="00E216F8">
        <w:t>o 46 (Add. 27).</w:t>
      </w:r>
    </w:p>
    <w:sectPr w:rsidR="005709C7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27" w:rsidRDefault="00245127">
      <w:r>
        <w:separator/>
      </w:r>
    </w:p>
  </w:endnote>
  <w:endnote w:type="continuationSeparator" w:id="0">
    <w:p w:rsidR="00245127" w:rsidRDefault="0024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60D05">
      <w:rPr>
        <w:noProof/>
        <w:lang w:val="en-US"/>
      </w:rPr>
      <w:t>E:\Dropbox\ProposalSharing\WTSA-16\Template\WTSA16-E.docx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216F8">
      <w:rPr>
        <w:noProof/>
      </w:rPr>
      <w:t>23.09.16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60D05"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Pr="00E216F8" w:rsidRDefault="00E216F8" w:rsidP="00E216F8">
    <w:pPr>
      <w:rPr>
        <w:caps/>
        <w:noProof/>
        <w:sz w:val="16"/>
        <w:lang w:val="fr-CH"/>
      </w:rPr>
    </w:pPr>
    <w:r w:rsidRPr="00E216F8">
      <w:rPr>
        <w:caps/>
        <w:noProof/>
        <w:sz w:val="16"/>
        <w:lang w:val="fr-CH"/>
      </w:rPr>
      <w:t>ITU-T\CONF-T\WTSA16\000\046ADD27E.DOC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E216F8" w:rsidTr="001C1789">
      <w:trPr>
        <w:cantSplit/>
        <w:trHeight w:val="204"/>
      </w:trPr>
      <w:tc>
        <w:tcPr>
          <w:tcW w:w="1617" w:type="dxa"/>
          <w:tcBorders>
            <w:top w:val="single" w:sz="12" w:space="0" w:color="auto"/>
          </w:tcBorders>
        </w:tcPr>
        <w:p w:rsidR="00E216F8" w:rsidRDefault="00E216F8" w:rsidP="00E216F8">
          <w:pPr>
            <w:rPr>
              <w:b/>
              <w:bCs/>
            </w:rPr>
          </w:pPr>
          <w:bookmarkStart w:id="1" w:name="dcontact"/>
          <w:r>
            <w:rPr>
              <w:b/>
              <w:bCs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E216F8" w:rsidRPr="008A0DED" w:rsidRDefault="00E216F8" w:rsidP="00E216F8">
          <w:pPr>
            <w:rPr>
              <w:lang w:val="es-ES"/>
            </w:rPr>
          </w:pPr>
          <w:r w:rsidRPr="008A0DED">
            <w:rPr>
              <w:lang w:val="es-ES"/>
            </w:rPr>
            <w:t>Oscar León</w:t>
          </w:r>
        </w:p>
        <w:p w:rsidR="00E216F8" w:rsidRPr="008A0DED" w:rsidRDefault="00E216F8" w:rsidP="00E216F8">
          <w:pPr>
            <w:spacing w:before="0"/>
            <w:rPr>
              <w:lang w:val="es-ES"/>
            </w:rPr>
          </w:pPr>
          <w:r w:rsidRPr="008A0DED">
            <w:rPr>
              <w:lang w:val="es-ES"/>
            </w:rPr>
            <w:t>CITEL</w:t>
          </w:r>
        </w:p>
        <w:p w:rsidR="00E216F8" w:rsidRPr="008A0DED" w:rsidRDefault="00E216F8" w:rsidP="00E216F8">
          <w:pPr>
            <w:spacing w:before="0"/>
            <w:rPr>
              <w:lang w:val="es-ES"/>
            </w:rPr>
          </w:pPr>
          <w:r w:rsidRPr="008A0DED">
            <w:rPr>
              <w:lang w:val="es-ES"/>
            </w:rPr>
            <w:t>Washington, DC, USA</w:t>
          </w:r>
        </w:p>
      </w:tc>
      <w:tc>
        <w:tcPr>
          <w:tcW w:w="3912" w:type="dxa"/>
          <w:tcBorders>
            <w:top w:val="single" w:sz="12" w:space="0" w:color="auto"/>
          </w:tcBorders>
        </w:tcPr>
        <w:p w:rsidR="00E216F8" w:rsidRDefault="00E216F8" w:rsidP="00E216F8">
          <w:r>
            <w:t>Tel: + 1 (202) 370-4713</w:t>
          </w:r>
        </w:p>
        <w:p w:rsidR="00E216F8" w:rsidRDefault="00E216F8" w:rsidP="00E216F8">
          <w:pPr>
            <w:spacing w:before="0"/>
          </w:pPr>
          <w:r>
            <w:t>Fax: + 1 (202) 458-6854</w:t>
          </w:r>
        </w:p>
        <w:p w:rsidR="00E216F8" w:rsidRDefault="00E216F8" w:rsidP="00E216F8">
          <w:pPr>
            <w:spacing w:before="0"/>
          </w:pPr>
          <w:r>
            <w:t xml:space="preserve">Email: </w:t>
          </w:r>
          <w:hyperlink r:id="rId1" w:history="1">
            <w:r w:rsidRPr="008A1B5C">
              <w:rPr>
                <w:rStyle w:val="Hyperlink"/>
              </w:rPr>
              <w:t>citel@oas.org</w:t>
            </w:r>
          </w:hyperlink>
          <w:r>
            <w:t xml:space="preserve"> </w:t>
          </w:r>
        </w:p>
      </w:tc>
    </w:tr>
    <w:bookmarkEnd w:id="1"/>
  </w:tbl>
  <w:p w:rsidR="00864CD2" w:rsidRPr="00E216F8" w:rsidRDefault="00864CD2" w:rsidP="00E216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27" w:rsidRDefault="00245127">
      <w:r>
        <w:rPr>
          <w:b/>
        </w:rPr>
        <w:t>_______________</w:t>
      </w:r>
    </w:p>
  </w:footnote>
  <w:footnote w:type="continuationSeparator" w:id="0">
    <w:p w:rsidR="00245127" w:rsidRDefault="0024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Default="00C72D5C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216F8">
      <w:rPr>
        <w:noProof/>
      </w:rPr>
      <w:t>3</w:t>
    </w:r>
    <w:r>
      <w:fldChar w:fldCharType="end"/>
    </w:r>
  </w:p>
  <w:p w:rsidR="00A066F1" w:rsidRPr="00C72D5C" w:rsidRDefault="00C72D5C" w:rsidP="008E67E5">
    <w:pPr>
      <w:pStyle w:val="Header"/>
    </w:pPr>
    <w:r>
      <w:t>WTSA16/</w:t>
    </w:r>
    <w:r w:rsidR="008E67E5">
      <w:t>46(Add.27)-E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65EC62D0"/>
    <w:multiLevelType w:val="hybridMultilevel"/>
    <w:tmpl w:val="2F12499E"/>
    <w:lvl w:ilvl="0" w:tplc="368CF3F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3D0B"/>
    <w:rsid w:val="00077239"/>
    <w:rsid w:val="000807E9"/>
    <w:rsid w:val="00086491"/>
    <w:rsid w:val="00091346"/>
    <w:rsid w:val="0009706C"/>
    <w:rsid w:val="000F73FF"/>
    <w:rsid w:val="00114CF7"/>
    <w:rsid w:val="00123B68"/>
    <w:rsid w:val="00126F2E"/>
    <w:rsid w:val="001301F4"/>
    <w:rsid w:val="00130789"/>
    <w:rsid w:val="00137CF6"/>
    <w:rsid w:val="00146F6F"/>
    <w:rsid w:val="00161472"/>
    <w:rsid w:val="0017074E"/>
    <w:rsid w:val="00182117"/>
    <w:rsid w:val="00187BD9"/>
    <w:rsid w:val="00190B55"/>
    <w:rsid w:val="001C3B5F"/>
    <w:rsid w:val="001D058F"/>
    <w:rsid w:val="001E6F73"/>
    <w:rsid w:val="002009EA"/>
    <w:rsid w:val="00202CA0"/>
    <w:rsid w:val="00216B6D"/>
    <w:rsid w:val="00236EBA"/>
    <w:rsid w:val="00245127"/>
    <w:rsid w:val="00250AF4"/>
    <w:rsid w:val="00260B50"/>
    <w:rsid w:val="00263BE8"/>
    <w:rsid w:val="00271316"/>
    <w:rsid w:val="00290F83"/>
    <w:rsid w:val="002957A7"/>
    <w:rsid w:val="002A1D23"/>
    <w:rsid w:val="002A5392"/>
    <w:rsid w:val="002B100E"/>
    <w:rsid w:val="002D58BE"/>
    <w:rsid w:val="00316B80"/>
    <w:rsid w:val="003251EA"/>
    <w:rsid w:val="0034635C"/>
    <w:rsid w:val="00377BD3"/>
    <w:rsid w:val="00384088"/>
    <w:rsid w:val="0039169B"/>
    <w:rsid w:val="00394470"/>
    <w:rsid w:val="003A7F8C"/>
    <w:rsid w:val="003B532E"/>
    <w:rsid w:val="003D0F8B"/>
    <w:rsid w:val="0041348E"/>
    <w:rsid w:val="00420EDB"/>
    <w:rsid w:val="004373CA"/>
    <w:rsid w:val="004420C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50139F"/>
    <w:rsid w:val="0055140B"/>
    <w:rsid w:val="00553247"/>
    <w:rsid w:val="0056747D"/>
    <w:rsid w:val="005709C7"/>
    <w:rsid w:val="00581B01"/>
    <w:rsid w:val="00595780"/>
    <w:rsid w:val="005964AB"/>
    <w:rsid w:val="005C099A"/>
    <w:rsid w:val="005C31A5"/>
    <w:rsid w:val="005E10C9"/>
    <w:rsid w:val="005E61DD"/>
    <w:rsid w:val="006023DF"/>
    <w:rsid w:val="00602F64"/>
    <w:rsid w:val="00623F15"/>
    <w:rsid w:val="00643684"/>
    <w:rsid w:val="00657DE0"/>
    <w:rsid w:val="0067500B"/>
    <w:rsid w:val="006763BF"/>
    <w:rsid w:val="00685313"/>
    <w:rsid w:val="00692833"/>
    <w:rsid w:val="006A6E9B"/>
    <w:rsid w:val="006A72A4"/>
    <w:rsid w:val="006B7C2A"/>
    <w:rsid w:val="006C23DA"/>
    <w:rsid w:val="006E3D45"/>
    <w:rsid w:val="006E6EE0"/>
    <w:rsid w:val="00700547"/>
    <w:rsid w:val="00707E39"/>
    <w:rsid w:val="007149F9"/>
    <w:rsid w:val="00733A30"/>
    <w:rsid w:val="00742F1D"/>
    <w:rsid w:val="00745AEE"/>
    <w:rsid w:val="00750F10"/>
    <w:rsid w:val="00761B19"/>
    <w:rsid w:val="007742CA"/>
    <w:rsid w:val="00790D70"/>
    <w:rsid w:val="007D5320"/>
    <w:rsid w:val="007E51BA"/>
    <w:rsid w:val="007E66EA"/>
    <w:rsid w:val="007F3C67"/>
    <w:rsid w:val="00800972"/>
    <w:rsid w:val="00804475"/>
    <w:rsid w:val="00811633"/>
    <w:rsid w:val="008508D8"/>
    <w:rsid w:val="00864CD2"/>
    <w:rsid w:val="00872FC8"/>
    <w:rsid w:val="008845D0"/>
    <w:rsid w:val="008B1AEA"/>
    <w:rsid w:val="008B43F2"/>
    <w:rsid w:val="008B6CFF"/>
    <w:rsid w:val="008E67E5"/>
    <w:rsid w:val="008F08A1"/>
    <w:rsid w:val="009163CF"/>
    <w:rsid w:val="0092425C"/>
    <w:rsid w:val="009274B4"/>
    <w:rsid w:val="00930EBD"/>
    <w:rsid w:val="00934EA2"/>
    <w:rsid w:val="00940614"/>
    <w:rsid w:val="00944A5C"/>
    <w:rsid w:val="00952A66"/>
    <w:rsid w:val="0095691C"/>
    <w:rsid w:val="009B59BB"/>
    <w:rsid w:val="009C56E5"/>
    <w:rsid w:val="009E1967"/>
    <w:rsid w:val="009E5FC8"/>
    <w:rsid w:val="009E687A"/>
    <w:rsid w:val="009F1890"/>
    <w:rsid w:val="009F4D71"/>
    <w:rsid w:val="00A066F1"/>
    <w:rsid w:val="00A141AF"/>
    <w:rsid w:val="00A16D29"/>
    <w:rsid w:val="00A30305"/>
    <w:rsid w:val="00A31D2D"/>
    <w:rsid w:val="00A36DF9"/>
    <w:rsid w:val="00A41CB8"/>
    <w:rsid w:val="00A4600A"/>
    <w:rsid w:val="00A538A6"/>
    <w:rsid w:val="00A54C25"/>
    <w:rsid w:val="00A710E7"/>
    <w:rsid w:val="00A7372E"/>
    <w:rsid w:val="00A93B85"/>
    <w:rsid w:val="00AA0B18"/>
    <w:rsid w:val="00AA666F"/>
    <w:rsid w:val="00AB416A"/>
    <w:rsid w:val="00AB7C5F"/>
    <w:rsid w:val="00B529AD"/>
    <w:rsid w:val="00B6324B"/>
    <w:rsid w:val="00B639E9"/>
    <w:rsid w:val="00B817CD"/>
    <w:rsid w:val="00B94AD0"/>
    <w:rsid w:val="00BA5265"/>
    <w:rsid w:val="00BB3A95"/>
    <w:rsid w:val="00BB6222"/>
    <w:rsid w:val="00BC2FB6"/>
    <w:rsid w:val="00BC7D84"/>
    <w:rsid w:val="00C0018F"/>
    <w:rsid w:val="00C0539A"/>
    <w:rsid w:val="00C16A5A"/>
    <w:rsid w:val="00C20466"/>
    <w:rsid w:val="00C214ED"/>
    <w:rsid w:val="00C234E6"/>
    <w:rsid w:val="00C324A8"/>
    <w:rsid w:val="00C479FD"/>
    <w:rsid w:val="00C54517"/>
    <w:rsid w:val="00C64CD8"/>
    <w:rsid w:val="00C72D5C"/>
    <w:rsid w:val="00C77E1A"/>
    <w:rsid w:val="00C97C68"/>
    <w:rsid w:val="00CA1A47"/>
    <w:rsid w:val="00CC247A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D44AF"/>
    <w:rsid w:val="00DE2AC3"/>
    <w:rsid w:val="00DE5692"/>
    <w:rsid w:val="00DF3E19"/>
    <w:rsid w:val="00E0231F"/>
    <w:rsid w:val="00E03C94"/>
    <w:rsid w:val="00E2134A"/>
    <w:rsid w:val="00E216F8"/>
    <w:rsid w:val="00E26226"/>
    <w:rsid w:val="00E45D05"/>
    <w:rsid w:val="00E55816"/>
    <w:rsid w:val="00E55AEF"/>
    <w:rsid w:val="00E870AC"/>
    <w:rsid w:val="00E94DBA"/>
    <w:rsid w:val="00E976C1"/>
    <w:rsid w:val="00EA12E5"/>
    <w:rsid w:val="00EB55C6"/>
    <w:rsid w:val="00EC7F04"/>
    <w:rsid w:val="00ED30BC"/>
    <w:rsid w:val="00F00DDC"/>
    <w:rsid w:val="00F02766"/>
    <w:rsid w:val="00F05BD4"/>
    <w:rsid w:val="00F2404A"/>
    <w:rsid w:val="00F60D05"/>
    <w:rsid w:val="00F6155B"/>
    <w:rsid w:val="00F65C19"/>
    <w:rsid w:val="00F7356B"/>
    <w:rsid w:val="00F80977"/>
    <w:rsid w:val="00F83F75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BE2DC32-E4F9-44A4-BEF6-497F66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nhideWhenUsed/>
    <w:rsid w:val="00E21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A04320D0824299BD96245E8449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563B-2F49-4169-806B-1CD00D5DDD19}"/>
      </w:docPartPr>
      <w:docPartBody>
        <w:p w:rsidR="00D17A5E" w:rsidRDefault="008A7E6B" w:rsidP="008A7E6B">
          <w:pPr>
            <w:pStyle w:val="E6A04320D0824299BD96245E84494D7E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6B"/>
    <w:rsid w:val="00081CBE"/>
    <w:rsid w:val="001C4DE2"/>
    <w:rsid w:val="00235800"/>
    <w:rsid w:val="00236915"/>
    <w:rsid w:val="002B79AF"/>
    <w:rsid w:val="00347F90"/>
    <w:rsid w:val="004028F8"/>
    <w:rsid w:val="00412379"/>
    <w:rsid w:val="00426CEF"/>
    <w:rsid w:val="004A43DD"/>
    <w:rsid w:val="0055704D"/>
    <w:rsid w:val="0056464A"/>
    <w:rsid w:val="006511FC"/>
    <w:rsid w:val="00763E18"/>
    <w:rsid w:val="008A7E6B"/>
    <w:rsid w:val="00BC7DBA"/>
    <w:rsid w:val="00D17A5E"/>
    <w:rsid w:val="00D26B4A"/>
    <w:rsid w:val="00E05AC0"/>
    <w:rsid w:val="00EA6104"/>
    <w:rsid w:val="00F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B"/>
    <w:rPr>
      <w:color w:val="808080"/>
    </w:rPr>
  </w:style>
  <w:style w:type="paragraph" w:customStyle="1" w:styleId="E6A04320D0824299BD96245E84494D7E">
    <w:name w:val="E6A04320D0824299BD96245E84494D7E"/>
    <w:rsid w:val="008A7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6cec0b6-cb91-49f1-add7-c18578ed8800" targetNamespace="http://schemas.microsoft.com/office/2006/metadata/properties" ma:root="true" ma:fieldsID="d41af5c836d734370eb92e7ee5f83852" ns2:_="" ns3:_="">
    <xsd:import namespace="996b2e75-67fd-4955-a3b0-5ab9934cb50b"/>
    <xsd:import namespace="56cec0b6-cb91-49f1-add7-c18578ed880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c0b6-cb91-49f1-add7-c18578ed880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6cec0b6-cb91-49f1-add7-c18578ed8800">Documents Proposals Manager (DPM)</DPM_x0020_Author>
    <DPM_x0020_File_x0020_name xmlns="56cec0b6-cb91-49f1-add7-c18578ed8800">T13-WTSA.16-C-0046!A27!MSW-E</DPM_x0020_File_x0020_name>
    <DPM_x0020_Version xmlns="56cec0b6-cb91-49f1-add7-c18578ed8800">DPM_v2016.9.22.1_prod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6cec0b6-cb91-49f1-add7-c18578ed8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schemas.microsoft.com/office/2006/documentManagement/types"/>
    <ds:schemaRef ds:uri="56cec0b6-cb91-49f1-add7-c18578ed8800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T13-WTSA.16-C-0046!A27!MSW-E</vt:lpstr>
    </vt:vector>
  </TitlesOfParts>
  <Manager>General Secretariat - Pool</Manager>
  <Company>International Telecommunication Union (ITU)</Company>
  <LinksUpToDate>false</LinksUpToDate>
  <CharactersWithSpaces>3431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T13-WTSA.16-C-0046!A27!MSW-E</dc:title>
  <dc:subject>World Telecommunication Standardization Assembly</dc:subject>
  <dc:creator>Documents Proposals Manager (DPM)</dc:creator>
  <cp:keywords>DPM_v2016.9.22.1_prod</cp:keywords>
  <dc:description>Template used by DPM and CPI for the WTSA-16</dc:description>
  <cp:lastModifiedBy>Clark, Robert</cp:lastModifiedBy>
  <cp:revision>2</cp:revision>
  <cp:lastPrinted>2016-06-06T07:49:00Z</cp:lastPrinted>
  <dcterms:created xsi:type="dcterms:W3CDTF">2016-09-23T10:08:00Z</dcterms:created>
  <dcterms:modified xsi:type="dcterms:W3CDTF">2016-09-23T10:08:00Z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