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02A0E03" wp14:editId="786864CD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proofErr w:type="spellStart"/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</w:t>
            </w:r>
            <w:proofErr w:type="spellEnd"/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4B520A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7EFF2E6" wp14:editId="2B464716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C83B6A" w:rsidP="004B520A">
            <w:pPr>
              <w:pStyle w:val="Committee"/>
              <w:framePr w:hSpace="0" w:wrap="auto" w:hAnchor="text" w:yAlign="inline"/>
            </w:pPr>
            <w:r w:rsidRPr="00C83B6A">
              <w:t>SESIÓN PLENARIA</w:t>
            </w:r>
          </w:p>
        </w:tc>
        <w:tc>
          <w:tcPr>
            <w:tcW w:w="3198" w:type="dxa"/>
            <w:gridSpan w:val="2"/>
          </w:tcPr>
          <w:p w:rsidR="00C83B6A" w:rsidRPr="00C83B6A" w:rsidRDefault="00C83B6A" w:rsidP="00C83B6A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proofErr w:type="spellStart"/>
            <w:r w:rsidRPr="00C83B6A">
              <w:rPr>
                <w:rFonts w:ascii="Verdana" w:hAnsi="Verdana"/>
                <w:b/>
                <w:sz w:val="20"/>
                <w:lang w:val="en-US"/>
              </w:rPr>
              <w:t>Addéndum</w:t>
            </w:r>
            <w:proofErr w:type="spellEnd"/>
            <w:r w:rsidRPr="00C83B6A">
              <w:rPr>
                <w:rFonts w:ascii="Verdana" w:hAnsi="Verdana"/>
                <w:b/>
                <w:sz w:val="20"/>
                <w:lang w:val="en-US"/>
              </w:rPr>
              <w:t xml:space="preserve"> 25 al</w:t>
            </w:r>
          </w:p>
          <w:p w:rsidR="00E83D45" w:rsidRPr="002074EC" w:rsidRDefault="00C83B6A" w:rsidP="00C83B6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C83B6A">
              <w:rPr>
                <w:rFonts w:ascii="Verdana" w:hAnsi="Verdana"/>
                <w:b/>
                <w:sz w:val="20"/>
                <w:lang w:val="en-US"/>
              </w:rPr>
              <w:t>Documento</w:t>
            </w:r>
            <w:proofErr w:type="spellEnd"/>
            <w:r w:rsidRPr="00C83B6A">
              <w:rPr>
                <w:rFonts w:ascii="Verdana" w:hAnsi="Verdana"/>
                <w:b/>
                <w:sz w:val="20"/>
                <w:lang w:val="en-US"/>
              </w:rPr>
              <w:t xml:space="preserve"> 46-S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2785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C83B6A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C83B6A">
              <w:rPr>
                <w:rFonts w:ascii="Verdana" w:hAnsi="Verdana"/>
                <w:b/>
                <w:sz w:val="20"/>
                <w:lang w:val="en-US"/>
              </w:rPr>
              <w:t>Septiembre</w:t>
            </w:r>
            <w:proofErr w:type="spellEnd"/>
            <w:r w:rsidRPr="00C83B6A">
              <w:rPr>
                <w:rFonts w:ascii="Verdana" w:hAnsi="Verdana"/>
                <w:b/>
                <w:sz w:val="20"/>
                <w:lang w:val="en-US"/>
              </w:rPr>
              <w:t xml:space="preserve"> 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C83B6A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C83B6A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C83B6A">
              <w:rPr>
                <w:rFonts w:ascii="Verdana" w:hAnsi="Verdana"/>
                <w:b/>
                <w:sz w:val="20"/>
                <w:lang w:val="en-US"/>
              </w:rPr>
              <w:t>inglés</w:t>
            </w:r>
            <w:proofErr w:type="spellEnd"/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C83B6A" w:rsidRDefault="00C83B6A" w:rsidP="004B520A">
            <w:pPr>
              <w:pStyle w:val="Source"/>
            </w:pPr>
            <w:r w:rsidRPr="00C83B6A">
              <w:t>Estados Miembros de la Comisión Interamericana de Telecomunicaciones (CITEL)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C83B6A" w:rsidRDefault="00C83B6A" w:rsidP="004B520A">
            <w:pPr>
              <w:pStyle w:val="Title1"/>
            </w:pPr>
            <w:r w:rsidRPr="00C83B6A">
              <w:t>PRINCIPIOS DE LA ESTRUCTURACIÓN DE LAS COMISIONES DE ESTUDIO</w:t>
            </w: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57296" w:rsidRDefault="00E83D45" w:rsidP="004B520A">
            <w:pPr>
              <w:pStyle w:val="Title2"/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Pr="0002785D" w:rsidRDefault="00E83D45" w:rsidP="004B520A">
            <w:pPr>
              <w:pStyle w:val="Agendaitem"/>
              <w:rPr>
                <w:lang w:val="en-US"/>
              </w:rPr>
            </w:pPr>
          </w:p>
        </w:tc>
      </w:tr>
    </w:tbl>
    <w:p w:rsidR="006B0F54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426748" w:rsidTr="00193AD1">
        <w:trPr>
          <w:cantSplit/>
        </w:trPr>
        <w:tc>
          <w:tcPr>
            <w:tcW w:w="1560" w:type="dxa"/>
          </w:tcPr>
          <w:p w:rsidR="006B0F54" w:rsidRPr="00426748" w:rsidRDefault="006B0F54" w:rsidP="00193AD1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FC3528" w:rsidRDefault="00C84D7B" w:rsidP="00C84D7B">
                <w:pPr>
                  <w:rPr>
                    <w:color w:val="000000" w:themeColor="text1"/>
                  </w:rPr>
                </w:pPr>
                <w:r w:rsidRPr="00C84D7B">
                  <w:rPr>
                    <w:color w:val="000000" w:themeColor="text1"/>
                  </w:rPr>
                  <w:t>Esta contribución presenta las opiniones actuales e iniciales de la CITEL sobre la estructura del Sector de Normalización de las Telecom</w:t>
                </w:r>
                <w:r>
                  <w:rPr>
                    <w:color w:val="000000" w:themeColor="text1"/>
                  </w:rPr>
                  <w:t xml:space="preserve">unicaciones de la UIT  (UIT-T). </w:t>
                </w:r>
                <w:r w:rsidRPr="00C84D7B">
                  <w:rPr>
                    <w:color w:val="000000" w:themeColor="text1"/>
                  </w:rPr>
                  <w:t>La contribución se ofrece para estimular el análisis de posibles enfoques para la estructuración del UIT-T, que abordará la Asamblea Mundial de Normalización de las Telecomunicaciones de 2016 (AMNT 16).</w:t>
                </w:r>
              </w:p>
            </w:tc>
          </w:sdtContent>
        </w:sdt>
      </w:tr>
    </w:tbl>
    <w:p w:rsidR="00B07178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694CA3" w:rsidRPr="00417230" w:rsidRDefault="00694CA3" w:rsidP="00CD5091">
      <w:pPr>
        <w:pStyle w:val="Headingb"/>
        <w:rPr>
          <w:rFonts w:eastAsia="SimSun"/>
          <w:lang w:eastAsia="es-ES"/>
        </w:rPr>
      </w:pPr>
      <w:r w:rsidRPr="00F320A9">
        <w:rPr>
          <w:lang w:eastAsia="es-ES"/>
        </w:rPr>
        <w:t>Antecedentes</w:t>
      </w:r>
    </w:p>
    <w:p w:rsidR="00694CA3" w:rsidRPr="00417230" w:rsidRDefault="00694CA3" w:rsidP="00CD5091">
      <w:pPr>
        <w:rPr>
          <w:rFonts w:eastAsia="SimSun"/>
          <w:lang w:eastAsia="es-ES"/>
        </w:rPr>
      </w:pPr>
      <w:r w:rsidRPr="00F320A9">
        <w:rPr>
          <w:lang w:eastAsia="es-ES"/>
        </w:rPr>
        <w:t>Las Telecomunicaciones y las Tecnologías de la Información y la Comunicación (Telecomunicaciones/TIC) continúan evolucionando y, en consecuencia, también debe evolucionar el ecosistema de las normas.</w:t>
      </w:r>
      <w:r w:rsidR="00433C5B">
        <w:rPr>
          <w:lang w:eastAsia="es-ES"/>
        </w:rPr>
        <w:t xml:space="preserve"> </w:t>
      </w:r>
      <w:r w:rsidRPr="00F320A9">
        <w:rPr>
          <w:lang w:eastAsia="es-ES"/>
        </w:rPr>
        <w:t>Existen numerosas organizaciones y foros de normalización que se centran en los aspectos de los sistemas</w:t>
      </w:r>
      <w:r w:rsidR="00CD5091">
        <w:rPr>
          <w:lang w:eastAsia="es-ES"/>
        </w:rPr>
        <w:t xml:space="preserve"> de las Telecomunicaciones/TIC.</w:t>
      </w:r>
      <w:r w:rsidRPr="00F320A9">
        <w:rPr>
          <w:lang w:eastAsia="es-ES"/>
        </w:rPr>
        <w:t xml:space="preserve"> Ninguna organización puede por sí sola cubrir todo el terreno, ni debe intentarl</w:t>
      </w:r>
      <w:r w:rsidR="00CD5091">
        <w:rPr>
          <w:lang w:eastAsia="es-ES"/>
        </w:rPr>
        <w:t>o ni afirmar que puede hacerlo.</w:t>
      </w:r>
      <w:r w:rsidRPr="00F320A9">
        <w:rPr>
          <w:lang w:eastAsia="es-ES"/>
        </w:rPr>
        <w:t xml:space="preserve"> La concentración en ámbitos específicos producirá conocimientos especializados, pero si se aborda un número demasiado alto de ámbitos los esfuerzos se pueden dispersar.</w:t>
      </w:r>
    </w:p>
    <w:p w:rsidR="00694CA3" w:rsidRPr="00CD5091" w:rsidRDefault="00694CA3" w:rsidP="00CD5091">
      <w:pPr>
        <w:pStyle w:val="Headingb"/>
        <w:rPr>
          <w:lang w:eastAsia="es-ES"/>
        </w:rPr>
      </w:pPr>
      <w:r w:rsidRPr="00CD5091">
        <w:rPr>
          <w:lang w:eastAsia="es-ES"/>
        </w:rPr>
        <w:t>Análisis</w:t>
      </w:r>
    </w:p>
    <w:p w:rsidR="00694CA3" w:rsidRPr="00F320A9" w:rsidRDefault="00694CA3" w:rsidP="00CD5091">
      <w:pPr>
        <w:rPr>
          <w:lang w:eastAsia="es-ES"/>
        </w:rPr>
      </w:pPr>
      <w:r w:rsidRPr="00F320A9">
        <w:rPr>
          <w:lang w:eastAsia="es-ES"/>
        </w:rPr>
        <w:t>El ejercicio de reorganizar las Comisiones de Estudio se ha realizado en prácticamente cada reunión cuatrienal de la AMNT.</w:t>
      </w:r>
      <w:r w:rsidR="00433C5B">
        <w:rPr>
          <w:lang w:eastAsia="es-ES"/>
        </w:rPr>
        <w:t xml:space="preserve"> </w:t>
      </w:r>
      <w:r w:rsidRPr="00F320A9">
        <w:rPr>
          <w:lang w:eastAsia="es-ES"/>
        </w:rPr>
        <w:t>La experiencia ha revelado que los principios a continuación cuando se aplican para determinar la estructura de las Comisiones de Estudio puede permitir la formulación de normas oportunas y técnicamente sólidas:</w:t>
      </w:r>
    </w:p>
    <w:p w:rsidR="00694CA3" w:rsidRPr="00417230" w:rsidRDefault="00CD5091" w:rsidP="00CD5091">
      <w:pPr>
        <w:rPr>
          <w:rFonts w:eastAsia="SimSun"/>
          <w:lang w:eastAsia="es-ES"/>
        </w:rPr>
      </w:pPr>
      <w:r>
        <w:rPr>
          <w:lang w:eastAsia="es-ES"/>
        </w:rPr>
        <w:lastRenderedPageBreak/>
        <w:t>1</w:t>
      </w:r>
      <w:r>
        <w:rPr>
          <w:lang w:eastAsia="es-ES"/>
        </w:rPr>
        <w:tab/>
      </w:r>
      <w:r w:rsidR="00694CA3" w:rsidRPr="00F320A9">
        <w:rPr>
          <w:lang w:eastAsia="es-ES"/>
        </w:rPr>
        <w:t>La estructura debe ser concisa y ofrecer pautas claras a los miembros del UIT-T sobre las prioridades y las metas para los cuatro años siguientes.</w:t>
      </w:r>
      <w:r w:rsidR="00433C5B">
        <w:rPr>
          <w:lang w:eastAsia="es-ES"/>
        </w:rPr>
        <w:t xml:space="preserve"> </w:t>
      </w:r>
      <w:r w:rsidR="00694CA3" w:rsidRPr="00F320A9">
        <w:rPr>
          <w:lang w:eastAsia="es-ES"/>
        </w:rPr>
        <w:t>La estructura debe vincular las prioridades de la Unión y el UIT-T según lo esbozado en el Plan Estratégico (Resolución 71), las Resoluciones de la Conferencia de Plenipotenciarios, las Resoluciones de la AMNT y el mandato de las Comisiones de Estudio.</w:t>
      </w:r>
    </w:p>
    <w:p w:rsidR="00694CA3" w:rsidRPr="00417230" w:rsidRDefault="00CD5091" w:rsidP="00CD5091">
      <w:pPr>
        <w:rPr>
          <w:lang w:eastAsia="es-ES"/>
        </w:rPr>
      </w:pPr>
      <w:r>
        <w:rPr>
          <w:lang w:eastAsia="es-ES"/>
        </w:rPr>
        <w:t>2</w:t>
      </w:r>
      <w:r>
        <w:rPr>
          <w:lang w:eastAsia="es-ES"/>
        </w:rPr>
        <w:tab/>
      </w:r>
      <w:r w:rsidR="00694CA3" w:rsidRPr="00F320A9">
        <w:rPr>
          <w:lang w:eastAsia="es-ES"/>
        </w:rPr>
        <w:t>La estructura debe tener en cuenta los planes financieros y operacionales de la Unión, en vista del clima presupuestario actual caracterizado por la limitación fiscal y el presupuesto aprobado por el Consejo de la UIT</w:t>
      </w:r>
      <w:r w:rsidR="0074019E">
        <w:rPr>
          <w:lang w:eastAsia="es-ES"/>
        </w:rPr>
        <w:t xml:space="preserve"> que se basa en el concepto de "</w:t>
      </w:r>
      <w:r w:rsidR="00694CA3" w:rsidRPr="00F320A9">
        <w:rPr>
          <w:lang w:eastAsia="es-ES"/>
        </w:rPr>
        <w:t>crecimi</w:t>
      </w:r>
      <w:r w:rsidR="0074019E">
        <w:rPr>
          <w:lang w:eastAsia="es-ES"/>
        </w:rPr>
        <w:t>ento nominal cero"</w:t>
      </w:r>
      <w:r w:rsidR="00694CA3" w:rsidRPr="00F320A9">
        <w:rPr>
          <w:lang w:eastAsia="es-ES"/>
        </w:rPr>
        <w:t xml:space="preserve"> del monto de la unidad contributiva. Los recursos financieros limitados de la Unión necesitan la identificación y ejecución de medidas de eficiencia, conforme se estableció en la Decisión 5, que incluye la revisión del número de reuniones de las Comisiones de Estudio y su duración con el objetivo de reducir los costos.</w:t>
      </w:r>
      <w:r w:rsidR="00433C5B">
        <w:rPr>
          <w:lang w:eastAsia="es-ES"/>
        </w:rPr>
        <w:t xml:space="preserve"> </w:t>
      </w:r>
      <w:r w:rsidR="00694CA3" w:rsidRPr="00F320A9">
        <w:rPr>
          <w:lang w:eastAsia="es-ES"/>
        </w:rPr>
        <w:t xml:space="preserve">Analizar y considerar las opciones para reducir el número de las Comisiones de Estudio. Esto implica el uso rentable y eficiente del Plan Financiero aprobado y del presupuesto aprobado por el Consejo. </w:t>
      </w:r>
    </w:p>
    <w:p w:rsidR="00694CA3" w:rsidRPr="00417230" w:rsidRDefault="00CD5091" w:rsidP="00CD5091">
      <w:pPr>
        <w:rPr>
          <w:lang w:eastAsia="es-ES"/>
        </w:rPr>
      </w:pPr>
      <w:r>
        <w:rPr>
          <w:lang w:eastAsia="es-ES"/>
        </w:rPr>
        <w:t>3</w:t>
      </w:r>
      <w:r>
        <w:rPr>
          <w:lang w:eastAsia="es-ES"/>
        </w:rPr>
        <w:tab/>
      </w:r>
      <w:r w:rsidR="00694CA3" w:rsidRPr="00F320A9">
        <w:rPr>
          <w:lang w:eastAsia="es-ES"/>
        </w:rPr>
        <w:t xml:space="preserve">La estructura debe suministrar sinergia, abordar cuestiones como transparencia, eficiencia y concentrarse en los principios de base y los ámbitos centrales de trabajo establecidos por el UIT-T. </w:t>
      </w:r>
    </w:p>
    <w:p w:rsidR="00694CA3" w:rsidRPr="00417230" w:rsidRDefault="00CD5091" w:rsidP="00CD5091">
      <w:pPr>
        <w:rPr>
          <w:lang w:eastAsia="es-ES"/>
        </w:rPr>
      </w:pPr>
      <w:r>
        <w:rPr>
          <w:lang w:eastAsia="es-ES"/>
        </w:rPr>
        <w:t>4</w:t>
      </w:r>
      <w:r>
        <w:rPr>
          <w:lang w:eastAsia="es-ES"/>
        </w:rPr>
        <w:tab/>
      </w:r>
      <w:r w:rsidR="00694CA3" w:rsidRPr="00F320A9">
        <w:rPr>
          <w:lang w:eastAsia="es-ES"/>
        </w:rPr>
        <w:t>A fin de evitar la duplicación de las tareas entre las Comisiones de Estudio del UIT-T y otros sectores dentro de la Unión, la estructura debe reducir a un mínimo la superposición y maximizar la sinergia entre los elementos de trabajo.</w:t>
      </w:r>
      <w:r w:rsidR="00433C5B">
        <w:rPr>
          <w:lang w:eastAsia="es-ES"/>
        </w:rPr>
        <w:t xml:space="preserve"> </w:t>
      </w:r>
      <w:r w:rsidR="00694CA3" w:rsidRPr="00F320A9">
        <w:rPr>
          <w:lang w:eastAsia="es-ES"/>
        </w:rPr>
        <w:t>Los temas y los cronogramas de las reuniones se deben organizar de tal forma que fomenten la interacción efectiva entre las comisiones y los participantes.</w:t>
      </w:r>
    </w:p>
    <w:p w:rsidR="00694CA3" w:rsidRPr="00417230" w:rsidRDefault="00CD5091" w:rsidP="00CD5091">
      <w:pPr>
        <w:rPr>
          <w:lang w:eastAsia="es-ES"/>
        </w:rPr>
      </w:pPr>
      <w:r>
        <w:rPr>
          <w:lang w:eastAsia="es-ES"/>
        </w:rPr>
        <w:t>5</w:t>
      </w:r>
      <w:r>
        <w:rPr>
          <w:lang w:eastAsia="es-ES"/>
        </w:rPr>
        <w:tab/>
      </w:r>
      <w:r w:rsidR="00694CA3" w:rsidRPr="00F320A9">
        <w:rPr>
          <w:lang w:eastAsia="es-ES"/>
        </w:rPr>
        <w:t>La estructura debe convertir al UIT-T en un lugar atractivo para generar normas internacionales para las Telecomunicaciones/TIC.</w:t>
      </w:r>
      <w:r w:rsidR="00433C5B">
        <w:rPr>
          <w:lang w:eastAsia="es-ES"/>
        </w:rPr>
        <w:t xml:space="preserve"> </w:t>
      </w:r>
      <w:r w:rsidR="00694CA3" w:rsidRPr="00F320A9">
        <w:rPr>
          <w:lang w:eastAsia="es-ES"/>
        </w:rPr>
        <w:t>Debe atraer a nuevos miembros y participantes, además de conservar a los miembros actuales.</w:t>
      </w:r>
    </w:p>
    <w:p w:rsidR="00694CA3" w:rsidRPr="00417230" w:rsidRDefault="00CD5091" w:rsidP="00CD5091">
      <w:pPr>
        <w:rPr>
          <w:rFonts w:eastAsia="SimSun"/>
          <w:lang w:eastAsia="es-ES"/>
        </w:rPr>
      </w:pPr>
      <w:r>
        <w:rPr>
          <w:lang w:eastAsia="es-ES"/>
        </w:rPr>
        <w:t>6</w:t>
      </w:r>
      <w:r>
        <w:rPr>
          <w:lang w:eastAsia="es-ES"/>
        </w:rPr>
        <w:tab/>
      </w:r>
      <w:r w:rsidR="00694CA3" w:rsidRPr="00F320A9">
        <w:rPr>
          <w:lang w:eastAsia="es-ES"/>
        </w:rPr>
        <w:t>La estructura debe facilitar la formulación efectiva y eficiente de normas internacionales de alta calidad para las Telecomunicaciones/TIC.</w:t>
      </w:r>
    </w:p>
    <w:p w:rsidR="00694CA3" w:rsidRPr="00417230" w:rsidRDefault="00CD5091" w:rsidP="00CD5091">
      <w:pPr>
        <w:rPr>
          <w:rFonts w:eastAsia="SimSun"/>
          <w:lang w:eastAsia="es-ES"/>
        </w:rPr>
      </w:pPr>
      <w:r>
        <w:rPr>
          <w:lang w:eastAsia="es-ES"/>
        </w:rPr>
        <w:t>7</w:t>
      </w:r>
      <w:r>
        <w:rPr>
          <w:lang w:eastAsia="es-ES"/>
        </w:rPr>
        <w:tab/>
      </w:r>
      <w:r w:rsidR="00694CA3" w:rsidRPr="00F320A9">
        <w:rPr>
          <w:lang w:eastAsia="es-ES"/>
        </w:rPr>
        <w:t>La estructura debe respaldar la coordinación y los enfoques comunes a nivel del trabajo y ofrecer flexibilidad en el agrupamiento del trabajo así como reducciones de gastos para los delegados.</w:t>
      </w:r>
      <w:r w:rsidR="00433C5B">
        <w:rPr>
          <w:lang w:eastAsia="es-ES"/>
        </w:rPr>
        <w:t xml:space="preserve"> </w:t>
      </w:r>
    </w:p>
    <w:p w:rsidR="00694CA3" w:rsidRPr="00417230" w:rsidRDefault="00CD5091" w:rsidP="00CD5091">
      <w:pPr>
        <w:rPr>
          <w:rFonts w:eastAsia="SimSun"/>
          <w:lang w:eastAsia="es-ES"/>
        </w:rPr>
      </w:pPr>
      <w:r>
        <w:rPr>
          <w:lang w:eastAsia="es-ES"/>
        </w:rPr>
        <w:t>8</w:t>
      </w:r>
      <w:r>
        <w:rPr>
          <w:lang w:eastAsia="es-ES"/>
        </w:rPr>
        <w:tab/>
      </w:r>
      <w:r w:rsidR="00694CA3" w:rsidRPr="00F320A9">
        <w:rPr>
          <w:lang w:eastAsia="es-ES"/>
        </w:rPr>
        <w:t>La estructura debe permitir que temas disímiles se aborden independiente en el seno de una comisión.</w:t>
      </w:r>
    </w:p>
    <w:p w:rsidR="00694CA3" w:rsidRPr="00417230" w:rsidRDefault="00CD5091" w:rsidP="00CD5091">
      <w:pPr>
        <w:rPr>
          <w:rFonts w:eastAsia="SimSun"/>
          <w:lang w:eastAsia="es-ES"/>
        </w:rPr>
      </w:pPr>
      <w:r>
        <w:rPr>
          <w:lang w:eastAsia="es-ES"/>
        </w:rPr>
        <w:t>9</w:t>
      </w:r>
      <w:r>
        <w:rPr>
          <w:lang w:eastAsia="es-ES"/>
        </w:rPr>
        <w:tab/>
      </w:r>
      <w:r w:rsidR="00694CA3" w:rsidRPr="00F320A9">
        <w:rPr>
          <w:lang w:eastAsia="es-ES"/>
        </w:rPr>
        <w:t>La estructura debe tener en cuenta las tecnologías que puedan necesitarse en un futuro.</w:t>
      </w:r>
    </w:p>
    <w:p w:rsidR="00694CA3" w:rsidRPr="00F320A9" w:rsidRDefault="00CD5091" w:rsidP="00CD5091">
      <w:pPr>
        <w:rPr>
          <w:rFonts w:eastAsia="SimSun"/>
          <w:lang w:eastAsia="es-ES"/>
        </w:rPr>
      </w:pPr>
      <w:r>
        <w:rPr>
          <w:lang w:eastAsia="es-ES"/>
        </w:rPr>
        <w:t>10</w:t>
      </w:r>
      <w:r>
        <w:rPr>
          <w:lang w:eastAsia="es-ES"/>
        </w:rPr>
        <w:tab/>
      </w:r>
      <w:r w:rsidR="00694CA3" w:rsidRPr="00F320A9">
        <w:rPr>
          <w:lang w:eastAsia="es-ES"/>
        </w:rPr>
        <w:t xml:space="preserve">Las comisiones deben brindar: </w:t>
      </w:r>
    </w:p>
    <w:p w:rsidR="00694CA3" w:rsidRPr="00F320A9" w:rsidRDefault="00CD5091" w:rsidP="007366DE">
      <w:pPr>
        <w:pStyle w:val="enumlev1"/>
        <w:rPr>
          <w:rFonts w:eastAsia="SimSun"/>
          <w:lang w:eastAsia="es-ES"/>
        </w:rPr>
      </w:pPr>
      <w:r>
        <w:rPr>
          <w:lang w:eastAsia="es-ES"/>
        </w:rPr>
        <w:t>a)</w:t>
      </w:r>
      <w:r>
        <w:rPr>
          <w:lang w:eastAsia="es-ES"/>
        </w:rPr>
        <w:tab/>
      </w:r>
      <w:r w:rsidR="00694CA3" w:rsidRPr="00F320A9">
        <w:rPr>
          <w:lang w:eastAsia="es-ES"/>
        </w:rPr>
        <w:t>diversidad adecuada de intereses sobre asuntos de importancia mundial;</w:t>
      </w:r>
    </w:p>
    <w:p w:rsidR="00694CA3" w:rsidRPr="00F320A9" w:rsidRDefault="00CD5091" w:rsidP="007366DE">
      <w:pPr>
        <w:pStyle w:val="enumlev1"/>
        <w:rPr>
          <w:rFonts w:eastAsia="SimSun"/>
          <w:lang w:eastAsia="es-ES"/>
        </w:rPr>
      </w:pPr>
      <w:r>
        <w:rPr>
          <w:lang w:eastAsia="es-ES"/>
        </w:rPr>
        <w:t>b)</w:t>
      </w:r>
      <w:r>
        <w:rPr>
          <w:lang w:eastAsia="es-ES"/>
        </w:rPr>
        <w:tab/>
      </w:r>
      <w:r w:rsidR="00694CA3" w:rsidRPr="00F320A9">
        <w:rPr>
          <w:lang w:eastAsia="es-ES"/>
        </w:rPr>
        <w:t>un programa de trabajo desafiante, interesante, transversal y de magnitud considerable;</w:t>
      </w:r>
    </w:p>
    <w:p w:rsidR="00694CA3" w:rsidRPr="00F320A9" w:rsidRDefault="00CD5091" w:rsidP="007366DE">
      <w:pPr>
        <w:pStyle w:val="enumlev1"/>
        <w:rPr>
          <w:rFonts w:eastAsia="SimSun"/>
          <w:lang w:eastAsia="es-ES"/>
        </w:rPr>
      </w:pPr>
      <w:r>
        <w:rPr>
          <w:lang w:eastAsia="es-ES"/>
        </w:rPr>
        <w:t>c)</w:t>
      </w:r>
      <w:r>
        <w:rPr>
          <w:lang w:eastAsia="es-ES"/>
        </w:rPr>
        <w:tab/>
      </w:r>
      <w:r w:rsidR="00694CA3" w:rsidRPr="00F320A9">
        <w:rPr>
          <w:lang w:eastAsia="es-ES"/>
        </w:rPr>
        <w:t>diversidad de género y regional adecuada;</w:t>
      </w:r>
    </w:p>
    <w:p w:rsidR="00694CA3" w:rsidRPr="00417230" w:rsidRDefault="00CD5091" w:rsidP="007366DE">
      <w:pPr>
        <w:pStyle w:val="enumlev1"/>
        <w:rPr>
          <w:rFonts w:eastAsia="SimSun"/>
          <w:lang w:eastAsia="es-ES"/>
        </w:rPr>
      </w:pPr>
      <w:r>
        <w:rPr>
          <w:lang w:eastAsia="es-ES"/>
        </w:rPr>
        <w:t>d)</w:t>
      </w:r>
      <w:r>
        <w:rPr>
          <w:lang w:eastAsia="es-ES"/>
        </w:rPr>
        <w:tab/>
      </w:r>
      <w:r w:rsidR="00694CA3" w:rsidRPr="00F320A9">
        <w:rPr>
          <w:lang w:eastAsia="es-ES"/>
        </w:rPr>
        <w:t>la satisfacción de las necesidades de los países en desarrollo</w:t>
      </w:r>
    </w:p>
    <w:p w:rsidR="00694CA3" w:rsidRPr="00417230" w:rsidRDefault="00CD5091" w:rsidP="00CD5091">
      <w:pPr>
        <w:rPr>
          <w:rFonts w:eastAsia="SimSun"/>
          <w:lang w:eastAsia="es-ES"/>
        </w:rPr>
      </w:pPr>
      <w:r>
        <w:rPr>
          <w:lang w:eastAsia="es-ES"/>
        </w:rPr>
        <w:t>11</w:t>
      </w:r>
      <w:r>
        <w:rPr>
          <w:lang w:eastAsia="es-ES"/>
        </w:rPr>
        <w:tab/>
      </w:r>
      <w:r w:rsidR="00694CA3" w:rsidRPr="00F320A9">
        <w:rPr>
          <w:lang w:eastAsia="es-ES"/>
        </w:rPr>
        <w:t>Las cuestiones que definen los estudios que han de realizarse deben reflejar el interés amplio y en curso de los miembros.</w:t>
      </w:r>
      <w:r w:rsidR="00433C5B">
        <w:rPr>
          <w:lang w:eastAsia="es-ES"/>
        </w:rPr>
        <w:t xml:space="preserve"> </w:t>
      </w:r>
      <w:r w:rsidR="00694CA3" w:rsidRPr="00F320A9">
        <w:rPr>
          <w:lang w:eastAsia="es-ES"/>
        </w:rPr>
        <w:t>Se deben suspender las cuestiones que no hayan recibido contribuciones en las dos reuniones anteriores de las Comisiones de Estudio.</w:t>
      </w:r>
      <w:r w:rsidR="00433C5B">
        <w:rPr>
          <w:lang w:eastAsia="es-ES"/>
        </w:rPr>
        <w:t xml:space="preserve"> </w:t>
      </w:r>
    </w:p>
    <w:p w:rsidR="00694CA3" w:rsidRPr="00417230" w:rsidRDefault="00CD5091" w:rsidP="00CD5091">
      <w:pPr>
        <w:rPr>
          <w:rFonts w:eastAsia="SimSun"/>
          <w:lang w:eastAsia="es-ES"/>
        </w:rPr>
      </w:pPr>
      <w:r>
        <w:rPr>
          <w:lang w:eastAsia="es-ES"/>
        </w:rPr>
        <w:t>12</w:t>
      </w:r>
      <w:r>
        <w:rPr>
          <w:lang w:eastAsia="es-ES"/>
        </w:rPr>
        <w:tab/>
      </w:r>
      <w:r w:rsidR="00694CA3" w:rsidRPr="00F320A9">
        <w:rPr>
          <w:lang w:eastAsia="es-ES"/>
        </w:rPr>
        <w:t xml:space="preserve">Las Comisiones deben realizar estudios que se limiten a aquellos que pueden incidir en las normas de Telecomunicaciones/TIC. </w:t>
      </w:r>
    </w:p>
    <w:p w:rsidR="00694CA3" w:rsidRPr="00F320A9" w:rsidRDefault="00CD5091" w:rsidP="00CD5091">
      <w:pPr>
        <w:rPr>
          <w:rFonts w:eastAsia="SimSun"/>
          <w:b/>
          <w:lang w:eastAsia="es-ES"/>
        </w:rPr>
      </w:pPr>
      <w:r>
        <w:rPr>
          <w:lang w:eastAsia="es-ES"/>
        </w:rPr>
        <w:lastRenderedPageBreak/>
        <w:t>13</w:t>
      </w:r>
      <w:r>
        <w:rPr>
          <w:lang w:eastAsia="es-ES"/>
        </w:rPr>
        <w:tab/>
      </w:r>
      <w:r w:rsidR="00694CA3" w:rsidRPr="00F320A9">
        <w:rPr>
          <w:lang w:eastAsia="es-ES"/>
        </w:rPr>
        <w:t>El programa de trabajo del UIT-T se debe concentrar en</w:t>
      </w:r>
      <w:r w:rsidR="00452B61">
        <w:rPr>
          <w:lang w:eastAsia="es-ES"/>
        </w:rPr>
        <w:t xml:space="preserve"> las competencias centrales del </w:t>
      </w:r>
      <w:r w:rsidR="00694CA3" w:rsidRPr="00F320A9">
        <w:rPr>
          <w:lang w:eastAsia="es-ES"/>
        </w:rPr>
        <w:t>UIT-T según se refleja en las metas, los objetivos y los resultados en el Plan Estratégico, tomando debidamente en cuenta la necesidad de evitar la duplicación del trabajo que ya se esté abordando bajo las competencias de otros órganos normativos y dentro de la UIT, aprovechando al máximo las eficiencias y estableciendo mecanismos para que la cooperación y la comunicación con otras entidades sean más estrechas.</w:t>
      </w:r>
    </w:p>
    <w:p w:rsidR="00694CA3" w:rsidRPr="00F320A9" w:rsidRDefault="00694CA3" w:rsidP="00694CA3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ind w:left="720"/>
        <w:jc w:val="both"/>
        <w:rPr>
          <w:rFonts w:eastAsia="SimSun"/>
          <w:b/>
          <w:szCs w:val="24"/>
          <w:lang w:eastAsia="es-ES"/>
        </w:rPr>
      </w:pPr>
    </w:p>
    <w:p w:rsidR="009F0EFD" w:rsidRDefault="009F0EF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Calibri"/>
          <w:b/>
          <w:szCs w:val="24"/>
          <w:lang w:val="es-ES" w:eastAsia="es-ES"/>
        </w:rPr>
      </w:pPr>
      <w:r>
        <w:rPr>
          <w:rFonts w:eastAsia="Calibri"/>
          <w:b/>
          <w:szCs w:val="24"/>
          <w:lang w:val="es-ES" w:eastAsia="es-ES"/>
        </w:rPr>
        <w:br w:type="page"/>
      </w:r>
    </w:p>
    <w:p w:rsidR="00BE45B5" w:rsidRDefault="00BE45B5" w:rsidP="00BE45B5">
      <w:pPr>
        <w:pStyle w:val="Proposal"/>
      </w:pPr>
      <w:r>
        <w:lastRenderedPageBreak/>
        <w:tab/>
        <w:t>IAP/46A25/1</w:t>
      </w:r>
    </w:p>
    <w:p w:rsidR="00694CA3" w:rsidRPr="00F320A9" w:rsidRDefault="00694CA3" w:rsidP="00AF2DB1">
      <w:pPr>
        <w:pStyle w:val="Headingb"/>
        <w:rPr>
          <w:rFonts w:eastAsia="SimSun"/>
          <w:lang w:eastAsia="es-ES"/>
        </w:rPr>
      </w:pPr>
      <w:r w:rsidRPr="00F320A9">
        <w:rPr>
          <w:lang w:eastAsia="es-ES"/>
        </w:rPr>
        <w:t>RECOMENDACIÓN</w:t>
      </w:r>
    </w:p>
    <w:p w:rsidR="00694CA3" w:rsidRPr="00F320A9" w:rsidRDefault="00694CA3" w:rsidP="00AF2DB1">
      <w:pPr>
        <w:rPr>
          <w:rFonts w:eastAsia="SimSun"/>
          <w:lang w:eastAsia="es-ES"/>
        </w:rPr>
      </w:pPr>
      <w:r>
        <w:rPr>
          <w:lang w:eastAsia="es-ES"/>
        </w:rPr>
        <w:t>La CITEL avala</w:t>
      </w:r>
      <w:r w:rsidRPr="00F320A9">
        <w:rPr>
          <w:lang w:eastAsia="es-ES"/>
        </w:rPr>
        <w:t xml:space="preserve"> una estructura que sea concisa y oriente a los miembros y a los participantes en torno a las prioridades y las metas del UIT-T du</w:t>
      </w:r>
      <w:r w:rsidR="00AF2DB1">
        <w:rPr>
          <w:lang w:eastAsia="es-ES"/>
        </w:rPr>
        <w:t>rante los próximos cuatro años.</w:t>
      </w:r>
      <w:r w:rsidRPr="00F320A9">
        <w:rPr>
          <w:lang w:eastAsia="es-ES"/>
        </w:rPr>
        <w:t xml:space="preserve"> Los principi</w:t>
      </w:r>
      <w:r w:rsidR="00AF2DB1">
        <w:rPr>
          <w:lang w:eastAsia="es-ES"/>
        </w:rPr>
        <w:t>os enumerados en la sección de "</w:t>
      </w:r>
      <w:r w:rsidRPr="00F320A9">
        <w:rPr>
          <w:lang w:eastAsia="es-ES"/>
        </w:rPr>
        <w:t>Análisis</w:t>
      </w:r>
      <w:r w:rsidR="00AF2DB1">
        <w:rPr>
          <w:lang w:eastAsia="es-ES"/>
        </w:rPr>
        <w:t>"</w:t>
      </w:r>
      <w:r w:rsidRPr="00F320A9">
        <w:rPr>
          <w:lang w:eastAsia="es-ES"/>
        </w:rPr>
        <w:t xml:space="preserve"> de la presente contribución se deben usar para determinar la estructura de las Comisiones de Estud</w:t>
      </w:r>
      <w:r>
        <w:rPr>
          <w:lang w:eastAsia="es-ES"/>
        </w:rPr>
        <w:t>io.</w:t>
      </w:r>
      <w:r w:rsidR="00433C5B">
        <w:rPr>
          <w:lang w:eastAsia="es-ES"/>
        </w:rPr>
        <w:t xml:space="preserve"> </w:t>
      </w:r>
      <w:r>
        <w:rPr>
          <w:lang w:eastAsia="es-ES"/>
        </w:rPr>
        <w:t xml:space="preserve">Del mismo modo, la CITEL </w:t>
      </w:r>
      <w:r w:rsidRPr="00F320A9">
        <w:rPr>
          <w:lang w:eastAsia="es-ES"/>
        </w:rPr>
        <w:t>considera que la reestructuración de las Comisiones de Estudio del sector de las telecomunicaciones debe ser lo suficientemente flexible para permitir una estructura horizontal o vertical, según los requisito</w:t>
      </w:r>
      <w:r w:rsidR="00AF2DB1">
        <w:rPr>
          <w:lang w:eastAsia="es-ES"/>
        </w:rPr>
        <w:t>s y el contexto de la Comisión.</w:t>
      </w:r>
      <w:r w:rsidRPr="00F320A9">
        <w:rPr>
          <w:lang w:eastAsia="es-ES"/>
        </w:rPr>
        <w:t xml:space="preserve"> Tratar de forzar una Comisión de Estudio en una estructura determinada sólo con fines de reestructuración puede limitar la flexibilidad de la Com</w:t>
      </w:r>
      <w:r w:rsidR="00AF2DB1">
        <w:rPr>
          <w:lang w:eastAsia="es-ES"/>
        </w:rPr>
        <w:t>isión. Si bien "horizontal" y "</w:t>
      </w:r>
      <w:r w:rsidRPr="00F320A9">
        <w:rPr>
          <w:lang w:eastAsia="es-ES"/>
        </w:rPr>
        <w:t>verti</w:t>
      </w:r>
      <w:r w:rsidR="00AF2DB1">
        <w:rPr>
          <w:lang w:eastAsia="es-ES"/>
        </w:rPr>
        <w:t>cal" son estructuras</w:t>
      </w:r>
      <w:r w:rsidRPr="00F320A9">
        <w:rPr>
          <w:lang w:eastAsia="es-ES"/>
        </w:rPr>
        <w:t xml:space="preserve"> diferentes que se pueden considerar en la formulación de propuestas, estas últimas se deben sopesar siempre en relación con los principios enumerados en la sección de </w:t>
      </w:r>
      <w:r w:rsidR="00AF2DB1">
        <w:rPr>
          <w:lang w:eastAsia="es-ES"/>
        </w:rPr>
        <w:t>"Análisis"</w:t>
      </w:r>
      <w:r w:rsidRPr="00F320A9">
        <w:rPr>
          <w:lang w:eastAsia="es-ES"/>
        </w:rPr>
        <w:t xml:space="preserve"> de esta contribución, junto con la meta general del UIT-T de formular normas de alta calidad, pertinentes y oportunas para determinar si son adecuadas en una situación determinada.</w:t>
      </w:r>
    </w:p>
    <w:p w:rsidR="00A70C37" w:rsidRDefault="00A70C37" w:rsidP="0032202E">
      <w:pPr>
        <w:pStyle w:val="Reasons"/>
      </w:pPr>
      <w:bookmarkStart w:id="0" w:name="_GoBack"/>
      <w:bookmarkEnd w:id="0"/>
    </w:p>
    <w:p w:rsidR="00A70C37" w:rsidRDefault="00A70C37">
      <w:pPr>
        <w:jc w:val="center"/>
      </w:pPr>
      <w:r>
        <w:t>______________</w:t>
      </w:r>
    </w:p>
    <w:p w:rsidR="00E83D45" w:rsidRDefault="00E83D45" w:rsidP="00E8097C"/>
    <w:sectPr w:rsidR="00E83D45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410" w:rsidRDefault="009F0410">
      <w:r>
        <w:separator/>
      </w:r>
    </w:p>
  </w:endnote>
  <w:endnote w:type="continuationSeparator" w:id="0">
    <w:p w:rsidR="009F0410" w:rsidRDefault="009F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45B5">
      <w:rPr>
        <w:noProof/>
      </w:rPr>
      <w:t>23.09.16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05" w:rsidRPr="00047705" w:rsidRDefault="00047705" w:rsidP="00047705">
    <w:pPr>
      <w:pStyle w:val="Footer"/>
      <w:rPr>
        <w:lang w:val="fr-CH"/>
      </w:rPr>
    </w:pPr>
    <w:r>
      <w:rPr>
        <w:noProof w:val="0"/>
        <w:sz w:val="24"/>
      </w:rPr>
      <w:fldChar w:fldCharType="begin"/>
    </w:r>
    <w:r w:rsidRPr="00047705">
      <w:rPr>
        <w:lang w:val="fr-CH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Pr="00047705">
      <w:rPr>
        <w:lang w:val="fr-CH"/>
      </w:rPr>
      <w:t>P:\ESP\ITU-T\CONF-T\WTSA16\000\046ADD25S.docx</w:t>
    </w:r>
    <w:r>
      <w:fldChar w:fldCharType="end"/>
    </w:r>
    <w:r w:rsidRPr="00047705">
      <w:rPr>
        <w:lang w:val="fr-CH"/>
      </w:rPr>
      <w:t xml:space="preserve"> (</w:t>
    </w:r>
    <w:r>
      <w:rPr>
        <w:lang w:val="fr-CH"/>
      </w:rPr>
      <w:t>405130</w:t>
    </w:r>
    <w:r w:rsidRPr="00047705">
      <w:rPr>
        <w:lang w:val="fr-CH"/>
      </w:rPr>
      <w:t xml:space="preserve">)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047705" w:rsidTr="00E32E2D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047705" w:rsidRDefault="00047705" w:rsidP="00047705">
          <w:pPr>
            <w:rPr>
              <w:b/>
              <w:bCs/>
            </w:rPr>
          </w:pPr>
          <w:bookmarkStart w:id="1" w:name="dcontact"/>
          <w:r>
            <w:rPr>
              <w:b/>
              <w:bCs/>
            </w:rPr>
            <w:t>Contacto: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047705" w:rsidRDefault="00047705" w:rsidP="00047705">
          <w:r>
            <w:t>Oscar León</w:t>
          </w:r>
        </w:p>
        <w:p w:rsidR="00047705" w:rsidRDefault="00047705" w:rsidP="00047705">
          <w:pPr>
            <w:spacing w:before="0"/>
          </w:pPr>
          <w:r>
            <w:t>CITEL</w:t>
          </w:r>
        </w:p>
        <w:p w:rsidR="00047705" w:rsidRDefault="00047705" w:rsidP="00047705">
          <w:pPr>
            <w:spacing w:before="0"/>
          </w:pPr>
          <w:r>
            <w:t>Washington, DC, USA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047705" w:rsidRDefault="00047705" w:rsidP="00047705">
          <w:r>
            <w:t>Tel: + 1 (202) 370-4713</w:t>
          </w:r>
        </w:p>
        <w:p w:rsidR="00047705" w:rsidRDefault="00047705" w:rsidP="00047705">
          <w:pPr>
            <w:spacing w:before="0"/>
          </w:pPr>
          <w:r>
            <w:t>Fax: + (202) 458-6854</w:t>
          </w:r>
        </w:p>
        <w:p w:rsidR="00047705" w:rsidRDefault="00047705" w:rsidP="00047705">
          <w:pPr>
            <w:spacing w:before="0"/>
          </w:pPr>
          <w:r>
            <w:t>Correo: citel@oas.org</w:t>
          </w:r>
        </w:p>
      </w:tc>
    </w:tr>
    <w:bookmarkEnd w:id="1"/>
  </w:tbl>
  <w:p w:rsidR="00E83D45" w:rsidRPr="00047705" w:rsidRDefault="00E83D45" w:rsidP="000477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410" w:rsidRDefault="009F0410">
      <w:r>
        <w:rPr>
          <w:b/>
        </w:rPr>
        <w:t>_______________</w:t>
      </w:r>
    </w:p>
  </w:footnote>
  <w:footnote w:type="continuationSeparator" w:id="0">
    <w:p w:rsidR="009F0410" w:rsidRDefault="009F0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E45B5">
      <w:rPr>
        <w:noProof/>
      </w:rPr>
      <w:t>4</w:t>
    </w:r>
    <w:r>
      <w:fldChar w:fldCharType="end"/>
    </w:r>
  </w:p>
  <w:p w:rsidR="00E83D45" w:rsidRPr="00C72D5C" w:rsidRDefault="00566BEE" w:rsidP="009F0EFD">
    <w:pPr>
      <w:pStyle w:val="Header"/>
    </w:pPr>
    <w:r>
      <w:t>AMNT</w:t>
    </w:r>
    <w:r w:rsidR="00E83D45">
      <w:t>16/</w:t>
    </w:r>
    <w:r w:rsidR="009F0EFD">
      <w:t>46(Add.25)-</w:t>
    </w:r>
    <w:r w:rsidR="009F0EFD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75940BD8"/>
    <w:multiLevelType w:val="hybridMultilevel"/>
    <w:tmpl w:val="50287C42"/>
    <w:lvl w:ilvl="0" w:tplc="A5B80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47705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701F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17230"/>
    <w:rsid w:val="00433C5B"/>
    <w:rsid w:val="00452B61"/>
    <w:rsid w:val="00454553"/>
    <w:rsid w:val="00476FB2"/>
    <w:rsid w:val="004B124A"/>
    <w:rsid w:val="004B520A"/>
    <w:rsid w:val="004C3636"/>
    <w:rsid w:val="004C3A5A"/>
    <w:rsid w:val="00523269"/>
    <w:rsid w:val="00532097"/>
    <w:rsid w:val="00566BEE"/>
    <w:rsid w:val="0058350F"/>
    <w:rsid w:val="005A374D"/>
    <w:rsid w:val="005E782D"/>
    <w:rsid w:val="005F2605"/>
    <w:rsid w:val="00662039"/>
    <w:rsid w:val="00662BA0"/>
    <w:rsid w:val="00681766"/>
    <w:rsid w:val="00692AAE"/>
    <w:rsid w:val="006934F6"/>
    <w:rsid w:val="00694CA3"/>
    <w:rsid w:val="006B0F54"/>
    <w:rsid w:val="006D6E67"/>
    <w:rsid w:val="006E0078"/>
    <w:rsid w:val="006E1A13"/>
    <w:rsid w:val="006E76B9"/>
    <w:rsid w:val="00701C20"/>
    <w:rsid w:val="007028EF"/>
    <w:rsid w:val="00702F3D"/>
    <w:rsid w:val="0070518E"/>
    <w:rsid w:val="00734034"/>
    <w:rsid w:val="007354E9"/>
    <w:rsid w:val="007366DE"/>
    <w:rsid w:val="0074019E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866AE6"/>
    <w:rsid w:val="00866BBD"/>
    <w:rsid w:val="00873B75"/>
    <w:rsid w:val="008750A8"/>
    <w:rsid w:val="008E35DA"/>
    <w:rsid w:val="008E4453"/>
    <w:rsid w:val="0090121B"/>
    <w:rsid w:val="009144C9"/>
    <w:rsid w:val="00916196"/>
    <w:rsid w:val="0094091F"/>
    <w:rsid w:val="00973754"/>
    <w:rsid w:val="0097673E"/>
    <w:rsid w:val="00990278"/>
    <w:rsid w:val="009A137D"/>
    <w:rsid w:val="009C0BED"/>
    <w:rsid w:val="009E11EC"/>
    <w:rsid w:val="009F0410"/>
    <w:rsid w:val="009F0EFD"/>
    <w:rsid w:val="009F6A67"/>
    <w:rsid w:val="00A118DB"/>
    <w:rsid w:val="00A24AC0"/>
    <w:rsid w:val="00A4450C"/>
    <w:rsid w:val="00A70C37"/>
    <w:rsid w:val="00AA5E6C"/>
    <w:rsid w:val="00AB4E90"/>
    <w:rsid w:val="00AE5677"/>
    <w:rsid w:val="00AE658F"/>
    <w:rsid w:val="00AF2DB1"/>
    <w:rsid w:val="00AF2F78"/>
    <w:rsid w:val="00B07178"/>
    <w:rsid w:val="00B1727C"/>
    <w:rsid w:val="00B173B3"/>
    <w:rsid w:val="00B257B2"/>
    <w:rsid w:val="00B51263"/>
    <w:rsid w:val="00B52D55"/>
    <w:rsid w:val="00B61368"/>
    <w:rsid w:val="00B61807"/>
    <w:rsid w:val="00B627DD"/>
    <w:rsid w:val="00B75455"/>
    <w:rsid w:val="00B8288C"/>
    <w:rsid w:val="00BD5FE4"/>
    <w:rsid w:val="00BE2E80"/>
    <w:rsid w:val="00BE45B5"/>
    <w:rsid w:val="00BE5EDD"/>
    <w:rsid w:val="00BE6A1F"/>
    <w:rsid w:val="00C126C4"/>
    <w:rsid w:val="00C614DC"/>
    <w:rsid w:val="00C63EB5"/>
    <w:rsid w:val="00C83B6A"/>
    <w:rsid w:val="00C84D7B"/>
    <w:rsid w:val="00C858D0"/>
    <w:rsid w:val="00CA1F40"/>
    <w:rsid w:val="00CB35C9"/>
    <w:rsid w:val="00CC01E0"/>
    <w:rsid w:val="00CD5091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364080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60E9C-3D45-45A1-BB7A-81437AF0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1017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6661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Spanish</dc:creator>
  <dc:description>Template used by DPM and CPI for the WTSA-16</dc:description>
  <cp:lastModifiedBy>Murphy, Margaret</cp:lastModifiedBy>
  <cp:revision>17</cp:revision>
  <cp:lastPrinted>2016-03-08T15:23:00Z</cp:lastPrinted>
  <dcterms:created xsi:type="dcterms:W3CDTF">2016-09-23T13:36:00Z</dcterms:created>
  <dcterms:modified xsi:type="dcterms:W3CDTF">2016-10-17T13:50:00Z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