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46 (Add.21)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453C26" w:rsidP="00453C26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建议删除</w:t>
            </w:r>
            <w:r w:rsidR="000A3B30" w:rsidRPr="000273B7">
              <w:rPr>
                <w:lang w:eastAsia="zh-CN"/>
              </w:rPr>
              <w:t>WTSA-12</w:t>
            </w:r>
            <w:r>
              <w:rPr>
                <w:rFonts w:hint="eastAsia"/>
                <w:lang w:eastAsia="zh-CN"/>
              </w:rPr>
              <w:t>第</w:t>
            </w:r>
            <w:r w:rsidR="000A3B30" w:rsidRPr="000273B7">
              <w:rPr>
                <w:lang w:eastAsia="zh-CN"/>
              </w:rPr>
              <w:t>81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lang w:eastAsia="zh-CN"/>
              </w:rPr>
              <w:t>决议</w:t>
            </w:r>
            <w:r>
              <w:rPr>
                <w:lang w:eastAsia="zh-CN"/>
              </w:rPr>
              <w:t xml:space="preserve"> –</w:t>
            </w:r>
            <w:r w:rsidR="000A3B30" w:rsidRPr="000273B7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加强</w:t>
            </w:r>
            <w:r>
              <w:rPr>
                <w:lang w:eastAsia="zh-CN"/>
              </w:rPr>
              <w:t>协作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134"/>
        <w:gridCol w:w="8677"/>
      </w:tblGrid>
      <w:tr w:rsidR="003556C0" w:rsidRPr="00426748" w:rsidTr="00E4623D">
        <w:trPr>
          <w:cantSplit/>
        </w:trPr>
        <w:tc>
          <w:tcPr>
            <w:tcW w:w="1134" w:type="dxa"/>
          </w:tcPr>
          <w:p w:rsidR="003556C0" w:rsidRPr="00F23DB0" w:rsidRDefault="003556C0" w:rsidP="00F23DB0">
            <w:pPr>
              <w:rPr>
                <w:lang w:val="en-US" w:eastAsia="zh-CN"/>
              </w:rPr>
            </w:pPr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F23DB0">
              <w:rPr>
                <w:rFonts w:hint="eastAsia"/>
                <w:b/>
                <w:bCs/>
                <w:lang w:val="en-US" w:eastAsia="zh-CN"/>
              </w:rPr>
              <w:t>：</w:t>
            </w:r>
          </w:p>
        </w:tc>
        <w:sdt>
          <w:sdtPr>
            <w:rPr>
              <w:lang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8677" w:type="dxa"/>
              </w:tcPr>
              <w:p w:rsidR="003556C0" w:rsidRPr="00231452" w:rsidRDefault="00553BAE" w:rsidP="00553BAE">
                <w:r w:rsidRPr="00553BAE">
                  <w:rPr>
                    <w:rFonts w:hint="eastAsia"/>
                    <w:lang w:eastAsia="zh-CN"/>
                  </w:rPr>
                  <w:t>本</w:t>
                </w:r>
                <w:r w:rsidRPr="00553BAE">
                  <w:rPr>
                    <w:lang w:eastAsia="zh-CN"/>
                  </w:rPr>
                  <w:t>文稿建议删除第</w:t>
                </w:r>
                <w:r w:rsidRPr="00553BAE">
                  <w:rPr>
                    <w:rFonts w:hint="eastAsia"/>
                    <w:lang w:eastAsia="zh-CN"/>
                  </w:rPr>
                  <w:t>81</w:t>
                </w:r>
                <w:r w:rsidRPr="00553BAE">
                  <w:rPr>
                    <w:rFonts w:hint="eastAsia"/>
                    <w:lang w:eastAsia="zh-CN"/>
                  </w:rPr>
                  <w:t>号</w:t>
                </w:r>
                <w:r w:rsidRPr="00553BAE">
                  <w:rPr>
                    <w:lang w:eastAsia="zh-CN"/>
                  </w:rPr>
                  <w:t>决议</w:t>
                </w:r>
                <w:r>
                  <w:rPr>
                    <w:rFonts w:hint="eastAsia"/>
                    <w:lang w:eastAsia="zh-CN"/>
                  </w:rPr>
                  <w:t xml:space="preserve"> </w:t>
                </w:r>
                <w:r w:rsidRPr="00553BAE">
                  <w:rPr>
                    <w:lang w:eastAsia="zh-CN"/>
                  </w:rPr>
                  <w:t>–</w:t>
                </w:r>
                <w:r w:rsidRPr="00553BAE">
                  <w:rPr>
                    <w:rFonts w:hint="eastAsia"/>
                    <w:lang w:eastAsia="zh-CN"/>
                  </w:rPr>
                  <w:t xml:space="preserve"> </w:t>
                </w:r>
                <w:r>
                  <w:rPr>
                    <w:rFonts w:hint="eastAsia"/>
                    <w:lang w:eastAsia="zh-CN"/>
                  </w:rPr>
                  <w:t>加强</w:t>
                </w:r>
                <w:r>
                  <w:rPr>
                    <w:lang w:eastAsia="zh-CN"/>
                  </w:rPr>
                  <w:t>协作。</w:t>
                </w:r>
              </w:p>
            </w:tc>
          </w:sdtContent>
        </w:sdt>
      </w:tr>
    </w:tbl>
    <w:p w:rsidR="00DA2BC3" w:rsidRPr="00A30933" w:rsidRDefault="007F3079" w:rsidP="00A30933">
      <w:pPr>
        <w:pStyle w:val="Headingb"/>
      </w:pPr>
      <w:r>
        <w:rPr>
          <w:rFonts w:hint="eastAsia"/>
          <w:lang w:eastAsia="zh-CN"/>
        </w:rPr>
        <w:t>讨论</w:t>
      </w:r>
    </w:p>
    <w:p w:rsidR="00DA2BC3" w:rsidRDefault="007F3079" w:rsidP="009A53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WTSA-12</w:t>
      </w:r>
      <w:r>
        <w:rPr>
          <w:rFonts w:hint="eastAsia"/>
          <w:lang w:eastAsia="zh-CN"/>
        </w:rPr>
        <w:t>通过</w:t>
      </w:r>
      <w:r>
        <w:rPr>
          <w:lang w:eastAsia="zh-CN"/>
        </w:rPr>
        <w:t>第</w:t>
      </w:r>
      <w:r>
        <w:rPr>
          <w:rFonts w:hint="eastAsia"/>
          <w:lang w:eastAsia="zh-CN"/>
        </w:rPr>
        <w:t>8</w:t>
      </w:r>
      <w:r w:rsidR="00DA3BCD"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决议后，</w:t>
      </w:r>
      <w:r w:rsidR="00DA3BCD">
        <w:rPr>
          <w:rFonts w:hint="eastAsia"/>
          <w:lang w:eastAsia="zh-CN"/>
        </w:rPr>
        <w:t>TSAG</w:t>
      </w:r>
      <w:r>
        <w:rPr>
          <w:lang w:eastAsia="zh-CN"/>
        </w:rPr>
        <w:t>成立了一个新的报告人组，负责采取与加强协作有</w:t>
      </w:r>
      <w:r>
        <w:rPr>
          <w:rFonts w:hint="eastAsia"/>
          <w:lang w:eastAsia="zh-CN"/>
        </w:rPr>
        <w:t>关</w:t>
      </w:r>
      <w:r>
        <w:rPr>
          <w:lang w:eastAsia="zh-CN"/>
        </w:rPr>
        <w:t>的行动。该</w:t>
      </w:r>
      <w:r>
        <w:rPr>
          <w:rFonts w:hint="eastAsia"/>
          <w:lang w:eastAsia="zh-CN"/>
        </w:rPr>
        <w:t>报告</w:t>
      </w:r>
      <w:r>
        <w:rPr>
          <w:lang w:eastAsia="zh-CN"/>
        </w:rPr>
        <w:t>人组成绩斐然，使</w:t>
      </w:r>
      <w:r>
        <w:rPr>
          <w:lang w:eastAsia="zh-CN"/>
        </w:rPr>
        <w:t>TSAG</w:t>
      </w:r>
      <w:r>
        <w:rPr>
          <w:rFonts w:hint="eastAsia"/>
          <w:lang w:eastAsia="zh-CN"/>
        </w:rPr>
        <w:t>批准</w:t>
      </w:r>
      <w:r>
        <w:rPr>
          <w:lang w:eastAsia="zh-CN"/>
        </w:rPr>
        <w:t>了经修订的</w:t>
      </w:r>
      <w:r>
        <w:rPr>
          <w:lang w:eastAsia="zh-CN"/>
        </w:rPr>
        <w:t>A</w:t>
      </w:r>
      <w:r>
        <w:rPr>
          <w:rFonts w:hint="eastAsia"/>
          <w:lang w:eastAsia="zh-CN"/>
        </w:rPr>
        <w:t>系列</w:t>
      </w:r>
      <w:r>
        <w:rPr>
          <w:lang w:eastAsia="zh-CN"/>
        </w:rPr>
        <w:t>建议书，即，</w:t>
      </w:r>
      <w:r w:rsidR="00846565">
        <w:rPr>
          <w:lang w:eastAsia="zh-CN"/>
        </w:rPr>
        <w:t>A.5</w:t>
      </w:r>
      <w:r w:rsidR="00A1094B">
        <w:rPr>
          <w:lang w:eastAsia="zh-CN"/>
        </w:rPr>
        <w:t>（</w:t>
      </w:r>
      <w:r w:rsidR="00BB6442">
        <w:rPr>
          <w:rFonts w:hint="eastAsia"/>
          <w:lang w:eastAsia="zh-CN"/>
        </w:rPr>
        <w:t>在</w:t>
      </w:r>
      <w:r w:rsidR="00BB6442">
        <w:rPr>
          <w:rFonts w:hint="eastAsia"/>
          <w:lang w:eastAsia="zh-CN"/>
        </w:rPr>
        <w:t>ITU-T</w:t>
      </w:r>
      <w:r w:rsidR="00BB6442">
        <w:rPr>
          <w:rFonts w:hint="eastAsia"/>
          <w:lang w:eastAsia="zh-CN"/>
        </w:rPr>
        <w:t>建议书中参引其他组织文件的一般程序</w:t>
      </w:r>
      <w:r w:rsidR="00A1094B">
        <w:rPr>
          <w:lang w:eastAsia="zh-CN"/>
        </w:rPr>
        <w:t>）</w:t>
      </w:r>
      <w:r w:rsidR="009A533C">
        <w:rPr>
          <w:rFonts w:hint="eastAsia"/>
          <w:lang w:eastAsia="zh-CN"/>
        </w:rPr>
        <w:t>和</w:t>
      </w:r>
      <w:r w:rsidR="009A533C">
        <w:rPr>
          <w:lang w:eastAsia="zh-CN"/>
        </w:rPr>
        <w:t>新的</w:t>
      </w:r>
      <w:r w:rsidR="00846565">
        <w:rPr>
          <w:lang w:eastAsia="zh-CN"/>
        </w:rPr>
        <w:t>A.25</w:t>
      </w:r>
      <w:r w:rsidR="00A1094B">
        <w:rPr>
          <w:lang w:eastAsia="zh-CN"/>
        </w:rPr>
        <w:t>（</w:t>
      </w:r>
      <w:r w:rsidR="00F30B39" w:rsidRPr="004D15BB">
        <w:rPr>
          <w:lang w:val="en-US" w:eastAsia="zh-CN"/>
        </w:rPr>
        <w:t>ITU-T</w:t>
      </w:r>
      <w:r w:rsidR="00F30B39" w:rsidRPr="004D15BB">
        <w:rPr>
          <w:lang w:val="en-US" w:eastAsia="zh-CN"/>
        </w:rPr>
        <w:t>和其他组织</w:t>
      </w:r>
      <w:r w:rsidR="00F30B39" w:rsidRPr="002F6669">
        <w:rPr>
          <w:rFonts w:asciiTheme="minorHAnsi" w:hAnsiTheme="minorHAnsi"/>
          <w:lang w:eastAsia="zh-CN"/>
        </w:rPr>
        <w:t>之间相互采纳案文的一般性程序</w:t>
      </w:r>
      <w:r w:rsidR="00A1094B">
        <w:rPr>
          <w:lang w:eastAsia="zh-CN"/>
        </w:rPr>
        <w:t>）</w:t>
      </w:r>
      <w:r w:rsidR="009A533C">
        <w:rPr>
          <w:rFonts w:hint="eastAsia"/>
          <w:lang w:eastAsia="zh-CN"/>
        </w:rPr>
        <w:t>。</w:t>
      </w:r>
      <w:r w:rsidR="009A533C">
        <w:rPr>
          <w:lang w:eastAsia="zh-CN"/>
        </w:rPr>
        <w:t>此外，</w:t>
      </w:r>
      <w:r w:rsidR="009A533C">
        <w:rPr>
          <w:rFonts w:hint="eastAsia"/>
          <w:lang w:eastAsia="zh-CN"/>
        </w:rPr>
        <w:t>还</w:t>
      </w:r>
      <w:r w:rsidR="009A533C">
        <w:rPr>
          <w:lang w:eastAsia="zh-CN"/>
        </w:rPr>
        <w:t>同意了新的增补</w:t>
      </w:r>
      <w:r w:rsidR="002400C9">
        <w:rPr>
          <w:rFonts w:hint="eastAsia"/>
          <w:lang w:eastAsia="zh-CN"/>
        </w:rPr>
        <w:t>5</w:t>
      </w:r>
      <w:r w:rsidR="00A1094B">
        <w:rPr>
          <w:lang w:eastAsia="zh-CN"/>
        </w:rPr>
        <w:t>（</w:t>
      </w:r>
      <w:r w:rsidR="00A1094B">
        <w:rPr>
          <w:rFonts w:ascii="SimSun" w:hAnsi="SimSun" w:cs="SimSun" w:hint="eastAsia"/>
          <w:lang w:eastAsia="zh-CN"/>
        </w:rPr>
        <w:t>与其他组织合作和交换信息的指导原则</w:t>
      </w:r>
      <w:r w:rsidR="00A1094B">
        <w:rPr>
          <w:lang w:eastAsia="zh-CN"/>
        </w:rPr>
        <w:t>）</w:t>
      </w:r>
      <w:r w:rsidR="00846565">
        <w:rPr>
          <w:rFonts w:hint="eastAsia"/>
          <w:lang w:eastAsia="zh-CN"/>
        </w:rPr>
        <w:t>。</w:t>
      </w:r>
    </w:p>
    <w:p w:rsidR="00DA2BC3" w:rsidRDefault="00447F99" w:rsidP="00627C56">
      <w:pPr>
        <w:ind w:firstLineChars="200" w:firstLine="480"/>
      </w:pPr>
      <w:r>
        <w:rPr>
          <w:rFonts w:hint="eastAsia"/>
          <w:lang w:eastAsia="zh-CN"/>
        </w:rPr>
        <w:t>为</w:t>
      </w:r>
      <w:r>
        <w:rPr>
          <w:lang w:eastAsia="zh-CN"/>
        </w:rPr>
        <w:t>了使加强协作工作在</w:t>
      </w:r>
      <w:r>
        <w:rPr>
          <w:rFonts w:hint="eastAsia"/>
          <w:lang w:eastAsia="zh-CN"/>
        </w:rPr>
        <w:t>ITU-T</w:t>
      </w:r>
      <w:r>
        <w:rPr>
          <w:lang w:eastAsia="zh-CN"/>
        </w:rPr>
        <w:t>程序中得到更具体</w:t>
      </w:r>
      <w:r>
        <w:rPr>
          <w:rFonts w:hint="eastAsia"/>
          <w:lang w:eastAsia="zh-CN"/>
        </w:rPr>
        <w:t>的</w:t>
      </w:r>
      <w:r>
        <w:rPr>
          <w:lang w:eastAsia="zh-CN"/>
        </w:rPr>
        <w:t>反映，</w:t>
      </w:r>
      <w:r>
        <w:rPr>
          <w:rFonts w:hint="eastAsia"/>
          <w:lang w:eastAsia="zh-CN"/>
        </w:rPr>
        <w:t>我</w:t>
      </w:r>
      <w:r>
        <w:rPr>
          <w:lang w:eastAsia="zh-CN"/>
        </w:rPr>
        <w:t>们在另一份与此文件相辅相成的文稿中建议，在第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</w:t>
      </w:r>
      <w:r>
        <w:rPr>
          <w:lang w:eastAsia="zh-CN"/>
        </w:rPr>
        <w:t>中增加新的一段，表明，在国际电联《公约》第</w:t>
      </w:r>
      <w:r>
        <w:rPr>
          <w:rFonts w:hint="eastAsia"/>
          <w:lang w:eastAsia="zh-CN"/>
        </w:rPr>
        <w:t>14</w:t>
      </w:r>
      <w:r w:rsidR="007B3821">
        <w:rPr>
          <w:lang w:eastAsia="zh-CN"/>
        </w:rPr>
        <w:t>A</w:t>
      </w:r>
      <w:r w:rsidR="007C3CFE">
        <w:rPr>
          <w:rFonts w:hint="eastAsia"/>
          <w:lang w:eastAsia="zh-CN"/>
        </w:rPr>
        <w:t>条</w:t>
      </w:r>
      <w:r>
        <w:rPr>
          <w:lang w:eastAsia="zh-CN"/>
        </w:rPr>
        <w:t>确定的</w:t>
      </w:r>
      <w:r w:rsidR="00C30851">
        <w:rPr>
          <w:lang w:eastAsia="zh-CN"/>
        </w:rPr>
        <w:t>TSAG</w:t>
      </w:r>
      <w:r w:rsidR="0086771D">
        <w:rPr>
          <w:rFonts w:hint="eastAsia"/>
          <w:lang w:eastAsia="zh-CN"/>
        </w:rPr>
        <w:t>的</w:t>
      </w:r>
      <w:r w:rsidR="002E6DB7">
        <w:rPr>
          <w:lang w:eastAsia="zh-CN"/>
        </w:rPr>
        <w:t>职责框架</w:t>
      </w:r>
      <w:r w:rsidR="002E6DB7">
        <w:rPr>
          <w:rFonts w:hint="eastAsia"/>
          <w:lang w:eastAsia="zh-CN"/>
        </w:rPr>
        <w:t>内</w:t>
      </w:r>
      <w:r>
        <w:rPr>
          <w:lang w:eastAsia="zh-CN"/>
        </w:rPr>
        <w:t>并按照《战略规划》确立的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的</w:t>
      </w:r>
      <w:r>
        <w:rPr>
          <w:lang w:eastAsia="zh-CN"/>
        </w:rPr>
        <w:t>部门目标，有关此议题的工作应凸显在</w:t>
      </w:r>
      <w:r w:rsidR="002E6DB7">
        <w:rPr>
          <w:lang w:eastAsia="zh-CN"/>
        </w:rPr>
        <w:t>TSAG</w:t>
      </w:r>
      <w:r w:rsidR="002E6DB7">
        <w:rPr>
          <w:rFonts w:hint="eastAsia"/>
          <w:lang w:eastAsia="zh-CN"/>
        </w:rPr>
        <w:t>的</w:t>
      </w:r>
      <w:r>
        <w:rPr>
          <w:lang w:eastAsia="zh-CN"/>
        </w:rPr>
        <w:t>工作计划中。</w:t>
      </w:r>
      <w:r w:rsidR="00EA10BA">
        <w:rPr>
          <w:rFonts w:hint="eastAsia"/>
          <w:lang w:eastAsia="zh-CN"/>
        </w:rPr>
        <w:t>与此同时</w:t>
      </w:r>
      <w:r w:rsidR="00EA10BA">
        <w:rPr>
          <w:lang w:eastAsia="zh-CN"/>
        </w:rPr>
        <w:t>，</w:t>
      </w:r>
      <w:r w:rsidR="00EA10BA">
        <w:rPr>
          <w:lang w:eastAsia="zh-CN"/>
        </w:rPr>
        <w:t>TSAG</w:t>
      </w:r>
      <w:r w:rsidR="00EA10BA">
        <w:rPr>
          <w:lang w:eastAsia="zh-CN"/>
        </w:rPr>
        <w:t>加强协作报告人组将继续开展工作。</w:t>
      </w:r>
    </w:p>
    <w:p w:rsidR="00DA2BC3" w:rsidRDefault="007C3A0C" w:rsidP="00DA2BC3">
      <w:pPr>
        <w:pStyle w:val="Headingb"/>
        <w:rPr>
          <w:rFonts w:hint="eastAsia"/>
          <w:lang w:eastAsia="zh-CN"/>
        </w:rPr>
      </w:pPr>
      <w:r>
        <w:rPr>
          <w:rFonts w:hint="eastAsia"/>
          <w:lang w:eastAsia="zh-CN"/>
        </w:rPr>
        <w:t>提案</w:t>
      </w:r>
    </w:p>
    <w:p w:rsidR="005C7B12" w:rsidRDefault="00EA10BA" w:rsidP="00EA10B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由于</w:t>
      </w:r>
      <w:r>
        <w:rPr>
          <w:lang w:eastAsia="zh-CN"/>
        </w:rPr>
        <w:t>与第</w:t>
      </w:r>
      <w:r>
        <w:rPr>
          <w:rFonts w:hint="eastAsia"/>
          <w:lang w:eastAsia="zh-CN"/>
        </w:rPr>
        <w:t>81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决议相关的行动在持续进行，因此应删除该决议。</w:t>
      </w:r>
    </w:p>
    <w:p w:rsidR="00502B2E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5C7B12" w:rsidRDefault="005C7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1D73B4" w:rsidRDefault="00846565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IAP/46A21/1</w:t>
      </w:r>
    </w:p>
    <w:p w:rsidR="002F3272" w:rsidRPr="00EE1E0F" w:rsidRDefault="00846565" w:rsidP="002F3272">
      <w:pPr>
        <w:pStyle w:val="ResNo"/>
        <w:rPr>
          <w:lang w:eastAsia="zh-CN"/>
        </w:rPr>
      </w:pPr>
      <w:bookmarkStart w:id="0" w:name="_Toc348252518"/>
      <w:r w:rsidRPr="00C52866">
        <w:rPr>
          <w:rStyle w:val="href"/>
          <w:rFonts w:hint="eastAsia"/>
        </w:rPr>
        <w:t>第</w:t>
      </w:r>
      <w:r w:rsidRPr="00C52866">
        <w:rPr>
          <w:rStyle w:val="href"/>
          <w:rFonts w:hint="eastAsia"/>
        </w:rPr>
        <w:t>81</w:t>
      </w:r>
      <w:r w:rsidRPr="00C52866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年，迪拜）</w:t>
      </w:r>
      <w:bookmarkEnd w:id="0"/>
    </w:p>
    <w:p w:rsidR="002F3272" w:rsidRPr="00BE0BA0" w:rsidRDefault="00846565" w:rsidP="002F3272">
      <w:pPr>
        <w:pStyle w:val="Restitle"/>
        <w:rPr>
          <w:lang w:eastAsia="zh-CN"/>
        </w:rPr>
      </w:pPr>
      <w:bookmarkStart w:id="1" w:name="_Toc348252519"/>
      <w:r>
        <w:rPr>
          <w:rFonts w:hint="eastAsia"/>
          <w:lang w:eastAsia="zh-CN"/>
        </w:rPr>
        <w:t>加强协作</w:t>
      </w:r>
      <w:bookmarkEnd w:id="1"/>
    </w:p>
    <w:p w:rsidR="002F3272" w:rsidRPr="00721823" w:rsidRDefault="00846565" w:rsidP="002F3272">
      <w:pPr>
        <w:pStyle w:val="Resref"/>
        <w:rPr>
          <w:sz w:val="24"/>
          <w:szCs w:val="24"/>
          <w:lang w:eastAsia="zh-CN"/>
        </w:rPr>
      </w:pPr>
      <w:r w:rsidRPr="00721823">
        <w:rPr>
          <w:rFonts w:hint="eastAsia"/>
          <w:sz w:val="24"/>
          <w:szCs w:val="24"/>
          <w:lang w:eastAsia="zh-CN"/>
        </w:rPr>
        <w:t>（</w:t>
      </w:r>
      <w:r w:rsidRPr="00721823">
        <w:rPr>
          <w:sz w:val="24"/>
          <w:szCs w:val="24"/>
          <w:lang w:eastAsia="zh-CN"/>
        </w:rPr>
        <w:t>2012</w:t>
      </w:r>
      <w:r w:rsidRPr="00721823">
        <w:rPr>
          <w:rFonts w:hint="eastAsia"/>
          <w:sz w:val="24"/>
          <w:szCs w:val="24"/>
          <w:lang w:eastAsia="zh-CN"/>
        </w:rPr>
        <w:t>年，迪拜）</w:t>
      </w:r>
    </w:p>
    <w:p w:rsidR="001D73B4" w:rsidRDefault="00846565" w:rsidP="003A3F4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A3F48">
        <w:rPr>
          <w:rFonts w:hint="eastAsia"/>
          <w:lang w:eastAsia="zh-CN"/>
        </w:rPr>
        <w:t>见</w:t>
      </w:r>
      <w:r w:rsidR="00DA2BC3" w:rsidRPr="00F419CD">
        <w:rPr>
          <w:lang w:eastAsia="zh-CN"/>
        </w:rPr>
        <w:t>46 (Add. 21)</w:t>
      </w:r>
      <w:r w:rsidR="003A3F48">
        <w:rPr>
          <w:rFonts w:hint="eastAsia"/>
          <w:lang w:eastAsia="zh-CN"/>
        </w:rPr>
        <w:t>号</w:t>
      </w:r>
      <w:r w:rsidR="003A3F48">
        <w:rPr>
          <w:lang w:eastAsia="zh-CN"/>
        </w:rPr>
        <w:t>文件</w:t>
      </w:r>
      <w:r w:rsidR="003A3F48">
        <w:rPr>
          <w:rFonts w:hint="eastAsia"/>
          <w:lang w:eastAsia="zh-CN"/>
        </w:rPr>
        <w:t>的</w:t>
      </w:r>
      <w:r w:rsidR="003A3F48">
        <w:rPr>
          <w:lang w:eastAsia="zh-CN"/>
        </w:rPr>
        <w:t>讨论和提案部分。</w:t>
      </w:r>
    </w:p>
    <w:p w:rsidR="00451CF3" w:rsidRDefault="00451CF3" w:rsidP="0032202E">
      <w:pPr>
        <w:pStyle w:val="Reasons"/>
      </w:pPr>
    </w:p>
    <w:p w:rsidR="00451CF3" w:rsidRDefault="00451CF3" w:rsidP="00451CF3">
      <w:pPr>
        <w:jc w:val="center"/>
        <w:rPr>
          <w:rFonts w:hint="eastAsia"/>
        </w:rPr>
      </w:pPr>
      <w:r>
        <w:t>______________</w:t>
      </w:r>
      <w:bookmarkStart w:id="2" w:name="_GoBack"/>
      <w:bookmarkEnd w:id="2"/>
    </w:p>
    <w:sectPr w:rsidR="00451CF3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846565" w:rsidRDefault="002F57B9" w:rsidP="002F57B9">
    <w:pPr>
      <w:pStyle w:val="Footer"/>
      <w:rPr>
        <w:lang w:val="fr-CH"/>
      </w:rPr>
    </w:pPr>
    <w:r>
      <w:fldChar w:fldCharType="begin"/>
    </w:r>
    <w:r w:rsidRPr="00846565">
      <w:rPr>
        <w:lang w:val="fr-CH"/>
      </w:rPr>
      <w:instrText xml:space="preserve"> FILENAME \p  \* MERGEFORMAT </w:instrText>
    </w:r>
    <w:r>
      <w:fldChar w:fldCharType="separate"/>
    </w:r>
    <w:r w:rsidR="00BF3484">
      <w:rPr>
        <w:lang w:val="fr-CH"/>
      </w:rPr>
      <w:t>P:\CHI\ITU-T\CONF-T\WTSA16\000\046ADD21C.docx</w:t>
    </w:r>
    <w:r>
      <w:fldChar w:fldCharType="end"/>
    </w:r>
    <w:r w:rsidRPr="00846565">
      <w:rPr>
        <w:lang w:val="fr-CH"/>
      </w:rPr>
      <w:t xml:space="preserve"> (405124)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DA2BC3" w:rsidRPr="001807E9" w:rsidTr="00C54329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DA2BC3" w:rsidRPr="001807E9" w:rsidRDefault="00DA2BC3" w:rsidP="00DA2BC3">
          <w:pPr>
            <w:rPr>
              <w:b/>
              <w:bCs/>
              <w:lang w:eastAsia="zh-CN"/>
            </w:rPr>
          </w:pPr>
          <w:bookmarkStart w:id="3" w:name="dcontact"/>
          <w:r>
            <w:rPr>
              <w:rFonts w:hint="eastAsia"/>
              <w:b/>
              <w:bCs/>
              <w:lang w:eastAsia="zh-CN"/>
            </w:rPr>
            <w:t>联系人</w:t>
          </w:r>
          <w:r>
            <w:rPr>
              <w:b/>
              <w:bCs/>
              <w:lang w:eastAsia="zh-CN"/>
            </w:rPr>
            <w:t>：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DA2BC3" w:rsidRPr="001807E9" w:rsidRDefault="00A30409" w:rsidP="00A30409">
          <w:pPr>
            <w:rPr>
              <w:lang w:val="es-ES" w:eastAsia="zh-CN"/>
            </w:rPr>
          </w:pPr>
          <w:r>
            <w:rPr>
              <w:rFonts w:hint="eastAsia"/>
              <w:lang w:val="es-ES" w:eastAsia="zh-CN"/>
            </w:rPr>
            <w:t>美国</w:t>
          </w:r>
          <w:r>
            <w:rPr>
              <w:lang w:val="es-ES" w:eastAsia="zh-CN"/>
            </w:rPr>
            <w:t>华盛顿特区</w:t>
          </w:r>
        </w:p>
        <w:p w:rsidR="00DA2BC3" w:rsidRPr="001807E9" w:rsidRDefault="00DA2BC3" w:rsidP="00DA2BC3">
          <w:pPr>
            <w:spacing w:before="0"/>
            <w:rPr>
              <w:lang w:val="es-ES"/>
            </w:rPr>
          </w:pPr>
          <w:r w:rsidRPr="001807E9">
            <w:rPr>
              <w:lang w:val="es-ES"/>
            </w:rPr>
            <w:t>CITEL</w:t>
          </w:r>
        </w:p>
        <w:p w:rsidR="00DA2BC3" w:rsidRPr="001807E9" w:rsidRDefault="00A30409" w:rsidP="00DA2BC3">
          <w:pPr>
            <w:spacing w:before="0"/>
            <w:rPr>
              <w:lang w:val="es-ES"/>
            </w:rPr>
          </w:pPr>
          <w:r w:rsidRPr="001807E9">
            <w:rPr>
              <w:lang w:val="es-ES"/>
            </w:rPr>
            <w:t>Oscar León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DA2BC3" w:rsidRPr="001807E9" w:rsidRDefault="00DA2BC3" w:rsidP="00DA2BC3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电话</w:t>
          </w:r>
          <w:r>
            <w:rPr>
              <w:lang w:eastAsia="zh-CN"/>
            </w:rPr>
            <w:t>：</w:t>
          </w:r>
          <w:r w:rsidRPr="001807E9">
            <w:rPr>
              <w:lang w:eastAsia="zh-CN"/>
            </w:rPr>
            <w:t>+ 1 (202) 370-4713</w:t>
          </w:r>
        </w:p>
        <w:p w:rsidR="00DA2BC3" w:rsidRPr="001807E9" w:rsidRDefault="00DA2BC3" w:rsidP="00DA2BC3">
          <w:pPr>
            <w:spacing w:before="0"/>
            <w:rPr>
              <w:lang w:eastAsia="zh-CN"/>
            </w:rPr>
          </w:pPr>
          <w:r>
            <w:rPr>
              <w:rFonts w:hint="eastAsia"/>
              <w:lang w:eastAsia="zh-CN"/>
            </w:rPr>
            <w:t>传真</w:t>
          </w:r>
          <w:r>
            <w:rPr>
              <w:lang w:eastAsia="zh-CN"/>
            </w:rPr>
            <w:t>：</w:t>
          </w:r>
          <w:r w:rsidRPr="001807E9">
            <w:rPr>
              <w:lang w:eastAsia="zh-CN"/>
            </w:rPr>
            <w:t>+ 1 (202) 458-6854</w:t>
          </w:r>
        </w:p>
        <w:p w:rsidR="00DA2BC3" w:rsidRPr="001807E9" w:rsidRDefault="00DA2BC3" w:rsidP="00DA2BC3">
          <w:pPr>
            <w:spacing w:before="0"/>
            <w:rPr>
              <w:lang w:eastAsia="zh-CN"/>
            </w:rPr>
          </w:pPr>
          <w:r>
            <w:rPr>
              <w:rFonts w:hint="eastAsia"/>
              <w:lang w:eastAsia="zh-CN"/>
            </w:rPr>
            <w:t>电子</w:t>
          </w:r>
          <w:r>
            <w:rPr>
              <w:lang w:eastAsia="zh-CN"/>
            </w:rPr>
            <w:t>邮件：</w:t>
          </w:r>
          <w:hyperlink r:id="rId1" w:history="1">
            <w:r w:rsidRPr="00321020">
              <w:rPr>
                <w:rStyle w:val="Hyperlink"/>
                <w:lang w:eastAsia="zh-CN"/>
              </w:rPr>
              <w:t>citel@oas.org</w:t>
            </w:r>
          </w:hyperlink>
        </w:p>
      </w:tc>
    </w:tr>
    <w:bookmarkEnd w:id="3"/>
  </w:tbl>
  <w:p w:rsidR="003468CA" w:rsidRPr="000A3B30" w:rsidRDefault="003468CA" w:rsidP="00231452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1CF3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WTSA16/46(Add.21)-C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AA7"/>
    <w:rsid w:val="000E26F6"/>
    <w:rsid w:val="00123B64"/>
    <w:rsid w:val="00126183"/>
    <w:rsid w:val="00135100"/>
    <w:rsid w:val="00166859"/>
    <w:rsid w:val="001765EC"/>
    <w:rsid w:val="001853E8"/>
    <w:rsid w:val="001B6360"/>
    <w:rsid w:val="001C1C04"/>
    <w:rsid w:val="001D73B4"/>
    <w:rsid w:val="001F24EA"/>
    <w:rsid w:val="001F4EA6"/>
    <w:rsid w:val="00214959"/>
    <w:rsid w:val="00231452"/>
    <w:rsid w:val="002400C9"/>
    <w:rsid w:val="00246C4C"/>
    <w:rsid w:val="0028063B"/>
    <w:rsid w:val="002A4C9C"/>
    <w:rsid w:val="002B509B"/>
    <w:rsid w:val="002D0904"/>
    <w:rsid w:val="002D162B"/>
    <w:rsid w:val="002D625E"/>
    <w:rsid w:val="002E2A59"/>
    <w:rsid w:val="002E6DB7"/>
    <w:rsid w:val="002F57B9"/>
    <w:rsid w:val="002F7AE9"/>
    <w:rsid w:val="00305254"/>
    <w:rsid w:val="003169D2"/>
    <w:rsid w:val="003468CA"/>
    <w:rsid w:val="003556C0"/>
    <w:rsid w:val="00372FC2"/>
    <w:rsid w:val="003A3F48"/>
    <w:rsid w:val="003A69EA"/>
    <w:rsid w:val="003B4BEF"/>
    <w:rsid w:val="003C6B45"/>
    <w:rsid w:val="003F0C01"/>
    <w:rsid w:val="00400909"/>
    <w:rsid w:val="0041282E"/>
    <w:rsid w:val="00437869"/>
    <w:rsid w:val="00447F99"/>
    <w:rsid w:val="00451CF3"/>
    <w:rsid w:val="00453C26"/>
    <w:rsid w:val="00465A34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477AA"/>
    <w:rsid w:val="00553BAE"/>
    <w:rsid w:val="00562479"/>
    <w:rsid w:val="00576849"/>
    <w:rsid w:val="005A0ACB"/>
    <w:rsid w:val="005C7B12"/>
    <w:rsid w:val="005E7FD8"/>
    <w:rsid w:val="00611DCC"/>
    <w:rsid w:val="00622560"/>
    <w:rsid w:val="00627C56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6F6134"/>
    <w:rsid w:val="00707454"/>
    <w:rsid w:val="00717C2C"/>
    <w:rsid w:val="0072429A"/>
    <w:rsid w:val="00736415"/>
    <w:rsid w:val="00770D2A"/>
    <w:rsid w:val="00775B71"/>
    <w:rsid w:val="007864F6"/>
    <w:rsid w:val="007B3821"/>
    <w:rsid w:val="007B7C4B"/>
    <w:rsid w:val="007C3A0C"/>
    <w:rsid w:val="007C3CFE"/>
    <w:rsid w:val="007F0FC5"/>
    <w:rsid w:val="007F1339"/>
    <w:rsid w:val="007F3079"/>
    <w:rsid w:val="007F5C36"/>
    <w:rsid w:val="008047DB"/>
    <w:rsid w:val="0081101A"/>
    <w:rsid w:val="008129A9"/>
    <w:rsid w:val="00820712"/>
    <w:rsid w:val="008221A4"/>
    <w:rsid w:val="0082361D"/>
    <w:rsid w:val="00824BD6"/>
    <w:rsid w:val="0083672D"/>
    <w:rsid w:val="00840700"/>
    <w:rsid w:val="00844734"/>
    <w:rsid w:val="00846565"/>
    <w:rsid w:val="00857FA1"/>
    <w:rsid w:val="00865DFB"/>
    <w:rsid w:val="0086771D"/>
    <w:rsid w:val="008A7416"/>
    <w:rsid w:val="008B6852"/>
    <w:rsid w:val="008C26FF"/>
    <w:rsid w:val="008D1D14"/>
    <w:rsid w:val="008E01FF"/>
    <w:rsid w:val="008E1785"/>
    <w:rsid w:val="008E7127"/>
    <w:rsid w:val="008E7C8E"/>
    <w:rsid w:val="00912959"/>
    <w:rsid w:val="0092075B"/>
    <w:rsid w:val="009657F9"/>
    <w:rsid w:val="009759FE"/>
    <w:rsid w:val="0099525B"/>
    <w:rsid w:val="009A533C"/>
    <w:rsid w:val="009C72B7"/>
    <w:rsid w:val="009D164C"/>
    <w:rsid w:val="00A0052C"/>
    <w:rsid w:val="00A05AAB"/>
    <w:rsid w:val="00A06370"/>
    <w:rsid w:val="00A1094B"/>
    <w:rsid w:val="00A16B3A"/>
    <w:rsid w:val="00A30409"/>
    <w:rsid w:val="00A30933"/>
    <w:rsid w:val="00A31B14"/>
    <w:rsid w:val="00A323DC"/>
    <w:rsid w:val="00A815BE"/>
    <w:rsid w:val="00AA4DE1"/>
    <w:rsid w:val="00AA5DA1"/>
    <w:rsid w:val="00AB7F81"/>
    <w:rsid w:val="00AD5369"/>
    <w:rsid w:val="00AE369F"/>
    <w:rsid w:val="00B0070D"/>
    <w:rsid w:val="00B026CB"/>
    <w:rsid w:val="00B12245"/>
    <w:rsid w:val="00B637AD"/>
    <w:rsid w:val="00B851D4"/>
    <w:rsid w:val="00B868FC"/>
    <w:rsid w:val="00B95072"/>
    <w:rsid w:val="00BB26CD"/>
    <w:rsid w:val="00BB6442"/>
    <w:rsid w:val="00BF3484"/>
    <w:rsid w:val="00C07239"/>
    <w:rsid w:val="00C30851"/>
    <w:rsid w:val="00C364B1"/>
    <w:rsid w:val="00C47D87"/>
    <w:rsid w:val="00C627F9"/>
    <w:rsid w:val="00C6584D"/>
    <w:rsid w:val="00C929E0"/>
    <w:rsid w:val="00CB0DF6"/>
    <w:rsid w:val="00CB4E5A"/>
    <w:rsid w:val="00CC73D7"/>
    <w:rsid w:val="00CF0AD7"/>
    <w:rsid w:val="00CF0BE1"/>
    <w:rsid w:val="00CF25B1"/>
    <w:rsid w:val="00CF5665"/>
    <w:rsid w:val="00D061C5"/>
    <w:rsid w:val="00D52A14"/>
    <w:rsid w:val="00D74599"/>
    <w:rsid w:val="00D90575"/>
    <w:rsid w:val="00DA0469"/>
    <w:rsid w:val="00DA2BC3"/>
    <w:rsid w:val="00DA3BCD"/>
    <w:rsid w:val="00DD13B7"/>
    <w:rsid w:val="00DF3B0C"/>
    <w:rsid w:val="00E148F2"/>
    <w:rsid w:val="00E14984"/>
    <w:rsid w:val="00E22A25"/>
    <w:rsid w:val="00E2335D"/>
    <w:rsid w:val="00E2414B"/>
    <w:rsid w:val="00E249E0"/>
    <w:rsid w:val="00E4252D"/>
    <w:rsid w:val="00E4623D"/>
    <w:rsid w:val="00E560F1"/>
    <w:rsid w:val="00E9167E"/>
    <w:rsid w:val="00E92319"/>
    <w:rsid w:val="00EA10BA"/>
    <w:rsid w:val="00EA205A"/>
    <w:rsid w:val="00F23DB0"/>
    <w:rsid w:val="00F30B39"/>
    <w:rsid w:val="00F469EB"/>
    <w:rsid w:val="00F532F9"/>
    <w:rsid w:val="00F65C1D"/>
    <w:rsid w:val="00F66B87"/>
    <w:rsid w:val="00F837F4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bf7dbfd-1b9f-42ee-af72-0a96857be2ec">Documents Proposals Manager (DPM)</DPM_x0020_Author>
    <DPM_x0020_File_x0020_name xmlns="dbf7dbfd-1b9f-42ee-af72-0a96857be2ec">T13-WTSA.16-C-0046!A21!MSW-C</DPM_x0020_File_x0020_name>
    <DPM_x0020_Version xmlns="dbf7dbfd-1b9f-42ee-af72-0a96857be2ec">DPM_v2016.9.23.1_prod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bf7dbfd-1b9f-42ee-af72-0a96857be2ec" targetNamespace="http://schemas.microsoft.com/office/2006/metadata/properties" ma:root="true" ma:fieldsID="d41af5c836d734370eb92e7ee5f83852" ns2:_="" ns3:_="">
    <xsd:import namespace="996b2e75-67fd-4955-a3b0-5ab9934cb50b"/>
    <xsd:import namespace="dbf7dbfd-1b9f-42ee-af72-0a96857be2e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dbfd-1b9f-42ee-af72-0a96857be2e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dbf7dbfd-1b9f-42ee-af72-0a96857be2e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bf7dbfd-1b9f-42ee-af72-0a96857b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T13-WTSA.16-C-0046!A21!MSW-C</vt:lpstr>
    </vt:vector>
  </TitlesOfParts>
  <Manager>General Secretariat - Pool</Manager>
  <Company>International Telecommunication Union (ITU)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T13-WTSA.16-C-0046!A21!MSW-C</dc:title>
  <dc:subject>World Telecommunication Standardization Assembly</dc:subject>
  <dc:creator>Documents Proposals Manager (DPM)</dc:creator>
  <cp:keywords>DPM_v2016.9.23.1_prod</cp:keywords>
  <dc:description>Template used by DPM and CPI for the WTSA-16</dc:description>
  <cp:lastModifiedBy>Xu, Hui</cp:lastModifiedBy>
  <cp:revision>75</cp:revision>
  <cp:lastPrinted>2016-06-07T13:24:00Z</cp:lastPrinted>
  <dcterms:created xsi:type="dcterms:W3CDTF">2016-09-29T11:07:00Z</dcterms:created>
  <dcterms:modified xsi:type="dcterms:W3CDTF">2016-09-29T11:37:00Z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