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22345D" w:rsidP="00021350">
            <w:pPr>
              <w:pStyle w:val="Adress"/>
              <w:framePr w:hSpace="0" w:wrap="auto" w:xAlign="left" w:yAlign="inline"/>
              <w:rPr>
                <w:rtl/>
                <w:lang w:bidi="ar-SA"/>
              </w:rPr>
            </w:pPr>
            <w:r w:rsidRPr="00F3091C">
              <w:rPr>
                <w:rFonts w:ascii="Times New Roman" w:eastAsia="SimSun" w:hAnsi="Times New Roman"/>
                <w:rtl/>
              </w:rPr>
              <w:t>الإضافة</w:t>
            </w:r>
            <w:r w:rsidRPr="00021350">
              <w:rPr>
                <w:rtl/>
              </w:rPr>
              <w:t xml:space="preserve"> </w:t>
            </w:r>
            <w:r>
              <w:t>21</w:t>
            </w:r>
            <w:r>
              <w:br/>
            </w:r>
            <w:r w:rsidRPr="00F3091C">
              <w:rPr>
                <w:rFonts w:ascii="Times New Roman" w:eastAsia="SimSun" w:hAnsi="Times New Roman"/>
                <w:rtl/>
              </w:rPr>
              <w:t>للوثيقة</w:t>
            </w:r>
            <w:r w:rsidRPr="00021350">
              <w:rPr>
                <w:rtl/>
              </w:rPr>
              <w:t xml:space="preserve"> </w:t>
            </w:r>
            <w:r>
              <w:t>46-</w:t>
            </w:r>
            <w:r w:rsidR="00F3091C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F3091C">
              <w:t>23</w:t>
            </w:r>
            <w:r>
              <w:rPr>
                <w:rFonts w:ascii="Times New Roman" w:eastAsia="SimSun" w:hAnsi="Times New Roman"/>
                <w:rtl/>
              </w:rPr>
              <w:t xml:space="preserve"> سبتمبر </w:t>
            </w:r>
            <w:r w:rsidRPr="00F3091C"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204AC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3D7D7C" w:rsidRDefault="0022345D" w:rsidP="00A25A43">
            <w:pPr>
              <w:pStyle w:val="Source"/>
              <w:rPr>
                <w:rtl/>
                <w:lang w:bidi="ar-SA"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3D7D7C" w:rsidRPr="00F12703">
              <w:rPr>
                <w:rFonts w:ascii="Times New Roman" w:hAnsi="Times New Roman" w:cs="Times New Roman"/>
                <w:szCs w:val="20"/>
              </w:rPr>
              <w:t>(CITEL)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2E34F6" w:rsidP="007C3BF3">
            <w:pPr>
              <w:pStyle w:val="Title1"/>
              <w:spacing w:before="240"/>
              <w:rPr>
                <w:rtl/>
                <w:lang w:bidi="ar-SA"/>
              </w:rPr>
            </w:pPr>
            <w:r w:rsidRPr="00615AA2">
              <w:rPr>
                <w:color w:val="000000"/>
                <w:spacing w:val="-4"/>
                <w:w w:val="110"/>
                <w:rtl/>
              </w:rPr>
              <w:t xml:space="preserve">اقتراح </w:t>
            </w:r>
            <w:r w:rsidR="007C3BF3">
              <w:rPr>
                <w:rFonts w:hint="cs"/>
                <w:color w:val="000000"/>
                <w:spacing w:val="-4"/>
                <w:w w:val="110"/>
                <w:rtl/>
              </w:rPr>
              <w:t>ب</w:t>
            </w:r>
            <w:r w:rsidRPr="00615AA2">
              <w:rPr>
                <w:color w:val="000000"/>
                <w:spacing w:val="-4"/>
                <w:w w:val="110"/>
                <w:rtl/>
              </w:rPr>
              <w:t xml:space="preserve">إلغاء القـرار </w:t>
            </w:r>
            <w:r>
              <w:rPr>
                <w:spacing w:val="-4"/>
                <w:w w:val="110"/>
                <w:lang w:bidi="ar-SA"/>
              </w:rPr>
              <w:t>81</w:t>
            </w:r>
            <w:r w:rsidRPr="00615AA2">
              <w:rPr>
                <w:rFonts w:hint="cs"/>
                <w:spacing w:val="-4"/>
                <w:w w:val="110"/>
                <w:rtl/>
                <w:lang w:bidi="ar-SA"/>
              </w:rPr>
              <w:t xml:space="preserve"> للجمعية العال</w:t>
            </w:r>
            <w:r>
              <w:rPr>
                <w:rFonts w:hint="cs"/>
                <w:spacing w:val="-4"/>
                <w:w w:val="110"/>
                <w:rtl/>
                <w:lang w:bidi="ar-SA"/>
              </w:rPr>
              <w:t>‍</w:t>
            </w:r>
            <w:r w:rsidRPr="00615AA2">
              <w:rPr>
                <w:rFonts w:hint="cs"/>
                <w:spacing w:val="-4"/>
                <w:w w:val="110"/>
                <w:rtl/>
                <w:lang w:bidi="ar-SA"/>
              </w:rPr>
              <w:t>مية لتقييس الاتصالات</w:t>
            </w:r>
            <w:r w:rsidR="007C3BF3">
              <w:rPr>
                <w:spacing w:val="-4"/>
                <w:w w:val="110"/>
                <w:rtl/>
              </w:rPr>
              <w:br/>
            </w:r>
            <w:r w:rsidRPr="00615AA2">
              <w:rPr>
                <w:rFonts w:hint="cs"/>
                <w:spacing w:val="-4"/>
                <w:w w:val="110"/>
                <w:rtl/>
                <w:lang w:bidi="ar-SA"/>
              </w:rPr>
              <w:t>لعام</w:t>
            </w:r>
            <w:r w:rsidRPr="00615AA2"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Pr="00615AA2">
              <w:rPr>
                <w:spacing w:val="-4"/>
                <w:w w:val="110"/>
                <w:lang w:bidi="ar-SA"/>
              </w:rPr>
              <w:t>2012</w:t>
            </w:r>
            <w:r w:rsidRPr="00615AA2">
              <w:rPr>
                <w:rFonts w:hint="cs"/>
                <w:spacing w:val="-4"/>
                <w:w w:val="110"/>
                <w:rtl/>
                <w:lang w:bidi="ar-SA"/>
              </w:rPr>
              <w:t xml:space="preserve"> </w:t>
            </w:r>
            <w:r w:rsidRPr="00615AA2">
              <w:rPr>
                <w:spacing w:val="-4"/>
                <w:w w:val="110"/>
                <w:lang w:bidi="ar-SA"/>
              </w:rPr>
              <w:t>(WTSA-12)</w:t>
            </w:r>
            <w:r>
              <w:rPr>
                <w:rFonts w:hint="eastAsia"/>
                <w:spacing w:val="-4"/>
                <w:w w:val="110"/>
                <w:rtl/>
                <w:lang w:bidi="ar-SA"/>
              </w:rPr>
              <w:t> </w:t>
            </w:r>
            <w:r w:rsidRPr="00615AA2">
              <w:rPr>
                <w:rFonts w:hint="cs"/>
                <w:spacing w:val="-4"/>
                <w:w w:val="110"/>
                <w:rtl/>
                <w:lang w:bidi="ar-SA"/>
              </w:rPr>
              <w:t>-</w:t>
            </w:r>
            <w:r w:rsidR="007C3BF3">
              <w:rPr>
                <w:rFonts w:hint="cs"/>
                <w:spacing w:val="-4"/>
                <w:w w:val="110"/>
                <w:rtl/>
                <w:lang w:bidi="ar-SA"/>
              </w:rPr>
              <w:t xml:space="preserve"> </w:t>
            </w:r>
            <w:r w:rsidR="00D72A52">
              <w:rPr>
                <w:rFonts w:hint="cs"/>
                <w:rtl/>
                <w:lang w:bidi="ar-SA"/>
              </w:rPr>
              <w:t>تعزيز التعاون</w:t>
            </w: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5" w:type="dxa"/>
              </w:tcPr>
              <w:p w:rsidR="006157A3" w:rsidRPr="00984EA5" w:rsidRDefault="00177E73" w:rsidP="00021350">
                <w:r>
                  <w:rPr>
                    <w:rFonts w:hint="cs"/>
                    <w:rtl/>
                  </w:rPr>
                  <w:t xml:space="preserve">تقترح هذه </w:t>
                </w:r>
                <w:r w:rsidR="00021350">
                  <w:rPr>
                    <w:rFonts w:hint="cs"/>
                    <w:rtl/>
                  </w:rPr>
                  <w:t xml:space="preserve">المساهمة </w:t>
                </w:r>
                <w:r>
                  <w:rPr>
                    <w:rFonts w:hint="cs"/>
                    <w:rtl/>
                  </w:rPr>
                  <w:t xml:space="preserve">إلغاء القرار </w:t>
                </w:r>
                <w:r>
                  <w:t>81</w:t>
                </w:r>
                <w:r>
                  <w:rPr>
                    <w:rFonts w:hint="cs"/>
                    <w:rtl/>
                  </w:rPr>
                  <w:t xml:space="preserve"> بشأن تعزيز التعاون.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22345D" w:rsidRDefault="0022345D" w:rsidP="007645F7">
      <w:pPr>
        <w:spacing w:before="0"/>
        <w:rPr>
          <w:rtl/>
        </w:rPr>
      </w:pPr>
    </w:p>
    <w:p w:rsidR="004063E6" w:rsidRDefault="004063E6" w:rsidP="00021350">
      <w:pPr>
        <w:pStyle w:val="Headingb"/>
        <w:rPr>
          <w:rtl/>
        </w:rPr>
      </w:pPr>
      <w:r w:rsidRPr="004063E6">
        <w:rPr>
          <w:rFonts w:hint="cs"/>
          <w:rtl/>
        </w:rPr>
        <w:t>مناقشة</w:t>
      </w:r>
    </w:p>
    <w:p w:rsidR="00CA15B7" w:rsidRPr="002754E2" w:rsidRDefault="00C50B98" w:rsidP="007C3BF3">
      <w:pPr>
        <w:rPr>
          <w:rtl/>
        </w:rPr>
      </w:pPr>
      <w:r w:rsidRPr="002754E2">
        <w:rPr>
          <w:rFonts w:hint="cs"/>
          <w:rtl/>
        </w:rPr>
        <w:t>عقب</w:t>
      </w:r>
      <w:r w:rsidR="002754E2" w:rsidRPr="002754E2">
        <w:rPr>
          <w:rFonts w:hint="cs"/>
          <w:rtl/>
        </w:rPr>
        <w:t xml:space="preserve"> </w:t>
      </w:r>
      <w:r w:rsidRPr="002754E2">
        <w:rPr>
          <w:rFonts w:hint="cs"/>
          <w:rtl/>
        </w:rPr>
        <w:t>اعتماد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الجمعية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العالمية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لتقييس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الاتصالات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لعام</w:t>
      </w:r>
      <w:r w:rsidR="002754E2" w:rsidRPr="002754E2">
        <w:rPr>
          <w:rFonts w:hint="cs"/>
          <w:rtl/>
        </w:rPr>
        <w:t xml:space="preserve"> </w:t>
      </w:r>
      <w:r w:rsidRPr="002754E2">
        <w:t>2012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القرار</w:t>
      </w:r>
      <w:r w:rsidR="002754E2" w:rsidRPr="002754E2">
        <w:rPr>
          <w:rFonts w:hint="cs"/>
          <w:rtl/>
        </w:rPr>
        <w:t xml:space="preserve"> </w:t>
      </w:r>
      <w:r w:rsidRPr="002754E2">
        <w:t>81</w:t>
      </w:r>
      <w:r w:rsidR="00C914CE" w:rsidRPr="002754E2">
        <w:rPr>
          <w:rFonts w:hint="cs"/>
          <w:rtl/>
        </w:rPr>
        <w:t>،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أنشأ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الفريق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الاستشاري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لتقييس</w:t>
      </w:r>
      <w:r w:rsidR="002754E2" w:rsidRPr="002754E2">
        <w:rPr>
          <w:rFonts w:hint="cs"/>
          <w:rtl/>
        </w:rPr>
        <w:t xml:space="preserve"> </w:t>
      </w:r>
      <w:r w:rsidR="00C914CE" w:rsidRPr="002754E2">
        <w:rPr>
          <w:rFonts w:hint="cs"/>
          <w:rtl/>
        </w:rPr>
        <w:t>الاتصالات</w:t>
      </w:r>
      <w:r w:rsidR="002754E2" w:rsidRPr="002754E2">
        <w:rPr>
          <w:rtl/>
        </w:rPr>
        <w:t xml:space="preserve"> </w:t>
      </w:r>
      <w:r w:rsidRPr="002754E2">
        <w:rPr>
          <w:rFonts w:hint="cs"/>
          <w:rtl/>
        </w:rPr>
        <w:t>فريق</w:t>
      </w:r>
      <w:r w:rsidR="002754E2" w:rsidRPr="002754E2">
        <w:rPr>
          <w:rFonts w:hint="cs"/>
          <w:rtl/>
        </w:rPr>
        <w:t xml:space="preserve"> </w:t>
      </w:r>
      <w:r w:rsidRPr="002754E2">
        <w:rPr>
          <w:rFonts w:hint="cs"/>
          <w:rtl/>
        </w:rPr>
        <w:t>مقرر</w:t>
      </w:r>
      <w:r w:rsidR="002754E2" w:rsidRPr="002754E2">
        <w:rPr>
          <w:rFonts w:hint="cs"/>
          <w:rtl/>
        </w:rPr>
        <w:t xml:space="preserve"> </w:t>
      </w:r>
      <w:r w:rsidRPr="002754E2">
        <w:rPr>
          <w:rFonts w:hint="cs"/>
          <w:rtl/>
        </w:rPr>
        <w:t>جديداً</w:t>
      </w:r>
      <w:r w:rsidR="002754E2" w:rsidRPr="002754E2">
        <w:rPr>
          <w:rFonts w:hint="cs"/>
          <w:rtl/>
        </w:rPr>
        <w:t xml:space="preserve"> </w:t>
      </w:r>
      <w:r w:rsidR="003E6A3B" w:rsidRPr="002754E2">
        <w:rPr>
          <w:rFonts w:hint="cs"/>
          <w:rtl/>
        </w:rPr>
        <w:t>لاتخاذ</w:t>
      </w:r>
      <w:r w:rsidR="002754E2" w:rsidRPr="002754E2">
        <w:rPr>
          <w:rFonts w:hint="cs"/>
          <w:rtl/>
        </w:rPr>
        <w:t xml:space="preserve"> </w:t>
      </w:r>
      <w:r w:rsidR="003E6A3B" w:rsidRPr="002754E2">
        <w:rPr>
          <w:rFonts w:hint="cs"/>
          <w:rtl/>
        </w:rPr>
        <w:t>إجراءات</w:t>
      </w:r>
      <w:r w:rsidR="002754E2" w:rsidRPr="002754E2">
        <w:rPr>
          <w:rFonts w:hint="cs"/>
          <w:rtl/>
        </w:rPr>
        <w:t xml:space="preserve"> </w:t>
      </w:r>
      <w:r w:rsidR="003E6A3B" w:rsidRPr="002754E2">
        <w:rPr>
          <w:rFonts w:hint="cs"/>
          <w:rtl/>
        </w:rPr>
        <w:t>مناسبة</w:t>
      </w:r>
      <w:r w:rsidR="002754E2" w:rsidRPr="002754E2">
        <w:rPr>
          <w:rFonts w:hint="cs"/>
          <w:rtl/>
        </w:rPr>
        <w:t xml:space="preserve"> </w:t>
      </w:r>
      <w:r w:rsidR="003A3E34" w:rsidRPr="002754E2">
        <w:rPr>
          <w:rFonts w:hint="cs"/>
          <w:rtl/>
          <w:lang w:bidi="ar-EG"/>
        </w:rPr>
        <w:t>مرتبطة</w:t>
      </w:r>
      <w:r w:rsidR="002754E2" w:rsidRPr="002754E2">
        <w:rPr>
          <w:rFonts w:hint="cs"/>
          <w:rtl/>
        </w:rPr>
        <w:t xml:space="preserve"> </w:t>
      </w:r>
      <w:r w:rsidR="00C35E1E" w:rsidRPr="002754E2">
        <w:rPr>
          <w:rFonts w:hint="cs"/>
          <w:rtl/>
        </w:rPr>
        <w:t>بتعزيز</w:t>
      </w:r>
      <w:r w:rsidR="002754E2" w:rsidRPr="002754E2">
        <w:rPr>
          <w:rFonts w:hint="cs"/>
          <w:rtl/>
        </w:rPr>
        <w:t xml:space="preserve"> </w:t>
      </w:r>
      <w:r w:rsidR="00C35E1E" w:rsidRPr="002754E2">
        <w:rPr>
          <w:rFonts w:hint="cs"/>
          <w:rtl/>
        </w:rPr>
        <w:t>التعاون.</w:t>
      </w:r>
      <w:r w:rsidR="002754E2" w:rsidRPr="002754E2">
        <w:rPr>
          <w:rFonts w:hint="cs"/>
          <w:rtl/>
        </w:rPr>
        <w:t xml:space="preserve"> </w:t>
      </w:r>
      <w:r w:rsidR="00021350" w:rsidRPr="002754E2">
        <w:rPr>
          <w:rFonts w:hint="cs"/>
          <w:rtl/>
        </w:rPr>
        <w:t>و</w:t>
      </w:r>
      <w:r w:rsidR="00DF51C6" w:rsidRPr="002754E2">
        <w:rPr>
          <w:rFonts w:hint="cs"/>
          <w:rtl/>
        </w:rPr>
        <w:t>قد</w:t>
      </w:r>
      <w:r w:rsidR="002754E2" w:rsidRPr="002754E2">
        <w:rPr>
          <w:rFonts w:hint="cs"/>
          <w:rtl/>
        </w:rPr>
        <w:t xml:space="preserve"> </w:t>
      </w:r>
      <w:r w:rsidR="00DF51C6" w:rsidRPr="002754E2">
        <w:rPr>
          <w:rFonts w:hint="cs"/>
          <w:rtl/>
        </w:rPr>
        <w:t>أُنجز</w:t>
      </w:r>
      <w:r w:rsidR="002754E2" w:rsidRPr="002754E2">
        <w:rPr>
          <w:rFonts w:hint="cs"/>
          <w:rtl/>
        </w:rPr>
        <w:t xml:space="preserve"> </w:t>
      </w:r>
      <w:r w:rsidR="00DF51C6" w:rsidRPr="002754E2">
        <w:rPr>
          <w:rFonts w:hint="cs"/>
          <w:rtl/>
        </w:rPr>
        <w:t>الكثير</w:t>
      </w:r>
      <w:r w:rsidR="002754E2" w:rsidRPr="002754E2">
        <w:rPr>
          <w:rFonts w:hint="cs"/>
          <w:rtl/>
        </w:rPr>
        <w:t xml:space="preserve"> فعلاً </w:t>
      </w:r>
      <w:r w:rsidR="00DF51C6" w:rsidRPr="002754E2">
        <w:rPr>
          <w:rFonts w:hint="cs"/>
          <w:rtl/>
        </w:rPr>
        <w:t>بموافقة</w:t>
      </w:r>
      <w:r w:rsidR="002754E2" w:rsidRPr="002754E2">
        <w:rPr>
          <w:rFonts w:hint="cs"/>
          <w:rtl/>
        </w:rPr>
        <w:t xml:space="preserve"> </w:t>
      </w:r>
      <w:r w:rsidR="00DF51C6" w:rsidRPr="002754E2">
        <w:rPr>
          <w:rFonts w:hint="cs"/>
          <w:rtl/>
        </w:rPr>
        <w:t>الفريق</w:t>
      </w:r>
      <w:r w:rsidR="002754E2" w:rsidRPr="002754E2">
        <w:rPr>
          <w:rFonts w:hint="cs"/>
          <w:rtl/>
        </w:rPr>
        <w:t xml:space="preserve"> </w:t>
      </w:r>
      <w:r w:rsidR="007847FF" w:rsidRPr="002754E2">
        <w:rPr>
          <w:rFonts w:hint="cs"/>
          <w:rtl/>
        </w:rPr>
        <w:t>على</w:t>
      </w:r>
      <w:r w:rsidR="002754E2" w:rsidRPr="002754E2">
        <w:rPr>
          <w:rFonts w:hint="cs"/>
          <w:rtl/>
        </w:rPr>
        <w:t xml:space="preserve"> </w:t>
      </w:r>
      <w:r w:rsidR="007847FF" w:rsidRPr="002754E2">
        <w:rPr>
          <w:rFonts w:hint="cs"/>
          <w:rtl/>
        </w:rPr>
        <w:t>تعديل</w:t>
      </w:r>
      <w:r w:rsidR="002754E2" w:rsidRPr="002754E2">
        <w:rPr>
          <w:rFonts w:hint="cs"/>
          <w:rtl/>
        </w:rPr>
        <w:t xml:space="preserve"> </w:t>
      </w:r>
      <w:r w:rsidR="009724BA" w:rsidRPr="002754E2">
        <w:rPr>
          <w:rFonts w:hint="cs"/>
          <w:rtl/>
        </w:rPr>
        <w:t>التوصية</w:t>
      </w:r>
      <w:r w:rsidR="002754E2" w:rsidRPr="002754E2">
        <w:rPr>
          <w:rFonts w:hint="cs"/>
          <w:rtl/>
        </w:rPr>
        <w:t xml:space="preserve"> </w:t>
      </w:r>
      <w:r w:rsidR="009724BA" w:rsidRPr="002754E2">
        <w:t>A.5</w:t>
      </w:r>
      <w:r w:rsidR="002754E2" w:rsidRPr="002754E2">
        <w:rPr>
          <w:rFonts w:hint="cs"/>
          <w:rtl/>
        </w:rPr>
        <w:t xml:space="preserve"> </w:t>
      </w:r>
      <w:r w:rsidR="009724BA" w:rsidRPr="002754E2">
        <w:rPr>
          <w:rFonts w:hint="cs"/>
          <w:rtl/>
        </w:rPr>
        <w:t>من</w:t>
      </w:r>
      <w:r w:rsidR="002754E2" w:rsidRPr="002754E2">
        <w:rPr>
          <w:rFonts w:hint="cs"/>
          <w:rtl/>
        </w:rPr>
        <w:t xml:space="preserve"> </w:t>
      </w:r>
      <w:r w:rsidR="00006DAE" w:rsidRPr="002754E2">
        <w:rPr>
          <w:rFonts w:hint="cs"/>
          <w:rtl/>
        </w:rPr>
        <w:t>سلسلة</w:t>
      </w:r>
      <w:r w:rsidR="002754E2" w:rsidRPr="002754E2">
        <w:rPr>
          <w:rFonts w:hint="cs"/>
          <w:rtl/>
        </w:rPr>
        <w:t xml:space="preserve"> </w:t>
      </w:r>
      <w:r w:rsidR="00006DAE" w:rsidRPr="002754E2">
        <w:rPr>
          <w:rFonts w:hint="cs"/>
          <w:rtl/>
        </w:rPr>
        <w:t>التوصيات</w:t>
      </w:r>
      <w:r w:rsidR="002754E2" w:rsidRPr="002754E2">
        <w:rPr>
          <w:rFonts w:hint="eastAsia"/>
          <w:rtl/>
        </w:rPr>
        <w:t> </w:t>
      </w:r>
      <w:r w:rsidR="00006DAE" w:rsidRPr="002754E2">
        <w:t>A</w:t>
      </w:r>
      <w:r w:rsidR="002754E2" w:rsidRPr="002754E2">
        <w:rPr>
          <w:rFonts w:hint="cs"/>
          <w:rtl/>
        </w:rPr>
        <w:t xml:space="preserve"> </w:t>
      </w:r>
      <w:r w:rsidR="00CB5B3E" w:rsidRPr="002754E2">
        <w:rPr>
          <w:rFonts w:hint="cs"/>
          <w:rtl/>
        </w:rPr>
        <w:t>(الإجراءات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العامة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لوضع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إحالات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مرجعية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إلى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وثائق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المنظمات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الأخرى</w:t>
      </w:r>
      <w:r w:rsidR="002754E2" w:rsidRPr="002754E2">
        <w:rPr>
          <w:rFonts w:hint="cs"/>
          <w:rtl/>
        </w:rPr>
        <w:t xml:space="preserve"> </w:t>
      </w:r>
      <w:r w:rsidR="00CB5B3E" w:rsidRPr="002754E2">
        <w:rPr>
          <w:rFonts w:hint="cs"/>
          <w:rtl/>
        </w:rPr>
        <w:t>في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التوصيات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الصادرة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عن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قطاع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تقييس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الاتصالات</w:t>
      </w:r>
      <w:r w:rsidR="00B216BE" w:rsidRPr="002754E2">
        <w:rPr>
          <w:rFonts w:hint="cs"/>
          <w:rtl/>
        </w:rPr>
        <w:t>)،</w:t>
      </w:r>
      <w:r w:rsidR="002754E2" w:rsidRPr="002754E2">
        <w:rPr>
          <w:rFonts w:hint="cs"/>
          <w:rtl/>
        </w:rPr>
        <w:t xml:space="preserve"> </w:t>
      </w:r>
      <w:r w:rsidR="00B216BE" w:rsidRPr="002754E2">
        <w:rPr>
          <w:rFonts w:hint="cs"/>
          <w:rtl/>
        </w:rPr>
        <w:t>والتوصية</w:t>
      </w:r>
      <w:r w:rsidR="002754E2" w:rsidRPr="002754E2">
        <w:rPr>
          <w:rFonts w:hint="cs"/>
          <w:rtl/>
        </w:rPr>
        <w:t xml:space="preserve"> </w:t>
      </w:r>
      <w:r w:rsidR="00C43454" w:rsidRPr="002754E2">
        <w:rPr>
          <w:rFonts w:hint="cs"/>
          <w:rtl/>
        </w:rPr>
        <w:t>الجديدة</w:t>
      </w:r>
      <w:r w:rsidR="002754E2" w:rsidRPr="002754E2">
        <w:rPr>
          <w:rFonts w:hint="cs"/>
          <w:rtl/>
        </w:rPr>
        <w:t xml:space="preserve"> </w:t>
      </w:r>
      <w:r w:rsidR="00B216BE" w:rsidRPr="002754E2">
        <w:t>A.25</w:t>
      </w:r>
      <w:r w:rsidR="002754E2" w:rsidRPr="002754E2">
        <w:rPr>
          <w:rFonts w:hint="cs"/>
          <w:rtl/>
        </w:rPr>
        <w:t xml:space="preserve"> </w:t>
      </w:r>
      <w:r w:rsidR="00CB5B3E" w:rsidRPr="002754E2">
        <w:rPr>
          <w:rFonts w:hint="cs"/>
          <w:rtl/>
        </w:rPr>
        <w:t>(الإجراءات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العامة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المتعلقة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بتضمين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نصوص</w:t>
      </w:r>
      <w:r w:rsidR="002754E2" w:rsidRPr="002754E2">
        <w:rPr>
          <w:rFonts w:hint="cs"/>
          <w:rtl/>
        </w:rPr>
        <w:t xml:space="preserve"> </w:t>
      </w:r>
      <w:r w:rsidR="00CB5B3E" w:rsidRPr="002754E2">
        <w:rPr>
          <w:rFonts w:hint="cs"/>
          <w:rtl/>
        </w:rPr>
        <w:t>بين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قطاع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تقييس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الاتصالات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ومنظمات</w:t>
      </w:r>
      <w:r w:rsidR="002754E2" w:rsidRPr="002754E2">
        <w:rPr>
          <w:rtl/>
        </w:rPr>
        <w:t xml:space="preserve"> </w:t>
      </w:r>
      <w:r w:rsidR="00CB5B3E" w:rsidRPr="002754E2">
        <w:rPr>
          <w:rFonts w:hint="cs"/>
          <w:rtl/>
        </w:rPr>
        <w:t>أخرى</w:t>
      </w:r>
      <w:r w:rsidR="00B216BE" w:rsidRPr="002754E2">
        <w:rPr>
          <w:rFonts w:hint="cs"/>
          <w:rtl/>
        </w:rPr>
        <w:t>)</w:t>
      </w:r>
      <w:r w:rsidR="001E154E" w:rsidRPr="002754E2">
        <w:rPr>
          <w:rFonts w:hint="cs"/>
          <w:rtl/>
        </w:rPr>
        <w:t>.</w:t>
      </w:r>
      <w:r w:rsidR="002754E2" w:rsidRPr="002754E2">
        <w:rPr>
          <w:rFonts w:hint="cs"/>
          <w:rtl/>
        </w:rPr>
        <w:t xml:space="preserve"> </w:t>
      </w:r>
      <w:r w:rsidR="001E154E" w:rsidRPr="002754E2">
        <w:rPr>
          <w:rFonts w:hint="cs"/>
          <w:rtl/>
        </w:rPr>
        <w:t>و</w:t>
      </w:r>
      <w:r w:rsidR="00B216BE" w:rsidRPr="002754E2">
        <w:rPr>
          <w:rFonts w:hint="cs"/>
          <w:rtl/>
        </w:rPr>
        <w:t>إلى</w:t>
      </w:r>
      <w:r w:rsidR="002754E2" w:rsidRPr="002754E2">
        <w:rPr>
          <w:rFonts w:hint="cs"/>
          <w:rtl/>
        </w:rPr>
        <w:t xml:space="preserve"> </w:t>
      </w:r>
      <w:r w:rsidR="001E154E" w:rsidRPr="002754E2">
        <w:rPr>
          <w:rFonts w:hint="cs"/>
          <w:rtl/>
        </w:rPr>
        <w:t>جانب</w:t>
      </w:r>
      <w:r w:rsidR="002754E2" w:rsidRPr="002754E2">
        <w:rPr>
          <w:rFonts w:hint="cs"/>
          <w:rtl/>
        </w:rPr>
        <w:t xml:space="preserve"> </w:t>
      </w:r>
      <w:r w:rsidR="00B216BE" w:rsidRPr="002754E2">
        <w:rPr>
          <w:rFonts w:hint="cs"/>
          <w:rtl/>
        </w:rPr>
        <w:t>ذلك،</w:t>
      </w:r>
      <w:r w:rsidR="002754E2" w:rsidRPr="002754E2">
        <w:rPr>
          <w:rFonts w:hint="cs"/>
          <w:rtl/>
        </w:rPr>
        <w:t xml:space="preserve"> </w:t>
      </w:r>
      <w:r w:rsidR="00B216BE" w:rsidRPr="002754E2">
        <w:rPr>
          <w:rFonts w:hint="cs"/>
          <w:rtl/>
        </w:rPr>
        <w:t>تمت</w:t>
      </w:r>
      <w:r w:rsidR="002754E2" w:rsidRPr="002754E2">
        <w:rPr>
          <w:rFonts w:hint="cs"/>
          <w:rtl/>
        </w:rPr>
        <w:t xml:space="preserve"> </w:t>
      </w:r>
      <w:r w:rsidR="00B216BE" w:rsidRPr="002754E2">
        <w:rPr>
          <w:rFonts w:hint="cs"/>
          <w:rtl/>
        </w:rPr>
        <w:t>الموافقة</w:t>
      </w:r>
      <w:r w:rsidR="002754E2" w:rsidRPr="002754E2">
        <w:rPr>
          <w:rFonts w:hint="cs"/>
          <w:rtl/>
        </w:rPr>
        <w:t xml:space="preserve"> </w:t>
      </w:r>
      <w:r w:rsidR="00B216BE" w:rsidRPr="002754E2">
        <w:rPr>
          <w:rFonts w:hint="cs"/>
          <w:rtl/>
        </w:rPr>
        <w:t>على</w:t>
      </w:r>
      <w:r w:rsidR="002754E2" w:rsidRPr="002754E2">
        <w:rPr>
          <w:rFonts w:hint="cs"/>
          <w:rtl/>
        </w:rPr>
        <w:t xml:space="preserve"> </w:t>
      </w:r>
      <w:r w:rsidR="00E632A7" w:rsidRPr="002754E2">
        <w:rPr>
          <w:rFonts w:hint="cs"/>
          <w:rtl/>
        </w:rPr>
        <w:t>الإضافة</w:t>
      </w:r>
      <w:r w:rsidR="002754E2" w:rsidRPr="002754E2">
        <w:rPr>
          <w:rFonts w:hint="cs"/>
          <w:rtl/>
        </w:rPr>
        <w:t xml:space="preserve"> </w:t>
      </w:r>
      <w:r w:rsidR="001E154E" w:rsidRPr="002754E2">
        <w:t>5</w:t>
      </w:r>
      <w:r w:rsidR="002754E2" w:rsidRPr="002754E2">
        <w:rPr>
          <w:rFonts w:hint="cs"/>
          <w:rtl/>
        </w:rPr>
        <w:t xml:space="preserve"> </w:t>
      </w:r>
      <w:r w:rsidR="00E632A7" w:rsidRPr="002754E2">
        <w:rPr>
          <w:rFonts w:hint="cs"/>
          <w:rtl/>
        </w:rPr>
        <w:t>الجديدة</w:t>
      </w:r>
      <w:r w:rsidR="002754E2" w:rsidRPr="002754E2">
        <w:rPr>
          <w:rFonts w:hint="cs"/>
          <w:rtl/>
        </w:rPr>
        <w:t xml:space="preserve"> </w:t>
      </w:r>
      <w:r w:rsidR="008B22A1" w:rsidRPr="002754E2">
        <w:rPr>
          <w:rFonts w:hint="cs"/>
          <w:rtl/>
        </w:rPr>
        <w:t>(المبادئ</w:t>
      </w:r>
      <w:r w:rsidR="002754E2" w:rsidRPr="002754E2">
        <w:rPr>
          <w:rtl/>
        </w:rPr>
        <w:t xml:space="preserve"> </w:t>
      </w:r>
      <w:r w:rsidR="008B22A1" w:rsidRPr="002754E2">
        <w:rPr>
          <w:rFonts w:hint="cs"/>
          <w:rtl/>
        </w:rPr>
        <w:t>التوجيهية</w:t>
      </w:r>
      <w:r w:rsidR="002754E2" w:rsidRPr="002754E2">
        <w:rPr>
          <w:rtl/>
        </w:rPr>
        <w:t xml:space="preserve"> </w:t>
      </w:r>
      <w:r w:rsidR="008B22A1" w:rsidRPr="002754E2">
        <w:rPr>
          <w:rFonts w:hint="cs"/>
          <w:rtl/>
        </w:rPr>
        <w:t>للتعاون</w:t>
      </w:r>
      <w:r w:rsidR="002754E2" w:rsidRPr="002754E2">
        <w:rPr>
          <w:rtl/>
        </w:rPr>
        <w:t xml:space="preserve"> </w:t>
      </w:r>
      <w:r w:rsidR="008B22A1" w:rsidRPr="002754E2">
        <w:rPr>
          <w:rFonts w:hint="cs"/>
          <w:rtl/>
        </w:rPr>
        <w:t>وتبادل</w:t>
      </w:r>
      <w:r w:rsidR="002754E2" w:rsidRPr="002754E2">
        <w:rPr>
          <w:rtl/>
        </w:rPr>
        <w:t xml:space="preserve"> </w:t>
      </w:r>
      <w:r w:rsidR="008B22A1" w:rsidRPr="002754E2">
        <w:rPr>
          <w:rFonts w:hint="cs"/>
          <w:rtl/>
        </w:rPr>
        <w:t>المعلومات</w:t>
      </w:r>
      <w:r w:rsidR="002754E2" w:rsidRPr="002754E2">
        <w:rPr>
          <w:rtl/>
        </w:rPr>
        <w:t xml:space="preserve"> </w:t>
      </w:r>
      <w:r w:rsidR="008B22A1" w:rsidRPr="002754E2">
        <w:rPr>
          <w:rFonts w:hint="cs"/>
          <w:rtl/>
        </w:rPr>
        <w:t>مع</w:t>
      </w:r>
      <w:r w:rsidR="002754E2" w:rsidRPr="002754E2">
        <w:rPr>
          <w:rtl/>
        </w:rPr>
        <w:t xml:space="preserve"> </w:t>
      </w:r>
      <w:r w:rsidR="008B22A1" w:rsidRPr="002754E2">
        <w:rPr>
          <w:rFonts w:hint="cs"/>
          <w:rtl/>
        </w:rPr>
        <w:t>المنظمات</w:t>
      </w:r>
      <w:r w:rsidR="007C3BF3">
        <w:rPr>
          <w:rFonts w:hint="cs"/>
          <w:rtl/>
        </w:rPr>
        <w:t> </w:t>
      </w:r>
      <w:r w:rsidR="008B22A1" w:rsidRPr="002754E2">
        <w:rPr>
          <w:rFonts w:hint="cs"/>
          <w:rtl/>
        </w:rPr>
        <w:t>الأخرى).</w:t>
      </w:r>
    </w:p>
    <w:p w:rsidR="002754E2" w:rsidRPr="003156CA" w:rsidRDefault="002754E2" w:rsidP="007C3BF3">
      <w:pPr>
        <w:rPr>
          <w:rtl/>
        </w:rPr>
      </w:pPr>
      <w:r w:rsidRPr="003156CA">
        <w:rPr>
          <w:rFonts w:hint="cs"/>
          <w:rtl/>
        </w:rPr>
        <w:t>ولإبراز العمل المتعلق بتعزيز التعاون بوجه أكثر تحديداً في إجراءات قطاع تقييس الاتصالات، يُقترح إدراج فقرة جديدة، في</w:t>
      </w:r>
      <w:r w:rsidR="007C3BF3">
        <w:rPr>
          <w:rFonts w:hint="cs"/>
          <w:rtl/>
        </w:rPr>
        <w:t> </w:t>
      </w:r>
      <w:r w:rsidRPr="003156CA">
        <w:rPr>
          <w:rFonts w:hint="cs"/>
          <w:rtl/>
        </w:rPr>
        <w:t>شكل مساهمة مرافقة، في</w:t>
      </w:r>
      <w:r w:rsidR="005F70F1" w:rsidRPr="003156CA">
        <w:rPr>
          <w:rFonts w:hint="eastAsia"/>
          <w:rtl/>
        </w:rPr>
        <w:t> </w:t>
      </w:r>
      <w:r w:rsidRPr="003156CA">
        <w:rPr>
          <w:rFonts w:hint="cs"/>
          <w:rtl/>
        </w:rPr>
        <w:t>القسم</w:t>
      </w:r>
      <w:r w:rsidR="005F70F1" w:rsidRPr="003156CA">
        <w:rPr>
          <w:rFonts w:hint="eastAsia"/>
          <w:rtl/>
        </w:rPr>
        <w:t> </w:t>
      </w:r>
      <w:r w:rsidRPr="003156CA">
        <w:t>4</w:t>
      </w:r>
      <w:r w:rsidRPr="003156CA">
        <w:rPr>
          <w:rFonts w:hint="cs"/>
          <w:rtl/>
        </w:rPr>
        <w:t xml:space="preserve"> من القرار</w:t>
      </w:r>
      <w:r w:rsidR="005F70F1" w:rsidRPr="003156CA">
        <w:rPr>
          <w:rFonts w:hint="eastAsia"/>
          <w:rtl/>
        </w:rPr>
        <w:t> </w:t>
      </w:r>
      <w:r w:rsidRPr="003156CA">
        <w:t>1</w:t>
      </w:r>
      <w:r w:rsidRPr="003156CA">
        <w:rPr>
          <w:rFonts w:hint="cs"/>
          <w:rtl/>
        </w:rPr>
        <w:t xml:space="preserve"> تشير إلى أن العمل المتعلق بهذا الموضوع ينبغي أن يظهر بشكل بارز في</w:t>
      </w:r>
      <w:r w:rsidR="007C3BF3">
        <w:rPr>
          <w:rFonts w:hint="cs"/>
          <w:rtl/>
        </w:rPr>
        <w:t> </w:t>
      </w:r>
      <w:r w:rsidRPr="003156CA">
        <w:rPr>
          <w:rFonts w:hint="cs"/>
          <w:rtl/>
        </w:rPr>
        <w:t>برنامج عمل الفريق الاستشاري لتقييس الاتصالات، في إطار مسؤولياته المحددة في</w:t>
      </w:r>
      <w:r w:rsidR="005F70F1" w:rsidRPr="003156CA">
        <w:rPr>
          <w:rFonts w:hint="eastAsia"/>
          <w:rtl/>
        </w:rPr>
        <w:t> </w:t>
      </w:r>
      <w:r w:rsidRPr="003156CA">
        <w:rPr>
          <w:rFonts w:hint="cs"/>
          <w:rtl/>
        </w:rPr>
        <w:t>المادة</w:t>
      </w:r>
      <w:r w:rsidR="005F70F1" w:rsidRPr="003156CA">
        <w:rPr>
          <w:rFonts w:hint="eastAsia"/>
          <w:rtl/>
        </w:rPr>
        <w:t> </w:t>
      </w:r>
      <w:r w:rsidRPr="003156CA">
        <w:t>14A</w:t>
      </w:r>
      <w:r w:rsidRPr="003156CA">
        <w:rPr>
          <w:rFonts w:hint="cs"/>
          <w:rtl/>
        </w:rPr>
        <w:t xml:space="preserve"> من اتفاقية الاتحاد الدولي للاتصالات وكذلك وفقاً لأهداف قطاع تقييس الاتصالات الواردة في الخطة الاستراتيجية. وفي الوقت نفسه، سيستمر العمل في</w:t>
      </w:r>
      <w:r w:rsidR="007C3BF3">
        <w:rPr>
          <w:rFonts w:hint="eastAsia"/>
          <w:rtl/>
        </w:rPr>
        <w:t> </w:t>
      </w:r>
      <w:r w:rsidRPr="003156CA">
        <w:rPr>
          <w:rFonts w:hint="cs"/>
          <w:rtl/>
        </w:rPr>
        <w:t>إطار فريق المقرر التابع للفريق الاستشاري لتقييس الاتصالات والمعني بتعزيز التعاون.</w:t>
      </w:r>
    </w:p>
    <w:p w:rsidR="002754E2" w:rsidRPr="002754E2" w:rsidRDefault="002754E2" w:rsidP="00DE439F">
      <w:pPr>
        <w:pStyle w:val="Headingb"/>
        <w:rPr>
          <w:rtl/>
        </w:rPr>
      </w:pPr>
      <w:r w:rsidRPr="002754E2">
        <w:rPr>
          <w:rFonts w:hint="cs"/>
          <w:rtl/>
        </w:rPr>
        <w:t>المقترح</w:t>
      </w:r>
    </w:p>
    <w:p w:rsidR="00CA15B7" w:rsidRDefault="002754E2" w:rsidP="00C60AD7">
      <w:pPr>
        <w:rPr>
          <w:rtl/>
          <w:lang w:bidi="ar-EG"/>
        </w:rPr>
      </w:pPr>
      <w:r w:rsidRPr="002754E2">
        <w:rPr>
          <w:rFonts w:hint="cs"/>
          <w:rtl/>
        </w:rPr>
        <w:t xml:space="preserve">ينبغي إلغاء القرار </w:t>
      </w:r>
      <w:r w:rsidRPr="002754E2">
        <w:t>81</w:t>
      </w:r>
      <w:r w:rsidRPr="002754E2">
        <w:rPr>
          <w:rtl/>
        </w:rPr>
        <w:t xml:space="preserve"> </w:t>
      </w:r>
      <w:r w:rsidRPr="002754E2">
        <w:rPr>
          <w:rFonts w:hint="cs"/>
          <w:rtl/>
        </w:rPr>
        <w:t>لأن الإجراءات المرتبطة به تعال</w:t>
      </w:r>
      <w:r w:rsidR="00082FB8">
        <w:rPr>
          <w:rFonts w:hint="cs"/>
          <w:rtl/>
        </w:rPr>
        <w:t>َ</w:t>
      </w:r>
      <w:r w:rsidRPr="002754E2">
        <w:rPr>
          <w:rFonts w:hint="cs"/>
          <w:rtl/>
        </w:rPr>
        <w:t>ج باستمرار.</w:t>
      </w:r>
      <w:r w:rsidR="00CA15B7">
        <w:rPr>
          <w:rtl/>
        </w:rPr>
        <w:br w:type="page"/>
      </w:r>
    </w:p>
    <w:p w:rsidR="006C1D69" w:rsidRDefault="007A5F46">
      <w:pPr>
        <w:pStyle w:val="Proposal"/>
      </w:pPr>
      <w:r>
        <w:lastRenderedPageBreak/>
        <w:t>SUP</w:t>
      </w:r>
      <w:r>
        <w:tab/>
        <w:t>IAP/46A21/1</w:t>
      </w:r>
    </w:p>
    <w:p w:rsidR="00973933" w:rsidRDefault="007A5F46" w:rsidP="0039693C">
      <w:pPr>
        <w:pStyle w:val="ResNo"/>
        <w:rPr>
          <w:rtl/>
        </w:rPr>
      </w:pPr>
      <w:bookmarkStart w:id="0" w:name="_Toc349551641"/>
      <w:r>
        <w:rPr>
          <w:rFonts w:hint="cs"/>
          <w:rtl/>
        </w:rPr>
        <w:t xml:space="preserve">القـرار </w:t>
      </w:r>
      <w:r w:rsidRPr="00F55343">
        <w:rPr>
          <w:rStyle w:val="href"/>
        </w:rPr>
        <w:t>81</w:t>
      </w:r>
      <w:r>
        <w:rPr>
          <w:rFonts w:hint="cs"/>
          <w:rtl/>
        </w:rPr>
        <w:t xml:space="preserve"> (دبي، </w:t>
      </w:r>
      <w:r>
        <w:t>2012</w:t>
      </w:r>
      <w:r>
        <w:rPr>
          <w:rFonts w:hint="cs"/>
          <w:rtl/>
        </w:rPr>
        <w:t>)</w:t>
      </w:r>
      <w:bookmarkEnd w:id="0"/>
    </w:p>
    <w:p w:rsidR="00973933" w:rsidRPr="00527CB1" w:rsidRDefault="007A5F46" w:rsidP="00973933">
      <w:pPr>
        <w:pStyle w:val="Restitle"/>
      </w:pPr>
      <w:bookmarkStart w:id="1" w:name="_Toc349551642"/>
      <w:r>
        <w:rPr>
          <w:rFonts w:hint="cs"/>
          <w:rtl/>
          <w:lang w:bidi="ar-EG"/>
        </w:rPr>
        <w:t>تعزيز التعاون</w:t>
      </w:r>
      <w:bookmarkEnd w:id="1"/>
    </w:p>
    <w:p w:rsidR="00973933" w:rsidRDefault="007A5F46" w:rsidP="002B57A6">
      <w:pPr>
        <w:pStyle w:val="Resref"/>
        <w:spacing w:after="360"/>
        <w:rPr>
          <w:iCs w:val="0"/>
          <w:rtl/>
          <w:lang w:bidi="ar-EG"/>
        </w:rPr>
      </w:pPr>
      <w:r w:rsidRPr="004D4F51">
        <w:rPr>
          <w:rFonts w:hint="cs"/>
          <w:rtl/>
          <w:lang w:bidi="ar-EG"/>
        </w:rPr>
        <w:t xml:space="preserve">(دبي، </w:t>
      </w:r>
      <w:r w:rsidRPr="004D4F51">
        <w:rPr>
          <w:lang w:bidi="ar-EG"/>
        </w:rPr>
        <w:t>2012</w:t>
      </w:r>
      <w:r w:rsidRPr="004D4F51">
        <w:rPr>
          <w:rFonts w:hint="cs"/>
          <w:rtl/>
          <w:lang w:bidi="ar-EG"/>
        </w:rPr>
        <w:t>)</w:t>
      </w:r>
    </w:p>
    <w:p w:rsidR="006C1D69" w:rsidRDefault="007A5F46" w:rsidP="00D33638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065BB2" w:rsidRPr="00065BB2">
        <w:rPr>
          <w:rFonts w:hint="cs"/>
          <w:b w:val="0"/>
          <w:bCs w:val="0"/>
          <w:rtl/>
        </w:rPr>
        <w:t xml:space="preserve">انظر المناقشة والمقترح </w:t>
      </w:r>
      <w:r w:rsidR="00AE201F">
        <w:rPr>
          <w:rFonts w:hint="cs"/>
          <w:b w:val="0"/>
          <w:bCs w:val="0"/>
          <w:rtl/>
        </w:rPr>
        <w:t xml:space="preserve">الواردين </w:t>
      </w:r>
      <w:r w:rsidR="0039693C">
        <w:rPr>
          <w:rFonts w:hint="cs"/>
          <w:b w:val="0"/>
          <w:bCs w:val="0"/>
          <w:rtl/>
        </w:rPr>
        <w:t>في الوثيقة</w:t>
      </w:r>
      <w:r w:rsidR="00D33638">
        <w:rPr>
          <w:rFonts w:hint="cs"/>
          <w:b w:val="0"/>
          <w:bCs w:val="0"/>
          <w:rtl/>
        </w:rPr>
        <w:t xml:space="preserve"> </w:t>
      </w:r>
      <w:r w:rsidR="00D33638">
        <w:rPr>
          <w:b w:val="0"/>
          <w:bCs w:val="0"/>
        </w:rPr>
        <w:t>46</w:t>
      </w:r>
      <w:r w:rsidR="00D33638">
        <w:rPr>
          <w:rFonts w:hint="cs"/>
          <w:b w:val="0"/>
          <w:bCs w:val="0"/>
          <w:rtl/>
          <w:lang w:bidi="ar-EG"/>
        </w:rPr>
        <w:t xml:space="preserve"> (الإضافة </w:t>
      </w:r>
      <w:r w:rsidR="00D33638">
        <w:rPr>
          <w:b w:val="0"/>
          <w:bCs w:val="0"/>
          <w:lang w:bidi="ar-EG"/>
        </w:rPr>
        <w:t>21</w:t>
      </w:r>
      <w:r w:rsidR="00D33638">
        <w:rPr>
          <w:rFonts w:hint="cs"/>
          <w:b w:val="0"/>
          <w:bCs w:val="0"/>
          <w:rtl/>
          <w:lang w:bidi="ar-EG"/>
        </w:rPr>
        <w:t>).</w:t>
      </w:r>
      <w:bookmarkStart w:id="2" w:name="_GoBack"/>
      <w:bookmarkEnd w:id="2"/>
    </w:p>
    <w:p w:rsidR="00C51165" w:rsidRPr="00C51165" w:rsidRDefault="00C51165" w:rsidP="00C51165">
      <w:pPr>
        <w:pStyle w:val="Reasons"/>
        <w:rPr>
          <w:rFonts w:hint="cs"/>
          <w:rtl/>
          <w:lang w:bidi="ar-EG"/>
        </w:rPr>
      </w:pPr>
    </w:p>
    <w:p w:rsidR="007645F7" w:rsidRPr="007645F7" w:rsidRDefault="007645F7" w:rsidP="007645F7">
      <w:pPr>
        <w:spacing w:before="600"/>
        <w:jc w:val="center"/>
      </w:pPr>
      <w:r>
        <w:rPr>
          <w:rtl/>
        </w:rPr>
        <w:t>___________</w:t>
      </w:r>
    </w:p>
    <w:sectPr w:rsidR="007645F7" w:rsidRPr="007645F7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F92572" w:rsidRDefault="00F92572" w:rsidP="00F92572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F92572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8878D5">
      <w:rPr>
        <w:noProof/>
        <w:szCs w:val="12"/>
        <w:lang w:val="fr-CH"/>
      </w:rPr>
      <w:t>P:\ARA\ITU-T\CONF-T\WTSA16\000\046ADD21A.docx</w:t>
    </w:r>
    <w:r w:rsidRPr="0022345D">
      <w:rPr>
        <w:szCs w:val="12"/>
      </w:rPr>
      <w:fldChar w:fldCharType="end"/>
    </w:r>
    <w:r>
      <w:rPr>
        <w:szCs w:val="12"/>
        <w:lang w:val="fr-CH"/>
      </w:rPr>
      <w:t xml:space="preserve">   (405124)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40692C" w:rsidRPr="00ED1F76" w:rsidTr="00A83866">
      <w:trPr>
        <w:cantSplit/>
        <w:trHeight w:val="204"/>
        <w:jc w:val="center"/>
      </w:trPr>
      <w:tc>
        <w:tcPr>
          <w:tcW w:w="1617" w:type="dxa"/>
        </w:tcPr>
        <w:p w:rsidR="0040692C" w:rsidRPr="00ED1F76" w:rsidRDefault="0040692C" w:rsidP="005B7EEE">
          <w:pPr>
            <w:tabs>
              <w:tab w:val="clear" w:pos="1134"/>
            </w:tabs>
            <w:spacing w:line="168" w:lineRule="auto"/>
            <w:rPr>
              <w:b/>
              <w:bCs/>
              <w:sz w:val="20"/>
              <w:szCs w:val="26"/>
              <w:lang w:val="en-GB"/>
            </w:rPr>
          </w:pPr>
          <w:r w:rsidRPr="00ED1F76">
            <w:rPr>
              <w:rFonts w:hint="cs"/>
              <w:b/>
              <w:bCs/>
              <w:sz w:val="20"/>
              <w:szCs w:val="26"/>
              <w:rtl/>
              <w:lang w:val="en-GB"/>
            </w:rPr>
            <w:t>للاتصال:</w:t>
          </w:r>
        </w:p>
      </w:tc>
      <w:tc>
        <w:tcPr>
          <w:tcW w:w="4394" w:type="dxa"/>
        </w:tcPr>
        <w:p w:rsidR="0040692C" w:rsidRPr="00ED1F76" w:rsidRDefault="0040692C" w:rsidP="005B7EEE">
          <w:pPr>
            <w:spacing w:line="168" w:lineRule="auto"/>
            <w:jc w:val="left"/>
            <w:rPr>
              <w:sz w:val="20"/>
              <w:szCs w:val="26"/>
              <w:rtl/>
              <w:lang w:val="es-ES"/>
            </w:rPr>
          </w:pPr>
          <w:r w:rsidRPr="00ED1F76">
            <w:rPr>
              <w:rFonts w:hint="cs"/>
              <w:sz w:val="20"/>
              <w:szCs w:val="26"/>
              <w:rtl/>
            </w:rPr>
            <w:t xml:space="preserve">السيد </w:t>
          </w:r>
          <w:r w:rsidR="004B6136" w:rsidRPr="00ED1F76">
            <w:rPr>
              <w:rFonts w:hint="cs"/>
              <w:sz w:val="20"/>
              <w:szCs w:val="26"/>
              <w:rtl/>
              <w:lang w:val="es-ES"/>
            </w:rPr>
            <w:t>أوسكار ليون</w:t>
          </w:r>
          <w:r w:rsidRPr="00ED1F76">
            <w:rPr>
              <w:sz w:val="20"/>
              <w:szCs w:val="26"/>
              <w:rtl/>
            </w:rPr>
            <w:br/>
          </w:r>
          <w:r w:rsidR="004B6136" w:rsidRPr="00ED1F76">
            <w:rPr>
              <w:rFonts w:hint="cs"/>
              <w:sz w:val="20"/>
              <w:szCs w:val="26"/>
              <w:rtl/>
              <w:lang w:bidi="ar-EG"/>
            </w:rPr>
            <w:t xml:space="preserve">لجنة البلدان الأمريكية </w:t>
          </w:r>
          <w:r w:rsidR="00F3239D" w:rsidRPr="00ED1F76">
            <w:rPr>
              <w:rFonts w:hint="cs"/>
              <w:sz w:val="20"/>
              <w:szCs w:val="26"/>
              <w:rtl/>
              <w:lang w:bidi="ar-EG"/>
            </w:rPr>
            <w:t>للاتصالات</w:t>
          </w:r>
          <w:r w:rsidR="00C94F1C" w:rsidRPr="00ED1F76">
            <w:rPr>
              <w:rFonts w:hint="cs"/>
              <w:sz w:val="20"/>
              <w:szCs w:val="26"/>
              <w:rtl/>
              <w:lang w:bidi="ar-EG"/>
            </w:rPr>
            <w:t xml:space="preserve"> </w:t>
          </w:r>
          <w:r w:rsidR="00C94F1C" w:rsidRPr="00ED1F76">
            <w:rPr>
              <w:sz w:val="20"/>
              <w:szCs w:val="26"/>
              <w:lang w:bidi="ar-EG"/>
            </w:rPr>
            <w:t>(</w:t>
          </w:r>
          <w:r w:rsidR="00F3239D" w:rsidRPr="00ED1F76">
            <w:rPr>
              <w:sz w:val="20"/>
              <w:szCs w:val="26"/>
              <w:lang w:val="es-ES"/>
            </w:rPr>
            <w:t>CITEL</w:t>
          </w:r>
          <w:r w:rsidR="00C94F1C" w:rsidRPr="00ED1F76">
            <w:rPr>
              <w:sz w:val="20"/>
              <w:szCs w:val="26"/>
              <w:lang w:val="es-ES"/>
            </w:rPr>
            <w:t>)</w:t>
          </w:r>
          <w:r w:rsidRPr="00ED1F76">
            <w:rPr>
              <w:sz w:val="20"/>
              <w:szCs w:val="26"/>
              <w:rtl/>
              <w:lang w:bidi="ar-EG"/>
            </w:rPr>
            <w:br/>
          </w:r>
          <w:r w:rsidR="000C5FC8" w:rsidRPr="00ED1F76">
            <w:rPr>
              <w:rFonts w:hint="cs"/>
              <w:sz w:val="20"/>
              <w:szCs w:val="26"/>
              <w:rtl/>
              <w:lang w:bidi="ar-EG"/>
            </w:rPr>
            <w:t xml:space="preserve">واشنطن العاصمة، </w:t>
          </w:r>
          <w:r w:rsidRPr="00ED1F76">
            <w:rPr>
              <w:rFonts w:hint="cs"/>
              <w:sz w:val="20"/>
              <w:szCs w:val="26"/>
              <w:rtl/>
              <w:lang w:bidi="ar-EG"/>
            </w:rPr>
            <w:t>الولايات المتحدة</w:t>
          </w:r>
          <w:r w:rsidR="000C5FC8" w:rsidRPr="00ED1F76">
            <w:rPr>
              <w:rFonts w:hint="cs"/>
              <w:sz w:val="20"/>
              <w:szCs w:val="26"/>
              <w:rtl/>
              <w:lang w:bidi="ar-EG"/>
            </w:rPr>
            <w:t xml:space="preserve"> الأمريكية</w:t>
          </w:r>
        </w:p>
      </w:tc>
      <w:tc>
        <w:tcPr>
          <w:tcW w:w="3912" w:type="dxa"/>
        </w:tcPr>
        <w:p w:rsidR="0040692C" w:rsidRPr="00ED1F76" w:rsidRDefault="0040692C" w:rsidP="0039693C">
          <w:pPr>
            <w:tabs>
              <w:tab w:val="clear" w:pos="1134"/>
              <w:tab w:val="left" w:pos="736"/>
            </w:tabs>
            <w:spacing w:line="168" w:lineRule="auto"/>
            <w:rPr>
              <w:sz w:val="20"/>
              <w:szCs w:val="26"/>
              <w:lang w:bidi="ar-EG"/>
            </w:rPr>
          </w:pPr>
          <w:r w:rsidRPr="00ED1F76">
            <w:rPr>
              <w:rFonts w:hint="cs"/>
              <w:sz w:val="20"/>
              <w:szCs w:val="26"/>
              <w:rtl/>
              <w:lang w:val="en-GB"/>
            </w:rPr>
            <w:t>الهاتف:</w:t>
          </w:r>
          <w:r w:rsidR="00906250" w:rsidRPr="00ED1F76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="007A5F46" w:rsidRPr="00ED1F76">
            <w:rPr>
              <w:sz w:val="20"/>
              <w:szCs w:val="26"/>
            </w:rPr>
            <w:t>+ 1 (202) 370-4713</w:t>
          </w:r>
          <w:r w:rsidRPr="00ED1F76">
            <w:rPr>
              <w:sz w:val="20"/>
              <w:szCs w:val="26"/>
              <w:lang w:val="en-GB"/>
            </w:rPr>
            <w:tab/>
          </w:r>
          <w:r w:rsidRPr="00ED1F76">
            <w:rPr>
              <w:sz w:val="20"/>
              <w:szCs w:val="26"/>
              <w:lang w:val="en-GB"/>
            </w:rPr>
            <w:br/>
          </w:r>
          <w:r w:rsidRPr="00ED1F76">
            <w:rPr>
              <w:rFonts w:hint="cs"/>
              <w:sz w:val="20"/>
              <w:szCs w:val="26"/>
              <w:rtl/>
              <w:lang w:val="en-GB"/>
            </w:rPr>
            <w:t>الفاكس:</w:t>
          </w:r>
          <w:r w:rsidR="00906250" w:rsidRPr="00ED1F76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r w:rsidR="007A5F46" w:rsidRPr="00ED1F76">
            <w:rPr>
              <w:sz w:val="20"/>
              <w:szCs w:val="26"/>
            </w:rPr>
            <w:t>+ 1 (202) 458-6854</w:t>
          </w:r>
          <w:r w:rsidRPr="00ED1F76">
            <w:rPr>
              <w:rFonts w:hint="cs"/>
              <w:sz w:val="20"/>
              <w:szCs w:val="26"/>
              <w:rtl/>
              <w:lang w:val="en-GB" w:bidi="ar-EG"/>
            </w:rPr>
            <w:tab/>
          </w:r>
          <w:r w:rsidRPr="00ED1F76">
            <w:rPr>
              <w:sz w:val="20"/>
              <w:szCs w:val="26"/>
              <w:rtl/>
              <w:lang w:val="en-GB" w:bidi="ar-EG"/>
            </w:rPr>
            <w:br/>
          </w:r>
          <w:r w:rsidRPr="00ED1F76">
            <w:rPr>
              <w:rFonts w:hint="cs"/>
              <w:sz w:val="20"/>
              <w:szCs w:val="26"/>
              <w:rtl/>
              <w:lang w:val="en-GB"/>
            </w:rPr>
            <w:t>البريد الإلكتروني:</w:t>
          </w:r>
          <w:r w:rsidR="00906250" w:rsidRPr="00ED1F76">
            <w:rPr>
              <w:rFonts w:hint="cs"/>
              <w:sz w:val="20"/>
              <w:szCs w:val="26"/>
              <w:rtl/>
              <w:lang w:val="en-GB"/>
            </w:rPr>
            <w:t xml:space="preserve"> </w:t>
          </w:r>
          <w:hyperlink r:id="rId1" w:history="1">
            <w:r w:rsidR="007A5F46" w:rsidRPr="00ED1F76">
              <w:rPr>
                <w:rStyle w:val="Hyperlink"/>
                <w:sz w:val="20"/>
                <w:szCs w:val="26"/>
              </w:rPr>
              <w:t>citel@oas.org</w:t>
            </w:r>
          </w:hyperlink>
        </w:p>
      </w:tc>
    </w:tr>
  </w:tbl>
  <w:p w:rsidR="00E07379" w:rsidRPr="0040692C" w:rsidRDefault="00E07379" w:rsidP="00E07379">
    <w:pPr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D33638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WTSA16/46(Add.21)-A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6DAE"/>
    <w:rsid w:val="000124CC"/>
    <w:rsid w:val="00015ECD"/>
    <w:rsid w:val="00021350"/>
    <w:rsid w:val="00032F60"/>
    <w:rsid w:val="00041733"/>
    <w:rsid w:val="00046444"/>
    <w:rsid w:val="0006023B"/>
    <w:rsid w:val="00065BB2"/>
    <w:rsid w:val="00082FB8"/>
    <w:rsid w:val="0008638B"/>
    <w:rsid w:val="00090574"/>
    <w:rsid w:val="00092FC2"/>
    <w:rsid w:val="000A1677"/>
    <w:rsid w:val="000B407F"/>
    <w:rsid w:val="000C5FC8"/>
    <w:rsid w:val="000E7301"/>
    <w:rsid w:val="000F0B1C"/>
    <w:rsid w:val="000F1D42"/>
    <w:rsid w:val="000F4D07"/>
    <w:rsid w:val="00102A03"/>
    <w:rsid w:val="001040A3"/>
    <w:rsid w:val="0010513F"/>
    <w:rsid w:val="001635A9"/>
    <w:rsid w:val="00173915"/>
    <w:rsid w:val="00177E73"/>
    <w:rsid w:val="001A1099"/>
    <w:rsid w:val="001E154E"/>
    <w:rsid w:val="0021295E"/>
    <w:rsid w:val="0022345D"/>
    <w:rsid w:val="00225854"/>
    <w:rsid w:val="0023283D"/>
    <w:rsid w:val="00252E0C"/>
    <w:rsid w:val="002754E2"/>
    <w:rsid w:val="00276881"/>
    <w:rsid w:val="002978F4"/>
    <w:rsid w:val="002B028D"/>
    <w:rsid w:val="002B435E"/>
    <w:rsid w:val="002B57A6"/>
    <w:rsid w:val="002C4DAE"/>
    <w:rsid w:val="002E34F6"/>
    <w:rsid w:val="002E6541"/>
    <w:rsid w:val="002F16A1"/>
    <w:rsid w:val="002F5560"/>
    <w:rsid w:val="0030486B"/>
    <w:rsid w:val="003156CA"/>
    <w:rsid w:val="003231B9"/>
    <w:rsid w:val="003275AC"/>
    <w:rsid w:val="00333D29"/>
    <w:rsid w:val="003409EC"/>
    <w:rsid w:val="003409F4"/>
    <w:rsid w:val="00357185"/>
    <w:rsid w:val="003718FC"/>
    <w:rsid w:val="0039417E"/>
    <w:rsid w:val="0039693C"/>
    <w:rsid w:val="003A3E34"/>
    <w:rsid w:val="003C33CB"/>
    <w:rsid w:val="003C475F"/>
    <w:rsid w:val="003D7D7C"/>
    <w:rsid w:val="003E4132"/>
    <w:rsid w:val="003E6A3B"/>
    <w:rsid w:val="003F09CF"/>
    <w:rsid w:val="003F678F"/>
    <w:rsid w:val="004063E6"/>
    <w:rsid w:val="0040692C"/>
    <w:rsid w:val="0042686F"/>
    <w:rsid w:val="004367CE"/>
    <w:rsid w:val="00443869"/>
    <w:rsid w:val="004712C6"/>
    <w:rsid w:val="00497703"/>
    <w:rsid w:val="004A3A32"/>
    <w:rsid w:val="004B6136"/>
    <w:rsid w:val="004F0F06"/>
    <w:rsid w:val="00501E0E"/>
    <w:rsid w:val="0052022C"/>
    <w:rsid w:val="005204D7"/>
    <w:rsid w:val="00527967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B7EEE"/>
    <w:rsid w:val="005D6476"/>
    <w:rsid w:val="005D6C0D"/>
    <w:rsid w:val="005E5283"/>
    <w:rsid w:val="005E58F5"/>
    <w:rsid w:val="005F70F1"/>
    <w:rsid w:val="00606660"/>
    <w:rsid w:val="00613EAE"/>
    <w:rsid w:val="006157A3"/>
    <w:rsid w:val="00620E60"/>
    <w:rsid w:val="0063315A"/>
    <w:rsid w:val="0065591D"/>
    <w:rsid w:val="00662C5A"/>
    <w:rsid w:val="00670AF5"/>
    <w:rsid w:val="006C1556"/>
    <w:rsid w:val="006C1D69"/>
    <w:rsid w:val="006E4F68"/>
    <w:rsid w:val="006F267F"/>
    <w:rsid w:val="006F63F7"/>
    <w:rsid w:val="006F6F03"/>
    <w:rsid w:val="00706D7A"/>
    <w:rsid w:val="00726AEC"/>
    <w:rsid w:val="007530CA"/>
    <w:rsid w:val="007645F7"/>
    <w:rsid w:val="007847FF"/>
    <w:rsid w:val="0079553D"/>
    <w:rsid w:val="00795E0F"/>
    <w:rsid w:val="007A5F46"/>
    <w:rsid w:val="007B01CC"/>
    <w:rsid w:val="007C3BF3"/>
    <w:rsid w:val="007F646C"/>
    <w:rsid w:val="00801FCD"/>
    <w:rsid w:val="00803D7E"/>
    <w:rsid w:val="00803F08"/>
    <w:rsid w:val="00820D4E"/>
    <w:rsid w:val="008235CD"/>
    <w:rsid w:val="00823A07"/>
    <w:rsid w:val="008328BD"/>
    <w:rsid w:val="00835FEC"/>
    <w:rsid w:val="008513CB"/>
    <w:rsid w:val="00874D9C"/>
    <w:rsid w:val="008878D5"/>
    <w:rsid w:val="008A1810"/>
    <w:rsid w:val="008B22A1"/>
    <w:rsid w:val="008F66FD"/>
    <w:rsid w:val="00906250"/>
    <w:rsid w:val="00914CD5"/>
    <w:rsid w:val="00917694"/>
    <w:rsid w:val="009263CD"/>
    <w:rsid w:val="00930E6D"/>
    <w:rsid w:val="00953F95"/>
    <w:rsid w:val="009724BA"/>
    <w:rsid w:val="00972CA2"/>
    <w:rsid w:val="00982B28"/>
    <w:rsid w:val="00984EA5"/>
    <w:rsid w:val="00992593"/>
    <w:rsid w:val="009C17E1"/>
    <w:rsid w:val="009C35ED"/>
    <w:rsid w:val="009F1C12"/>
    <w:rsid w:val="00A25A43"/>
    <w:rsid w:val="00A3295B"/>
    <w:rsid w:val="00A37424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201F"/>
    <w:rsid w:val="00AE7244"/>
    <w:rsid w:val="00AF3FEE"/>
    <w:rsid w:val="00B02F46"/>
    <w:rsid w:val="00B15E6F"/>
    <w:rsid w:val="00B2000C"/>
    <w:rsid w:val="00B20ADE"/>
    <w:rsid w:val="00B216BE"/>
    <w:rsid w:val="00B50410"/>
    <w:rsid w:val="00B66B9A"/>
    <w:rsid w:val="00B82089"/>
    <w:rsid w:val="00B970AE"/>
    <w:rsid w:val="00BA1427"/>
    <w:rsid w:val="00BC75F3"/>
    <w:rsid w:val="00BE49D0"/>
    <w:rsid w:val="00BF2C38"/>
    <w:rsid w:val="00C23331"/>
    <w:rsid w:val="00C23B4A"/>
    <w:rsid w:val="00C265DA"/>
    <w:rsid w:val="00C35E1E"/>
    <w:rsid w:val="00C35EB0"/>
    <w:rsid w:val="00C43454"/>
    <w:rsid w:val="00C442F2"/>
    <w:rsid w:val="00C50B98"/>
    <w:rsid w:val="00C51165"/>
    <w:rsid w:val="00C60AD7"/>
    <w:rsid w:val="00C674FE"/>
    <w:rsid w:val="00C706E9"/>
    <w:rsid w:val="00C7297D"/>
    <w:rsid w:val="00C75633"/>
    <w:rsid w:val="00C8242E"/>
    <w:rsid w:val="00C82615"/>
    <w:rsid w:val="00C867DB"/>
    <w:rsid w:val="00C914CE"/>
    <w:rsid w:val="00C94F1C"/>
    <w:rsid w:val="00CA15B7"/>
    <w:rsid w:val="00CA2A38"/>
    <w:rsid w:val="00CA50FF"/>
    <w:rsid w:val="00CB5B3E"/>
    <w:rsid w:val="00CC3CD2"/>
    <w:rsid w:val="00CC43BE"/>
    <w:rsid w:val="00CD123C"/>
    <w:rsid w:val="00CD2085"/>
    <w:rsid w:val="00CE1E29"/>
    <w:rsid w:val="00CE2EE1"/>
    <w:rsid w:val="00CF3FFD"/>
    <w:rsid w:val="00D0494C"/>
    <w:rsid w:val="00D14BEB"/>
    <w:rsid w:val="00D21C89"/>
    <w:rsid w:val="00D33638"/>
    <w:rsid w:val="00D45542"/>
    <w:rsid w:val="00D72A52"/>
    <w:rsid w:val="00D77D0F"/>
    <w:rsid w:val="00DA1CF0"/>
    <w:rsid w:val="00DB2271"/>
    <w:rsid w:val="00DB5659"/>
    <w:rsid w:val="00DC24B4"/>
    <w:rsid w:val="00DC2945"/>
    <w:rsid w:val="00DD7A05"/>
    <w:rsid w:val="00DE439F"/>
    <w:rsid w:val="00DF16DC"/>
    <w:rsid w:val="00DF51C6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562DE"/>
    <w:rsid w:val="00E632A7"/>
    <w:rsid w:val="00E7380C"/>
    <w:rsid w:val="00E74BE7"/>
    <w:rsid w:val="00E86CC9"/>
    <w:rsid w:val="00E96624"/>
    <w:rsid w:val="00EA6963"/>
    <w:rsid w:val="00EC79D2"/>
    <w:rsid w:val="00ED1F76"/>
    <w:rsid w:val="00F126F1"/>
    <w:rsid w:val="00F2106A"/>
    <w:rsid w:val="00F3091C"/>
    <w:rsid w:val="00F3239D"/>
    <w:rsid w:val="00F36D8B"/>
    <w:rsid w:val="00F401D0"/>
    <w:rsid w:val="00F41731"/>
    <w:rsid w:val="00F45F2B"/>
    <w:rsid w:val="00F57AE4"/>
    <w:rsid w:val="00F66032"/>
    <w:rsid w:val="00F67150"/>
    <w:rsid w:val="00F84366"/>
    <w:rsid w:val="00F85089"/>
    <w:rsid w:val="00F85564"/>
    <w:rsid w:val="00F86CFA"/>
    <w:rsid w:val="00F92572"/>
    <w:rsid w:val="00FD58BD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2B57A6"/>
    <w:rPr>
      <w:rFonts w:ascii="Times New Roman italic" w:hAnsi="Times New Roman italic"/>
      <w:iCs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da5469-3c74-4957-bb8d-21cafc6a4741">Documents Proposals Manager (DPM)</DPM_x0020_Author>
    <DPM_x0020_File_x0020_name xmlns="73da5469-3c74-4957-bb8d-21cafc6a4741">T13-WTSA.16-C-0046!A21!MSW-A</DPM_x0020_File_x0020_name>
    <DPM_x0020_Version xmlns="73da5469-3c74-4957-bb8d-21cafc6a4741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da5469-3c74-4957-bb8d-21cafc6a4741" targetNamespace="http://schemas.microsoft.com/office/2006/metadata/properties" ma:root="true" ma:fieldsID="d41af5c836d734370eb92e7ee5f83852" ns2:_="" ns3:_="">
    <xsd:import namespace="996b2e75-67fd-4955-a3b0-5ab9934cb50b"/>
    <xsd:import namespace="73da5469-3c74-4957-bb8d-21cafc6a47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5469-3c74-4957-bb8d-21cafc6a47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infopath/2007/PartnerControls"/>
    <ds:schemaRef ds:uri="73da5469-3c74-4957-bb8d-21cafc6a47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da5469-3c74-4957-bb8d-21cafc6a4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27E11-66A2-4C3A-8D4D-F3913204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T13-WTSA.16-C-0046!A21!MSW-A</vt:lpstr>
      <vt:lpstr>T13-WTSA.16-C-0046!A21!MSW-A</vt:lpstr>
    </vt:vector>
  </TitlesOfParts>
  <Company>International Telecommunication Union (ITU)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T13-WTSA.16-C-0046!A21!MSW-A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Awad, Samy</cp:lastModifiedBy>
  <cp:revision>27</cp:revision>
  <cp:lastPrinted>2016-09-30T06:54:00Z</cp:lastPrinted>
  <dcterms:created xsi:type="dcterms:W3CDTF">2016-09-30T12:48:00Z</dcterms:created>
  <dcterms:modified xsi:type="dcterms:W3CDTF">2016-09-30T16:37:00Z</dcterms:modified>
  <cp:category>Conference document</cp:category>
</cp:coreProperties>
</file>