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Tr="004B520A">
        <w:trPr>
          <w:cantSplit/>
        </w:trPr>
        <w:tc>
          <w:tcPr>
            <w:tcW w:w="1379" w:type="dxa"/>
            <w:vAlign w:val="center"/>
          </w:tcPr>
          <w:p w:rsidR="000E5EE9" w:rsidRPr="00566A5B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Asamblea Mundial de Normalización de las </w:t>
            </w:r>
            <w:r>
              <w:rPr>
                <w:rFonts w:ascii="Verdana" w:hAnsi="Verdana" w:cs="Times New Roman Bold"/>
                <w:b/>
                <w:bCs/>
                <w:szCs w:val="24"/>
              </w:rPr>
              <w:t>Telecomunicaciones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 (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A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MNT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-1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6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28017B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proofErr w:type="spellStart"/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</w:t>
            </w:r>
            <w:proofErr w:type="spellEnd"/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de octubre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Default="000E5EE9" w:rsidP="004B520A">
            <w:pPr>
              <w:spacing w:before="0"/>
              <w:jc w:val="right"/>
            </w:pPr>
            <w:r>
              <w:rPr>
                <w:noProof/>
                <w:lang w:val="en-GB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</w:tr>
      <w:tr w:rsidR="005A374D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Default="005A374D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5A374D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B239FA" w:rsidRDefault="00E83D45" w:rsidP="004B520A">
            <w:pPr>
              <w:pStyle w:val="Committee"/>
              <w:framePr w:hSpace="0" w:wrap="auto" w:hAnchor="text" w:yAlign="inline"/>
            </w:pPr>
            <w:r w:rsidRPr="001E7D42">
              <w:t>SESIÓN PLENARIA</w:t>
            </w: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lang w:val="en-US"/>
              </w:rPr>
              <w:t>Addéndum</w:t>
            </w:r>
            <w:proofErr w:type="spellEnd"/>
            <w:r>
              <w:rPr>
                <w:rFonts w:ascii="Verdana" w:hAnsi="Verdana"/>
                <w:b/>
                <w:sz w:val="20"/>
                <w:lang w:val="en-US"/>
              </w:rPr>
              <w:t xml:space="preserve"> 11 al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</w:r>
            <w:proofErr w:type="spellStart"/>
            <w:r>
              <w:rPr>
                <w:rFonts w:ascii="Verdana" w:hAnsi="Verdana"/>
                <w:b/>
                <w:sz w:val="20"/>
                <w:lang w:val="en-US"/>
              </w:rPr>
              <w:t>Documento</w:t>
            </w:r>
            <w:proofErr w:type="spellEnd"/>
            <w:r>
              <w:rPr>
                <w:rFonts w:ascii="Verdana" w:hAnsi="Verdana"/>
                <w:b/>
                <w:sz w:val="20"/>
                <w:lang w:val="en-US"/>
              </w:rPr>
              <w:t xml:space="preserve"> 46</w:t>
            </w:r>
            <w:r w:rsidRPr="00523269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02785D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22 de </w:t>
            </w:r>
            <w:proofErr w:type="spellStart"/>
            <w:r w:rsidRPr="0002785D">
              <w:rPr>
                <w:rFonts w:ascii="Verdana" w:hAnsi="Verdana"/>
                <w:b/>
                <w:sz w:val="20"/>
                <w:lang w:val="en-US"/>
              </w:rPr>
              <w:t>septiembre</w:t>
            </w:r>
            <w:proofErr w:type="spellEnd"/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 de 2016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Default="00E83D45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02785D">
              <w:rPr>
                <w:rFonts w:ascii="Verdana" w:hAnsi="Verdana"/>
                <w:b/>
                <w:sz w:val="20"/>
                <w:lang w:val="en-US"/>
              </w:rPr>
              <w:t>inglés</w:t>
            </w:r>
            <w:proofErr w:type="spellEnd"/>
          </w:p>
        </w:tc>
      </w:tr>
      <w:tr w:rsidR="00681766" w:rsidTr="004B520A">
        <w:trPr>
          <w:cantSplit/>
        </w:trPr>
        <w:tc>
          <w:tcPr>
            <w:tcW w:w="9811" w:type="dxa"/>
            <w:gridSpan w:val="4"/>
          </w:tcPr>
          <w:p w:rsidR="00681766" w:rsidRPr="002074EC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Default="00E83D45" w:rsidP="004B520A">
            <w:pPr>
              <w:pStyle w:val="Source"/>
            </w:pPr>
            <w:r w:rsidRPr="007F4EF4">
              <w:t>Estados Miembros de la Comisión Interamericana de Telecomunicaciones (CITEL)</w:t>
            </w: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057296" w:rsidRDefault="00E83D45" w:rsidP="00571E31">
            <w:pPr>
              <w:pStyle w:val="Title1"/>
            </w:pPr>
            <w:r w:rsidRPr="007F4EF4">
              <w:t>Prop</w:t>
            </w:r>
            <w:r w:rsidR="00571E31">
              <w:t>UESTA</w:t>
            </w:r>
            <w:r w:rsidRPr="007F4EF4">
              <w:t xml:space="preserve"> </w:t>
            </w:r>
            <w:r w:rsidR="00571E31">
              <w:t xml:space="preserve">DE NUEVA </w:t>
            </w:r>
            <w:r w:rsidRPr="007F4EF4">
              <w:t>Resolu</w:t>
            </w:r>
            <w:r w:rsidR="00571E31">
              <w:t>C</w:t>
            </w:r>
            <w:r w:rsidRPr="007F4EF4">
              <w:t>i</w:t>
            </w:r>
            <w:r w:rsidR="00571E31">
              <w:t>Ó</w:t>
            </w:r>
            <w:r w:rsidRPr="007F4EF4">
              <w:t xml:space="preserve">n [IAP-6] </w:t>
            </w:r>
            <w:r w:rsidR="007F4EF4" w:rsidRPr="007F4EF4">
              <w:t>–</w:t>
            </w:r>
            <w:r w:rsidRPr="007F4EF4">
              <w:t xml:space="preserve"> </w:t>
            </w:r>
            <w:r w:rsidR="007F4EF4" w:rsidRPr="007F4EF4">
              <w:t xml:space="preserve">ESTUDIOS RELACIONADOS CON LA LUCHA CONTRA LOS </w:t>
            </w:r>
            <w:r w:rsidR="00571E31">
              <w:br/>
            </w:r>
            <w:r w:rsidR="007F4EF4" w:rsidRPr="007F4EF4">
              <w:t>DISPOSITIVOS TIC FALSIFICADOS Y MANIPULADOS</w:t>
            </w: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057296" w:rsidRDefault="00E83D45" w:rsidP="004B520A">
            <w:pPr>
              <w:pStyle w:val="Title2"/>
            </w:pPr>
          </w:p>
        </w:tc>
      </w:tr>
    </w:tbl>
    <w:p w:rsidR="006B0F54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426748" w:rsidTr="00193AD1">
        <w:trPr>
          <w:cantSplit/>
        </w:trPr>
        <w:tc>
          <w:tcPr>
            <w:tcW w:w="1560" w:type="dxa"/>
          </w:tcPr>
          <w:p w:rsidR="006B0F54" w:rsidRPr="00426748" w:rsidRDefault="006B0F54" w:rsidP="00193AD1">
            <w:r w:rsidRPr="007D3405">
              <w:rPr>
                <w:b/>
                <w:bCs/>
              </w:rPr>
              <w:t>Resumen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FC3528" w:rsidRDefault="007F4EF4" w:rsidP="00CA1F40">
                <w:pPr>
                  <w:rPr>
                    <w:color w:val="000000" w:themeColor="text1"/>
                  </w:rPr>
                </w:pPr>
                <w:r w:rsidRPr="007F4EF4">
                  <w:rPr>
                    <w:color w:val="000000" w:themeColor="text1"/>
                  </w:rPr>
                  <w:t>Este aporte presenta una propuesta para una nueva Resolución sobre estudios relacionados con la lucha contra los dispositivos TIC falsificados y manipulados, reconociendo la importancia de la labor que en este campo desarrolla la UIT, y proponer, con base en las decisiones de anteriores Conferencias de Plenipotenciarios, la Asamblea Mundial de Normalización de las Telecomunicaciones y la Conferencia Mundial de Desarrollo de las Telecomunicaciones, cómo deben realizarse</w:t>
                </w:r>
                <w:r w:rsidR="00CF3648">
                  <w:rPr>
                    <w:color w:val="000000" w:themeColor="text1"/>
                  </w:rPr>
                  <w:t xml:space="preserve"> los estudios en el próximo peri</w:t>
                </w:r>
                <w:r w:rsidRPr="007F4EF4">
                  <w:rPr>
                    <w:color w:val="000000" w:themeColor="text1"/>
                  </w:rPr>
                  <w:t>odo de estudios.</w:t>
                </w:r>
              </w:p>
            </w:tc>
          </w:sdtContent>
        </w:sdt>
      </w:tr>
    </w:tbl>
    <w:p w:rsidR="007F4EF4" w:rsidRDefault="007F4EF4" w:rsidP="007F4EF4">
      <w:pPr>
        <w:pStyle w:val="Headingb"/>
      </w:pPr>
      <w:r>
        <w:t>Introducción</w:t>
      </w:r>
    </w:p>
    <w:p w:rsidR="007F4EF4" w:rsidRDefault="007F4EF4" w:rsidP="007F4EF4">
      <w:r>
        <w:t>En los últimos años, el creciente uso de los equipos TIC en la vida cotidiana de las personas ha dado lugar a crecientes problemas relacionados con la venta, circulación y uso de dispositivos falsificados en la mayoría de los mercados, así como sus consecuencias adversas para los fabricantes, usuarios y gobiernos.</w:t>
      </w:r>
    </w:p>
    <w:p w:rsidR="007F4EF4" w:rsidRDefault="007F4EF4" w:rsidP="007F4EF4">
      <w:r>
        <w:t xml:space="preserve">Se ha constatado que un número considerable de estos dispositivos TIC es falsificado, con las </w:t>
      </w:r>
      <w:proofErr w:type="gramStart"/>
      <w:r>
        <w:t>consiguientes</w:t>
      </w:r>
      <w:proofErr w:type="gramEnd"/>
      <w:r>
        <w:t xml:space="preserve"> preocupaciones sobre la seguridad nacional, el desempeño, la calidad del servicio prestado y las pérdidas económicas para todos los interesados. Esto ha llevado a llamados de los Estados Miembros de la UIT, especialmente de los países en desarrollo, para abordar el tema, sobre todo los efectos negativos, y los estudios sobre cualquier impacto positivo de las medidas adoptadas.</w:t>
      </w:r>
    </w:p>
    <w:p w:rsidR="007F4EF4" w:rsidRDefault="007F4EF4" w:rsidP="007F4EF4">
      <w:r>
        <w:t xml:space="preserve">Además, la demanda de servicios, que resulta en un aumento de la producción y la disponibilidad de dispositivos TIC para los usuarios finales, también ha visto el surgimiento de dispositivos robados. </w:t>
      </w:r>
      <w:r>
        <w:lastRenderedPageBreak/>
        <w:t>Estos dispositivos regresaron al mercado después de haber sido manipulados, y por lo tanto eluden las soluciones de lista negra implementadas por los gobiernos. Por lo tanto, la mayoría de los países del mundo no sólo se dedica a la lucha contra los dispositivos falsificados, sino también a establecer medidas para prevenir el regreso de los dispositivos manipulados y robados al mercado.</w:t>
      </w:r>
    </w:p>
    <w:p w:rsidR="007F4EF4" w:rsidRDefault="007F4EF4" w:rsidP="00D51E3C">
      <w:r>
        <w:t>Durante el último per</w:t>
      </w:r>
      <w:r w:rsidR="00CF3648">
        <w:t>i</w:t>
      </w:r>
      <w:r>
        <w:t xml:space="preserve">odo de estudios, un informe técnico sobre </w:t>
      </w:r>
      <w:r w:rsidR="00CF3648">
        <w:t>"</w:t>
      </w:r>
      <w:r>
        <w:t>Dispositivos TIC Falsificados</w:t>
      </w:r>
      <w:r w:rsidR="00CF3648">
        <w:t>"</w:t>
      </w:r>
      <w:r>
        <w:t xml:space="preserve"> fue aprobado por la Comisión de Estudio 11 del UIT-T; varios ítems de trabajo nuevos se han establecido en la misma comisión de estudio, incluyendo un nuevo </w:t>
      </w:r>
      <w:r w:rsidR="00D51E3C">
        <w:t>p</w:t>
      </w:r>
      <w:r>
        <w:t xml:space="preserve">royecto de Recomendación sobre el </w:t>
      </w:r>
      <w:r w:rsidR="00CF3648">
        <w:t>"</w:t>
      </w:r>
      <w:r>
        <w:t>Marco de soluciones para combatir los dispositivos TIC falsificados</w:t>
      </w:r>
      <w:r w:rsidR="00CF3648">
        <w:t>"</w:t>
      </w:r>
      <w:r>
        <w:t>.</w:t>
      </w:r>
    </w:p>
    <w:p w:rsidR="007F4EF4" w:rsidRDefault="007F4EF4" w:rsidP="00CF3648">
      <w:r>
        <w:t>La Resolución 188 de la UIT (</w:t>
      </w:r>
      <w:proofErr w:type="spellStart"/>
      <w:r>
        <w:t>Bus</w:t>
      </w:r>
      <w:r w:rsidR="00CF3648">
        <w:t>á</w:t>
      </w:r>
      <w:r>
        <w:t>n</w:t>
      </w:r>
      <w:proofErr w:type="spellEnd"/>
      <w:r>
        <w:t>, 2014) de la Conferencia de Plenipotenciarios invita a los Estados Miembros a tomar todas las medidas necesarias para combatir los dispositivos de telecomunicaciones/TIC falsificados, indicar que las pruebas de conformidad e interoperabilidad podrían ser una de las soluciones para combatir la falsificación, y que los identificadores únicos y persistentes podrían permitir el reconocimiento de los productos genuinos y ayudar en la lucha contra los dispositivos TIC falsificados y manipulados.</w:t>
      </w:r>
    </w:p>
    <w:p w:rsidR="007F4EF4" w:rsidRDefault="007F4EF4" w:rsidP="00CF3648">
      <w:r>
        <w:t>También fue adoptada en la Resolución 79 de la Conferencia Mundial de Desarr</w:t>
      </w:r>
      <w:r w:rsidR="00AC036A">
        <w:t xml:space="preserve">ollo de las Telecomunicaciones </w:t>
      </w:r>
      <w:r>
        <w:t>(Dub</w:t>
      </w:r>
      <w:r w:rsidR="00CF3648">
        <w:t>á</w:t>
      </w:r>
      <w:r>
        <w:t xml:space="preserve">i, 2014), </w:t>
      </w:r>
      <w:r w:rsidR="00CF3648">
        <w:t>"</w:t>
      </w:r>
      <w:r>
        <w:t>Función de las telecomunicaciones/tecnologías de la información y la comunicación en la gestión y lucha contra la falsificación de dispositivos de telecomunicaciones/tecnologías de la información y la comunicación</w:t>
      </w:r>
      <w:r w:rsidR="00CF3648">
        <w:t>"</w:t>
      </w:r>
      <w:r>
        <w:t>.</w:t>
      </w:r>
    </w:p>
    <w:p w:rsidR="00B07178" w:rsidRDefault="007F4EF4" w:rsidP="007F4EF4">
      <w:r>
        <w:t>Esta propuesta también reconoce que la cooperación entre todas las partes interesadas, en especial entre las comisiones de estudio del UIT-T y UIT-D y con organismos externos a la UIT (como, por ejemplo, las SDO), será necesaria a fin de recabar información completa y lograr la comprensión del tema, incluyendo la organización de seminarios/talleres en colaboración con las partes interesadas.</w:t>
      </w:r>
    </w:p>
    <w:p w:rsidR="00B07178" w:rsidRDefault="00B071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666362" w:rsidRDefault="00D51E3C">
      <w:pPr>
        <w:pStyle w:val="Proposal"/>
      </w:pPr>
      <w:r>
        <w:lastRenderedPageBreak/>
        <w:t>ADD</w:t>
      </w:r>
      <w:r>
        <w:tab/>
        <w:t>IAP/46A11/1</w:t>
      </w:r>
    </w:p>
    <w:p w:rsidR="00E83D45" w:rsidRDefault="00D51E3C" w:rsidP="00571E31">
      <w:pPr>
        <w:pStyle w:val="ResNo"/>
      </w:pPr>
      <w:r>
        <w:t>PROYECTO DE NUEVA RESOLUCIÓN</w:t>
      </w:r>
      <w:r w:rsidR="00571E31">
        <w:t xml:space="preserve"> [</w:t>
      </w:r>
      <w:r w:rsidR="00571E31" w:rsidRPr="00571E31">
        <w:t>IAP-6]</w:t>
      </w:r>
    </w:p>
    <w:p w:rsidR="007F4EF4" w:rsidRDefault="007F4EF4" w:rsidP="00571E31">
      <w:pPr>
        <w:pStyle w:val="Restitle"/>
      </w:pPr>
      <w:r>
        <w:t xml:space="preserve">Estudios relacionados con la lucha contra los </w:t>
      </w:r>
      <w:r w:rsidR="00571E31">
        <w:br/>
      </w:r>
      <w:r>
        <w:t xml:space="preserve">dispositivos TIC falsificados y manipulados </w:t>
      </w:r>
    </w:p>
    <w:p w:rsidR="007F4EF4" w:rsidRDefault="007F4EF4" w:rsidP="00571E31">
      <w:pPr>
        <w:pStyle w:val="Resref"/>
      </w:pPr>
      <w:r>
        <w:t>(</w:t>
      </w:r>
      <w:proofErr w:type="spellStart"/>
      <w:r>
        <w:t>Hammamet</w:t>
      </w:r>
      <w:proofErr w:type="spellEnd"/>
      <w:r>
        <w:t>, 2016)</w:t>
      </w:r>
    </w:p>
    <w:p w:rsidR="007F4EF4" w:rsidRDefault="007F4EF4" w:rsidP="00571E31">
      <w:pPr>
        <w:pStyle w:val="Normalaftertitle"/>
      </w:pPr>
      <w:r>
        <w:t>La Asamblea Mundial de Normalización de las Telecomunicaciones (</w:t>
      </w:r>
      <w:proofErr w:type="spellStart"/>
      <w:r>
        <w:t>Hammamet</w:t>
      </w:r>
      <w:proofErr w:type="spellEnd"/>
      <w:r>
        <w:t>, 2016),</w:t>
      </w:r>
    </w:p>
    <w:p w:rsidR="007F4EF4" w:rsidRDefault="007F4EF4" w:rsidP="00571E31">
      <w:pPr>
        <w:pStyle w:val="Call"/>
      </w:pPr>
      <w:proofErr w:type="gramStart"/>
      <w:r>
        <w:t>recordando</w:t>
      </w:r>
      <w:proofErr w:type="gramEnd"/>
    </w:p>
    <w:p w:rsidR="007F4EF4" w:rsidRDefault="007F4EF4" w:rsidP="00C37024">
      <w:r w:rsidRPr="00CF3648">
        <w:rPr>
          <w:i/>
          <w:iCs/>
        </w:rPr>
        <w:t>a)</w:t>
      </w:r>
      <w:r>
        <w:tab/>
      </w:r>
      <w:r w:rsidR="00571E31">
        <w:t>q</w:t>
      </w:r>
      <w:r>
        <w:t>ue la Conferencia de Plenipotenciarios adoptó la Resolución 188 (</w:t>
      </w:r>
      <w:proofErr w:type="spellStart"/>
      <w:r>
        <w:t>Bus</w:t>
      </w:r>
      <w:r w:rsidR="00CF3648">
        <w:t>á</w:t>
      </w:r>
      <w:r>
        <w:t>n</w:t>
      </w:r>
      <w:proofErr w:type="spellEnd"/>
      <w:r>
        <w:t xml:space="preserve">, </w:t>
      </w:r>
      <w:r w:rsidR="00C37024">
        <w:t>2014</w:t>
      </w:r>
      <w:r>
        <w:t>), a fin de combatir los dispositivos falsificados de telecomunicaciones/tecnologías de la información y la</w:t>
      </w:r>
      <w:r w:rsidR="00CF3648">
        <w:t xml:space="preserve"> </w:t>
      </w:r>
      <w:r>
        <w:t>comunicación;</w:t>
      </w:r>
    </w:p>
    <w:p w:rsidR="007F4EF4" w:rsidRDefault="007F4EF4" w:rsidP="00C37024">
      <w:r w:rsidRPr="00CF3648">
        <w:rPr>
          <w:i/>
          <w:iCs/>
        </w:rPr>
        <w:t>b)</w:t>
      </w:r>
      <w:r>
        <w:tab/>
      </w:r>
      <w:r w:rsidR="00571E31">
        <w:t>q</w:t>
      </w:r>
      <w:r>
        <w:t xml:space="preserve">ue la Conferencia de Plenipotenciarios adoptó la Resolución 177 (Rev. </w:t>
      </w:r>
      <w:proofErr w:type="spellStart"/>
      <w:r>
        <w:t>Bus</w:t>
      </w:r>
      <w:r w:rsidR="00CF3648">
        <w:t>á</w:t>
      </w:r>
      <w:r>
        <w:t>n</w:t>
      </w:r>
      <w:proofErr w:type="spellEnd"/>
      <w:r>
        <w:t xml:space="preserve">, </w:t>
      </w:r>
      <w:r w:rsidR="00C37024">
        <w:t>2014</w:t>
      </w:r>
      <w:r>
        <w:t>), que invita a los Estados Miembros a adoptar regímenes de evaluación de la conformidad y procedimientos basados en las recomendaciones aplicables del UIT-T;</w:t>
      </w:r>
    </w:p>
    <w:p w:rsidR="007F4EF4" w:rsidRDefault="00571E31" w:rsidP="00C37024">
      <w:r w:rsidRPr="00CF3648">
        <w:rPr>
          <w:i/>
          <w:iCs/>
        </w:rPr>
        <w:t>c)</w:t>
      </w:r>
      <w:r>
        <w:tab/>
        <w:t>q</w:t>
      </w:r>
      <w:r w:rsidR="007F4EF4">
        <w:t xml:space="preserve">ue la Conferencia de Plenipotenciarios adoptó la Resolución 123 (Rev. </w:t>
      </w:r>
      <w:proofErr w:type="spellStart"/>
      <w:r w:rsidR="007F4EF4">
        <w:t>Bus</w:t>
      </w:r>
      <w:r w:rsidR="00CF3648">
        <w:t>á</w:t>
      </w:r>
      <w:r w:rsidR="007F4EF4">
        <w:t>n</w:t>
      </w:r>
      <w:proofErr w:type="spellEnd"/>
      <w:r w:rsidR="007F4EF4">
        <w:t xml:space="preserve">, </w:t>
      </w:r>
      <w:r w:rsidR="00C37024">
        <w:t>2014</w:t>
      </w:r>
      <w:bookmarkStart w:id="0" w:name="_GoBack"/>
      <w:bookmarkEnd w:id="0"/>
      <w:r w:rsidR="007F4EF4">
        <w:t xml:space="preserve">), que encarga al Secretario General y a los </w:t>
      </w:r>
      <w:r w:rsidR="00D51E3C">
        <w:t>D</w:t>
      </w:r>
      <w:r w:rsidR="007F4EF4">
        <w:t>irectores de las tres oficinas a que trabajen en estrecha colaboración unos con otros en la búsqueda de iniciativas que ayuden a cerrar la brecha de normalización entre los países en desarrollo y los países desarrollados;</w:t>
      </w:r>
    </w:p>
    <w:p w:rsidR="007F4EF4" w:rsidRDefault="00571E31" w:rsidP="007F4EF4">
      <w:r w:rsidRPr="00CF3648">
        <w:rPr>
          <w:i/>
          <w:iCs/>
        </w:rPr>
        <w:t>d)</w:t>
      </w:r>
      <w:r>
        <w:tab/>
        <w:t>q</w:t>
      </w:r>
      <w:r w:rsidR="007F4EF4">
        <w:t>ue la Asamblea Mundial de Normalización de las Telecomunicaciones adoptó la Resolución 76 (</w:t>
      </w:r>
      <w:proofErr w:type="spellStart"/>
      <w:r w:rsidR="007F4EF4">
        <w:t>Hammamet</w:t>
      </w:r>
      <w:proofErr w:type="spellEnd"/>
      <w:r w:rsidR="007F4EF4">
        <w:t>, 2016) acerca de estudios relacionados con las pruebas de conformidad e interoperabilidad y</w:t>
      </w:r>
      <w:r w:rsidR="00CF3648">
        <w:t xml:space="preserve"> </w:t>
      </w:r>
      <w:r w:rsidR="007F4EF4">
        <w:t>la asistencia a los países en desarrollo;</w:t>
      </w:r>
    </w:p>
    <w:p w:rsidR="007F4EF4" w:rsidRDefault="00571E31" w:rsidP="00D51E3C">
      <w:r w:rsidRPr="00CF3648">
        <w:rPr>
          <w:i/>
          <w:iCs/>
        </w:rPr>
        <w:t>e)</w:t>
      </w:r>
      <w:r>
        <w:tab/>
        <w:t>q</w:t>
      </w:r>
      <w:r w:rsidR="007F4EF4">
        <w:t>ue la Conferencia Mundial de Desarrollo de las Telecomunicaciones adoptó la Resolución 79 (Dub</w:t>
      </w:r>
      <w:r w:rsidR="00CF3648">
        <w:t>á</w:t>
      </w:r>
      <w:r w:rsidR="007F4EF4">
        <w:t xml:space="preserve">i, 2014), </w:t>
      </w:r>
      <w:r w:rsidR="00CF3648">
        <w:t>"</w:t>
      </w:r>
      <w:r w:rsidR="007F4EF4">
        <w:t>Función de las telecomunicaciones/tecnologías de la información y la comunicación en la gestión y lucha contra la falsificación de dispositivos de telecomunicaciones/tecnologías de la información y la comunicación</w:t>
      </w:r>
      <w:r w:rsidR="00CF3648">
        <w:t>"</w:t>
      </w:r>
      <w:r w:rsidR="00D51E3C">
        <w:t>,</w:t>
      </w:r>
    </w:p>
    <w:p w:rsidR="007F4EF4" w:rsidRDefault="007F4EF4" w:rsidP="00571E31">
      <w:pPr>
        <w:pStyle w:val="Call"/>
      </w:pPr>
      <w:proofErr w:type="gramStart"/>
      <w:r>
        <w:t>reconociendo</w:t>
      </w:r>
      <w:proofErr w:type="gramEnd"/>
    </w:p>
    <w:p w:rsidR="007F4EF4" w:rsidRDefault="00571E31" w:rsidP="007F4EF4">
      <w:r w:rsidRPr="00CF3648">
        <w:rPr>
          <w:i/>
          <w:iCs/>
        </w:rPr>
        <w:t>a)</w:t>
      </w:r>
      <w:r>
        <w:tab/>
        <w:t>q</w:t>
      </w:r>
      <w:r w:rsidR="007F4EF4">
        <w:t>ue, con el auge de las telecomunicaciones/TIC, el número de dispositivos de telecomunicaciones/TIC falsificados y manipulados ha aumentado notablemente en los últimos tiempos;</w:t>
      </w:r>
    </w:p>
    <w:p w:rsidR="007F4EF4" w:rsidRDefault="00571E31" w:rsidP="007F4EF4">
      <w:r w:rsidRPr="00CF3648">
        <w:rPr>
          <w:i/>
          <w:iCs/>
        </w:rPr>
        <w:t>b)</w:t>
      </w:r>
      <w:r>
        <w:tab/>
        <w:t>q</w:t>
      </w:r>
      <w:r w:rsidR="007F4EF4">
        <w:t>ue estos dispositivos falsificados afectan el crecimiento económico y los derechos de propiedad intelectual, impidan la innovación, pueden ser peligrosos para la seguridad y la salud del usuario, y pueden tener un impacto sobre el medio ambiente y la creciente cantidad de residuos electrónicos nocivos;</w:t>
      </w:r>
    </w:p>
    <w:p w:rsidR="007F4EF4" w:rsidRDefault="00571E31" w:rsidP="007F4EF4">
      <w:r w:rsidRPr="00CF3648">
        <w:rPr>
          <w:i/>
          <w:iCs/>
        </w:rPr>
        <w:t>c)</w:t>
      </w:r>
      <w:r>
        <w:tab/>
        <w:t>q</w:t>
      </w:r>
      <w:r w:rsidR="007F4EF4">
        <w:t>ue los dispositivos de telecomunicaciones/TIC falsificados y manipulados pueden afectar negativamente la seguridad de los usuarios y la calidad de los servicios de telecomunicaciones;</w:t>
      </w:r>
    </w:p>
    <w:p w:rsidR="007F4EF4" w:rsidRDefault="00571E31" w:rsidP="00CF3648">
      <w:r w:rsidRPr="00CF3648">
        <w:rPr>
          <w:i/>
          <w:iCs/>
        </w:rPr>
        <w:t>d)</w:t>
      </w:r>
      <w:r>
        <w:tab/>
        <w:t>q</w:t>
      </w:r>
      <w:r w:rsidR="007F4EF4">
        <w:t>ue varios países han introducido algunas campañas de sensibilización, prácticas y reglamentos en sus mercados con el fin de minimizar y evitar los dispositivos falsificados, los que han tenido un impacto positivo, y que los países en desarrollo pueden beneficiarse de esta experiencia</w:t>
      </w:r>
      <w:r w:rsidR="00CF3648">
        <w:t>;</w:t>
      </w:r>
    </w:p>
    <w:p w:rsidR="007F4EF4" w:rsidRDefault="00571E31" w:rsidP="007F4EF4">
      <w:r w:rsidRPr="00CF3648">
        <w:rPr>
          <w:i/>
          <w:iCs/>
        </w:rPr>
        <w:lastRenderedPageBreak/>
        <w:t>e)</w:t>
      </w:r>
      <w:r>
        <w:tab/>
        <w:t>q</w:t>
      </w:r>
      <w:r w:rsidR="007F4EF4">
        <w:t>ue la industria ha creado iniciativas para coordinar la actividad entre los operadores, fabricantes y consumidores;</w:t>
      </w:r>
    </w:p>
    <w:p w:rsidR="007F4EF4" w:rsidRDefault="00571E31" w:rsidP="007F4EF4">
      <w:r w:rsidRPr="00CF3648">
        <w:rPr>
          <w:i/>
          <w:iCs/>
        </w:rPr>
        <w:t>f)</w:t>
      </w:r>
      <w:r>
        <w:tab/>
        <w:t>q</w:t>
      </w:r>
      <w:r w:rsidR="007F4EF4">
        <w:t>ue los Estados Miembros enfrentan importantes desafíos en la búsqueda de soluciones eficaces para combatir los dispositivos falsificados y manipulados, dadas las maneras innovadoras y creativas que utilizan las personas dedicadas a esta actividad ilícita para evadir las medidas legales y su cumplimiento;</w:t>
      </w:r>
    </w:p>
    <w:p w:rsidR="007F4EF4" w:rsidRDefault="00571E31" w:rsidP="007F4EF4">
      <w:r w:rsidRPr="00CF3648">
        <w:rPr>
          <w:i/>
          <w:iCs/>
        </w:rPr>
        <w:t>g)</w:t>
      </w:r>
      <w:r>
        <w:tab/>
        <w:t>q</w:t>
      </w:r>
      <w:r w:rsidR="007F4EF4">
        <w:t>ue la labor de la Comisión de Estudio 11 del UIT-T el principal grupo de expertos actualmente en la UIT para la lucha contra los dispositivos</w:t>
      </w:r>
      <w:r w:rsidR="00CF3648">
        <w:t xml:space="preserve"> TIC falsificados y manipulados,</w:t>
      </w:r>
    </w:p>
    <w:p w:rsidR="007F4EF4" w:rsidRDefault="007F4EF4" w:rsidP="00571E31">
      <w:pPr>
        <w:pStyle w:val="Call"/>
      </w:pPr>
      <w:proofErr w:type="gramStart"/>
      <w:r>
        <w:t>considerando</w:t>
      </w:r>
      <w:proofErr w:type="gramEnd"/>
    </w:p>
    <w:p w:rsidR="007F4EF4" w:rsidRDefault="00571E31" w:rsidP="007F4EF4">
      <w:r w:rsidRPr="00CF3648">
        <w:rPr>
          <w:i/>
          <w:iCs/>
        </w:rPr>
        <w:t>a)</w:t>
      </w:r>
      <w:r>
        <w:tab/>
        <w:t>q</w:t>
      </w:r>
      <w:r w:rsidR="007F4EF4">
        <w:t>ue, en general, los dispositivos de telecomunicaciones/TIC que no cumplan con los procesos de conformidad y requerimientos regulatorios nacionales u otros requisitos legales aplicables deben considerarse como no autorizados para la venta o activación en las redes de telecomunicaciones de dicho país;</w:t>
      </w:r>
    </w:p>
    <w:p w:rsidR="007F4EF4" w:rsidRDefault="00571E31" w:rsidP="007F4EF4">
      <w:r w:rsidRPr="00CF3648">
        <w:rPr>
          <w:i/>
          <w:iCs/>
        </w:rPr>
        <w:t>b)</w:t>
      </w:r>
      <w:r>
        <w:tab/>
        <w:t>q</w:t>
      </w:r>
      <w:r w:rsidR="007F4EF4">
        <w:t>ue dicho dispositivo falsificado es un producto que explícitamente infringe marcas registradas, copia diseños de soporte físico (hardware) o lógico (software), los derechos de marca o empaque de un producto original o auténtico y, en general, infringe normas técnicas nacionales o internacionales, requerimientos regulatorios o procesos de conformidad, acuerdos de licenciamiento de fabricación u otros requisitos legales aplicables;</w:t>
      </w:r>
    </w:p>
    <w:p w:rsidR="007F4EF4" w:rsidRDefault="00571E31" w:rsidP="00D51E3C">
      <w:r w:rsidRPr="00CF3648">
        <w:rPr>
          <w:i/>
          <w:iCs/>
        </w:rPr>
        <w:t>c)</w:t>
      </w:r>
      <w:r>
        <w:tab/>
        <w:t>q</w:t>
      </w:r>
      <w:r w:rsidR="007F4EF4">
        <w:t>ue un identificador único confiable sea tanto único como persistente para cada uno de los equipos que busca identificar, y que s</w:t>
      </w:r>
      <w:r w:rsidR="00D51E3C">
        <w:t>ó</w:t>
      </w:r>
      <w:r w:rsidR="007F4EF4">
        <w:t>lo pueda ser asignado por una entidad gestora de TIC responsable y no pueda ser cambiado por partes no autorizadas;</w:t>
      </w:r>
    </w:p>
    <w:p w:rsidR="007F4EF4" w:rsidRDefault="007F4EF4" w:rsidP="00D51E3C">
      <w:r w:rsidRPr="00CF3648">
        <w:rPr>
          <w:i/>
          <w:iCs/>
        </w:rPr>
        <w:t>d)</w:t>
      </w:r>
      <w:r>
        <w:tab/>
      </w:r>
      <w:r w:rsidR="00D51E3C">
        <w:t>q</w:t>
      </w:r>
      <w:r>
        <w:t>ue los dispositivos TIC manipulados son dispositivos cu</w:t>
      </w:r>
      <w:r w:rsidR="00CF3648">
        <w:t>yos componentes como el soporte</w:t>
      </w:r>
      <w:r>
        <w:t xml:space="preserve"> físico y lógico, identificador único, artículos protegidos</w:t>
      </w:r>
      <w:r w:rsidR="00CF3648">
        <w:t xml:space="preserve"> </w:t>
      </w:r>
      <w:r>
        <w:t>por derechos de propiedad intelectual o marca registrada, han sido tentativa o efectivamente manipulados sin la autorización expresa del fabricante o de su representante legal;</w:t>
      </w:r>
    </w:p>
    <w:p w:rsidR="007F4EF4" w:rsidRDefault="00571E31" w:rsidP="007F4EF4">
      <w:r w:rsidRPr="00CF3648">
        <w:rPr>
          <w:i/>
          <w:iCs/>
        </w:rPr>
        <w:t>e)</w:t>
      </w:r>
      <w:r>
        <w:tab/>
        <w:t>q</w:t>
      </w:r>
      <w:r w:rsidR="007F4EF4">
        <w:t>ue algunos países han comenzado a implementar medidas que pretenden prevenir los dispositivos falsificados con base en mecanismos de identificación, los que también pueden ser eficaces en el control de los dispositivos TIC manipulados;</w:t>
      </w:r>
    </w:p>
    <w:p w:rsidR="007F4EF4" w:rsidRDefault="00571E31" w:rsidP="007F4EF4">
      <w:r w:rsidRPr="00CF3648">
        <w:rPr>
          <w:i/>
          <w:iCs/>
        </w:rPr>
        <w:t>f)</w:t>
      </w:r>
      <w:r>
        <w:tab/>
        <w:t>q</w:t>
      </w:r>
      <w:r w:rsidR="007F4EF4">
        <w:t>ue los dispositivos de manipulación, especialmente aquéllos que clonan un identificador legítimo, pueden disminuir la efectividad de las soluciones adoptadas por los países al lidiar con la falsificación;</w:t>
      </w:r>
    </w:p>
    <w:p w:rsidR="007F4EF4" w:rsidRDefault="00571E31" w:rsidP="007F4EF4">
      <w:r w:rsidRPr="00CF3648">
        <w:rPr>
          <w:i/>
          <w:iCs/>
        </w:rPr>
        <w:t>g)</w:t>
      </w:r>
      <w:r>
        <w:tab/>
        <w:t>q</w:t>
      </w:r>
      <w:r w:rsidR="007F4EF4">
        <w:t>ue un marco para el descubrimiento y gestión de la información de identidad puede ayudar en la lucha contra la falsificación y manipulación de los dispositivos TIC;</w:t>
      </w:r>
    </w:p>
    <w:p w:rsidR="007F4EF4" w:rsidRDefault="00571E31" w:rsidP="007F4EF4">
      <w:r w:rsidRPr="00CF3648">
        <w:rPr>
          <w:i/>
          <w:iCs/>
        </w:rPr>
        <w:t>h)</w:t>
      </w:r>
      <w:r>
        <w:tab/>
        <w:t>q</w:t>
      </w:r>
      <w:r w:rsidR="007F4EF4">
        <w:t>ue los gobiernos juegan un papel importante en la lucha contra la fabricación y el comercio internacional de dispositivos falsificados de telecomunicaciones/TIC mediante la formulación de estrategias, políticas</w:t>
      </w:r>
      <w:r w:rsidR="00CF3648">
        <w:t xml:space="preserve"> y legislación adecuadas;</w:t>
      </w:r>
    </w:p>
    <w:p w:rsidR="007F4EF4" w:rsidRDefault="00571E31" w:rsidP="00CF3648">
      <w:r w:rsidRPr="00CF3648">
        <w:rPr>
          <w:i/>
          <w:iCs/>
        </w:rPr>
        <w:t>i)</w:t>
      </w:r>
      <w:r>
        <w:tab/>
        <w:t>q</w:t>
      </w:r>
      <w:r w:rsidR="007F4EF4">
        <w:t>ue la UIT y las partes interesadas tienen un papel clave en el fomento de la coordinación entre las partes a fin de estudiar el impacto de los dispositivos falsificados y manipulados y el mecanismo para limitarlos e identificar las maneras de lidiar con ellos a nivel regional e internacional</w:t>
      </w:r>
      <w:r w:rsidR="00CF3648">
        <w:t>,</w:t>
      </w:r>
    </w:p>
    <w:p w:rsidR="007F4EF4" w:rsidRDefault="007F4EF4" w:rsidP="00571E31">
      <w:pPr>
        <w:pStyle w:val="Call"/>
      </w:pPr>
      <w:proofErr w:type="gramStart"/>
      <w:r>
        <w:t>consciente</w:t>
      </w:r>
      <w:proofErr w:type="gramEnd"/>
    </w:p>
    <w:p w:rsidR="007F4EF4" w:rsidRDefault="00571E31" w:rsidP="007F4EF4">
      <w:proofErr w:type="gramStart"/>
      <w:r>
        <w:t>d</w:t>
      </w:r>
      <w:r w:rsidR="007F4EF4">
        <w:t>el</w:t>
      </w:r>
      <w:proofErr w:type="gramEnd"/>
      <w:r w:rsidR="007F4EF4">
        <w:t xml:space="preserve"> trabajo actual y los estudios de la Comisión de Estudio 20 del UIT-T sobre el Internet de las cosas </w:t>
      </w:r>
      <w:r w:rsidR="00D51E3C">
        <w:t>–</w:t>
      </w:r>
      <w:r w:rsidR="007F4EF4">
        <w:t xml:space="preserve"> la gestión de la identidad del </w:t>
      </w:r>
      <w:proofErr w:type="spellStart"/>
      <w:r w:rsidR="007F4EF4">
        <w:t>IoT</w:t>
      </w:r>
      <w:proofErr w:type="spellEnd"/>
      <w:r w:rsidR="007F4EF4">
        <w:t>, y el potencial aumento en la importancia de los dispo</w:t>
      </w:r>
      <w:r w:rsidR="00CF3648">
        <w:t xml:space="preserve">sitivos de </w:t>
      </w:r>
      <w:proofErr w:type="spellStart"/>
      <w:r w:rsidR="00CF3648">
        <w:t>IoT</w:t>
      </w:r>
      <w:proofErr w:type="spellEnd"/>
      <w:r w:rsidR="00CF3648">
        <w:t xml:space="preserve"> para la sociedad,</w:t>
      </w:r>
    </w:p>
    <w:p w:rsidR="007F4EF4" w:rsidRDefault="007F4EF4" w:rsidP="00571E31">
      <w:pPr>
        <w:pStyle w:val="Call"/>
      </w:pPr>
      <w:proofErr w:type="gramStart"/>
      <w:r>
        <w:lastRenderedPageBreak/>
        <w:t>resuelve</w:t>
      </w:r>
      <w:proofErr w:type="gramEnd"/>
    </w:p>
    <w:p w:rsidR="007F4EF4" w:rsidRDefault="007F4EF4" w:rsidP="00571E31">
      <w:r>
        <w:t>1</w:t>
      </w:r>
      <w:r>
        <w:tab/>
      </w:r>
      <w:r w:rsidR="00571E31">
        <w:t>f</w:t>
      </w:r>
      <w:r>
        <w:t>omentar iniciativas sobre la lucha contra la propagación de dispositivos TIC falsificados y manipulados;</w:t>
      </w:r>
    </w:p>
    <w:p w:rsidR="007F4EF4" w:rsidRDefault="007F4EF4" w:rsidP="00CF3648">
      <w:r>
        <w:t>2</w:t>
      </w:r>
      <w:r>
        <w:tab/>
      </w:r>
      <w:r w:rsidR="00571E31">
        <w:t>q</w:t>
      </w:r>
      <w:r>
        <w:t>ue la Comisión de Estudio 11 del UIT-T debe seguir siendo la principal comisión de estudio en el área de la lucha contra los dispositivos TIC falsificados y manipulados</w:t>
      </w:r>
      <w:r w:rsidR="00CF3648">
        <w:t>,</w:t>
      </w:r>
    </w:p>
    <w:p w:rsidR="007F4EF4" w:rsidRDefault="007F4EF4" w:rsidP="00571E31">
      <w:pPr>
        <w:pStyle w:val="Call"/>
      </w:pPr>
      <w:proofErr w:type="gramStart"/>
      <w:r>
        <w:t>encarga</w:t>
      </w:r>
      <w:proofErr w:type="gramEnd"/>
      <w:r>
        <w:t xml:space="preserve"> al Director de la Oficina de Normalización de las Telecomunicaciones, en estrecha colaboración con el Director de la Oficina de Desarrollo de las Telecomunicaciones</w:t>
      </w:r>
    </w:p>
    <w:p w:rsidR="007F4EF4" w:rsidRDefault="007F4EF4" w:rsidP="00571E31">
      <w:r>
        <w:t>1</w:t>
      </w:r>
      <w:r>
        <w:tab/>
      </w:r>
      <w:r w:rsidR="00571E31">
        <w:t>o</w:t>
      </w:r>
      <w:r>
        <w:t>rganizar talleres y eventos en todas las regiones de la UIT para promover el trabajo en este campo, involucrando a todas las partes interesadas y sensibilizando acerca del impacto de los dispositivos TIC falsificados y manipulados;</w:t>
      </w:r>
    </w:p>
    <w:p w:rsidR="007F4EF4" w:rsidRDefault="007F4EF4" w:rsidP="00571E31">
      <w:r>
        <w:t>2</w:t>
      </w:r>
      <w:r>
        <w:tab/>
      </w:r>
      <w:r w:rsidR="00571E31">
        <w:t>a</w:t>
      </w:r>
      <w:r>
        <w:t>yudar a los países en desarrollo y los países menos adelantados en la preparación de sus recursos humanos para combatir la propagación de dispositivos TIC falsificados y manipulados, proporcionándoles oportunidades de creación de capacidades y capacitación;</w:t>
      </w:r>
    </w:p>
    <w:p w:rsidR="007F4EF4" w:rsidRDefault="00571E31" w:rsidP="007F4EF4">
      <w:r>
        <w:t>3</w:t>
      </w:r>
      <w:r>
        <w:tab/>
      </w:r>
      <w:r w:rsidR="007F4EF4">
        <w:t>en colaboración con los expertos, las instituciones académicas y otras partes interesadas tales como la Organización Mundial del Comercio (OMC) y la Organización Mundial de la Propiedad Intelectual (OMPI), sobre la lucha contra la propagación de dispositivos TIC falsificados y manipulados;</w:t>
      </w:r>
    </w:p>
    <w:p w:rsidR="007F4EF4" w:rsidRDefault="007F4EF4" w:rsidP="00CF3648">
      <w:r>
        <w:t>4</w:t>
      </w:r>
      <w:r>
        <w:tab/>
      </w:r>
      <w:r w:rsidR="00CF3648">
        <w:t>c</w:t>
      </w:r>
      <w:r>
        <w:t>oordinar las actividades relativas a la lucha contra los dispositivos falsificados y manipulados a través de comisiones de estudio, grupos de enfo</w:t>
      </w:r>
      <w:r w:rsidR="00CF3648">
        <w:t>que y otros grupos relacionados,</w:t>
      </w:r>
    </w:p>
    <w:p w:rsidR="007F4EF4" w:rsidRDefault="007F4EF4" w:rsidP="00571E31">
      <w:pPr>
        <w:pStyle w:val="Call"/>
      </w:pPr>
      <w:proofErr w:type="gramStart"/>
      <w:r>
        <w:t>enca</w:t>
      </w:r>
      <w:r w:rsidR="00CF3648">
        <w:t>rga</w:t>
      </w:r>
      <w:proofErr w:type="gramEnd"/>
      <w:r w:rsidR="00CF3648">
        <w:t xml:space="preserve"> a la Comisión de Estudio 11</w:t>
      </w:r>
    </w:p>
    <w:p w:rsidR="007F4EF4" w:rsidRDefault="007F4EF4" w:rsidP="00CF3648">
      <w:r>
        <w:t>1</w:t>
      </w:r>
      <w:r>
        <w:tab/>
      </w:r>
      <w:r w:rsidR="00CF3648">
        <w:t>c</w:t>
      </w:r>
      <w:r>
        <w:t>ontinuar desarrollando recomendaciones, informes técnicos y directrices para abordar el problema de los dispositivos TIC falsificados y manipulados, y apoyar a los Estados Miembros en sus actividades contra la falsificación;</w:t>
      </w:r>
    </w:p>
    <w:p w:rsidR="007F4EF4" w:rsidRDefault="007F4EF4" w:rsidP="00CF3648">
      <w:r>
        <w:t>2</w:t>
      </w:r>
      <w:r>
        <w:tab/>
      </w:r>
      <w:r w:rsidR="00CF3648">
        <w:t>r</w:t>
      </w:r>
      <w:r>
        <w:t>ecopilar, analizar e intercambiar información sobre las prácticas de falsificación y manipulación en el sector de las TIC, y como podrían utilizarse las TIC como una herramienta de lucha;</w:t>
      </w:r>
    </w:p>
    <w:p w:rsidR="007F4EF4" w:rsidRDefault="007F4EF4" w:rsidP="00CF3648">
      <w:r>
        <w:t>3</w:t>
      </w:r>
      <w:r>
        <w:tab/>
      </w:r>
      <w:r w:rsidR="00CF3648">
        <w:t>e</w:t>
      </w:r>
      <w:r>
        <w:t>studiar posibles soluciones, incluyendo marcos para descubrir información de gestión de identidad, que puedan apoyar la lucha contra los dispositivos TIC falsificados y manipulados;</w:t>
      </w:r>
    </w:p>
    <w:p w:rsidR="007F4EF4" w:rsidRDefault="007F4EF4" w:rsidP="00CF3648">
      <w:r>
        <w:t>4</w:t>
      </w:r>
      <w:r>
        <w:tab/>
      </w:r>
      <w:r w:rsidR="00CF3648">
        <w:t>e</w:t>
      </w:r>
      <w:r>
        <w:t>studiar los resultados obtenidos por diversos organismos internacionales de normalización y coordinar con ellos al proponer soluciones técnicas;</w:t>
      </w:r>
    </w:p>
    <w:p w:rsidR="007F4EF4" w:rsidRDefault="007F4EF4" w:rsidP="00CF3648">
      <w:r>
        <w:t>5</w:t>
      </w:r>
      <w:r>
        <w:tab/>
      </w:r>
      <w:r w:rsidR="00CF3648">
        <w:t>c</w:t>
      </w:r>
      <w:r>
        <w:t>ooperar, según sea el caso, con las partes interesadas para optimizar los estudios a fin de elaborar especificaciones para las pruebas de identificación y control de los dispositivos TIC falsificados y manipulados, desplegados en el mercado o no, especialmente con respe</w:t>
      </w:r>
      <w:r w:rsidR="00CF3648">
        <w:t>cto a los dispositivos clonados,</w:t>
      </w:r>
    </w:p>
    <w:p w:rsidR="007F4EF4" w:rsidRDefault="007F4EF4" w:rsidP="00571E31">
      <w:pPr>
        <w:pStyle w:val="Call"/>
      </w:pPr>
      <w:proofErr w:type="gramStart"/>
      <w:r>
        <w:t>invita</w:t>
      </w:r>
      <w:proofErr w:type="gramEnd"/>
      <w:r>
        <w:t xml:space="preserve"> a los Estados Miembros</w:t>
      </w:r>
    </w:p>
    <w:p w:rsidR="007F4EF4" w:rsidRDefault="00D51E3C" w:rsidP="00CF3648">
      <w:r>
        <w:t>1</w:t>
      </w:r>
      <w:r w:rsidR="007F4EF4">
        <w:tab/>
      </w:r>
      <w:r w:rsidR="00CF3648">
        <w:t>a</w:t>
      </w:r>
      <w:r w:rsidR="007F4EF4">
        <w:t xml:space="preserve"> contribuir con la implementación de esta resolución y tomar todas las medidas necesarias para luchar contra los dispositivos falsificados y manipulados;</w:t>
      </w:r>
    </w:p>
    <w:p w:rsidR="007F4EF4" w:rsidRDefault="00D51E3C" w:rsidP="00CF3648">
      <w:r>
        <w:t>2</w:t>
      </w:r>
      <w:r w:rsidR="007F4EF4">
        <w:tab/>
      </w:r>
      <w:r w:rsidR="00CF3648">
        <w:t>a</w:t>
      </w:r>
      <w:r w:rsidR="007F4EF4">
        <w:t xml:space="preserve"> incorporar, en sus marcos legales y regulatorios nacionales, políticas que apoyen la</w:t>
      </w:r>
      <w:r w:rsidR="00CF3648">
        <w:t xml:space="preserve"> </w:t>
      </w:r>
      <w:r w:rsidR="007F4EF4">
        <w:t>lucha contra los dispositivos fal</w:t>
      </w:r>
      <w:r w:rsidR="00CF3648">
        <w:t>sificados y manipulados,</w:t>
      </w:r>
    </w:p>
    <w:p w:rsidR="007F4EF4" w:rsidRDefault="007F4EF4" w:rsidP="00571E31">
      <w:pPr>
        <w:pStyle w:val="Call"/>
      </w:pPr>
      <w:proofErr w:type="gramStart"/>
      <w:r>
        <w:lastRenderedPageBreak/>
        <w:t>invita</w:t>
      </w:r>
      <w:proofErr w:type="gramEnd"/>
      <w:r>
        <w:t xml:space="preserve"> a los Miembros del Sector</w:t>
      </w:r>
    </w:p>
    <w:p w:rsidR="007F4EF4" w:rsidRDefault="00CF3648" w:rsidP="007F4EF4">
      <w:proofErr w:type="gramStart"/>
      <w:r>
        <w:t>a</w:t>
      </w:r>
      <w:proofErr w:type="gramEnd"/>
      <w:r w:rsidR="007F4EF4">
        <w:t xml:space="preserve"> cooperar con los gobiernos, las administraciones y los reguladores de telecomunicaciones en la lucha contra los dispositivos falsificados y manipulados, al restringir el comercio y la operación en la red de estos dispositivos y de</w:t>
      </w:r>
      <w:r>
        <w:t>shacerse de ellos con seguridad,</w:t>
      </w:r>
    </w:p>
    <w:p w:rsidR="007F4EF4" w:rsidRDefault="007F4EF4" w:rsidP="00571E31">
      <w:pPr>
        <w:pStyle w:val="Call"/>
      </w:pPr>
      <w:proofErr w:type="gramStart"/>
      <w:r>
        <w:t>invita</w:t>
      </w:r>
      <w:proofErr w:type="gramEnd"/>
      <w:r>
        <w:t xml:space="preserve"> a todos los miembros</w:t>
      </w:r>
    </w:p>
    <w:p w:rsidR="007F4EF4" w:rsidRDefault="007F4EF4" w:rsidP="00CF3648">
      <w:r>
        <w:t>1</w:t>
      </w:r>
      <w:r>
        <w:tab/>
      </w:r>
      <w:r w:rsidR="00CF3648">
        <w:t>a</w:t>
      </w:r>
      <w:r>
        <w:t xml:space="preserve"> cooperar e intercambiar entre ellos conocimientos y experiencias en </w:t>
      </w:r>
      <w:proofErr w:type="gramStart"/>
      <w:r>
        <w:t>este</w:t>
      </w:r>
      <w:proofErr w:type="gramEnd"/>
      <w:r>
        <w:t xml:space="preserve"> área;</w:t>
      </w:r>
    </w:p>
    <w:p w:rsidR="007F4EF4" w:rsidRDefault="007F4EF4" w:rsidP="00CF3648">
      <w:r>
        <w:t>2</w:t>
      </w:r>
      <w:r>
        <w:tab/>
      </w:r>
      <w:r w:rsidR="00CF3648">
        <w:t>a</w:t>
      </w:r>
      <w:r>
        <w:t xml:space="preserve"> participar activamente en los estudios de la UIT relacionados con la lucha contra los dispositivos de telecomunicaciones/TIC falsificados y manipulados media</w:t>
      </w:r>
      <w:r w:rsidR="00CF3648">
        <w:t>nte la presentación de aportes;</w:t>
      </w:r>
    </w:p>
    <w:p w:rsidR="00666362" w:rsidRDefault="007F4EF4" w:rsidP="00CF3648">
      <w:r>
        <w:t>3</w:t>
      </w:r>
      <w:r>
        <w:tab/>
      </w:r>
      <w:r w:rsidR="00CF3648">
        <w:t>a</w:t>
      </w:r>
      <w:r>
        <w:t xml:space="preserve"> emprender las acciones necesarias para prevenir o detectar la manipulación de los identificadores únicos de dispositivos de telecomunicaciones/TIC, en especial con respecto a los dispositivos clonados.</w:t>
      </w:r>
    </w:p>
    <w:p w:rsidR="00571E31" w:rsidRDefault="00571E31" w:rsidP="0032202E">
      <w:pPr>
        <w:pStyle w:val="Reasons"/>
      </w:pPr>
    </w:p>
    <w:p w:rsidR="00571E31" w:rsidRDefault="00571E31">
      <w:pPr>
        <w:jc w:val="center"/>
      </w:pPr>
      <w:r>
        <w:t>______________</w:t>
      </w:r>
    </w:p>
    <w:sectPr w:rsidR="00571E31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CF3648">
      <w:rPr>
        <w:noProof/>
        <w:lang w:val="fr-CH"/>
      </w:rPr>
      <w:t>P:\ESP\ITU-T\CONF-T\WTSA16\000\046ADD11S.docx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37024">
      <w:rPr>
        <w:noProof/>
      </w:rPr>
      <w:t>04.10.16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F3648">
      <w:rPr>
        <w:noProof/>
      </w:rPr>
      <w:t>23.09.16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421367" w:rsidRDefault="00421367" w:rsidP="00421367">
    <w:pPr>
      <w:pStyle w:val="Footer"/>
      <w:rPr>
        <w:lang w:val="fr-CH"/>
      </w:rPr>
    </w:pPr>
    <w:r w:rsidRPr="00421367">
      <w:rPr>
        <w:lang w:val="fr-CH"/>
      </w:rPr>
      <w:t>ITU-T\CONF-T\WTSA16\000\46ADD11</w:t>
    </w:r>
    <w:r>
      <w:rPr>
        <w:lang w:val="fr-CH"/>
      </w:rPr>
      <w:t>S</w:t>
    </w:r>
    <w:r w:rsidRPr="00421367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1616"/>
      <w:gridCol w:w="4394"/>
      <w:gridCol w:w="3913"/>
    </w:tblGrid>
    <w:tr w:rsidR="007F4EF4" w:rsidTr="00421367">
      <w:trPr>
        <w:cantSplit/>
        <w:jc w:val="center"/>
      </w:trPr>
      <w:tc>
        <w:tcPr>
          <w:tcW w:w="1616" w:type="dxa"/>
          <w:tcBorders>
            <w:top w:val="single" w:sz="12" w:space="0" w:color="auto"/>
          </w:tcBorders>
        </w:tcPr>
        <w:p w:rsidR="007F4EF4" w:rsidRDefault="007F4EF4">
          <w:pPr>
            <w:rPr>
              <w:sz w:val="22"/>
              <w:lang w:val="fr-CH"/>
            </w:rPr>
          </w:pPr>
          <w:proofErr w:type="spellStart"/>
          <w:r w:rsidRPr="007F4EF4">
            <w:rPr>
              <w:b/>
              <w:sz w:val="22"/>
              <w:lang w:val="fr-CH"/>
            </w:rPr>
            <w:t>Contacto</w:t>
          </w:r>
          <w:proofErr w:type="spellEnd"/>
          <w:r w:rsidRPr="007F4EF4">
            <w:rPr>
              <w:b/>
              <w:sz w:val="22"/>
              <w:lang w:val="fr-CH"/>
            </w:rPr>
            <w:t>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7F4EF4" w:rsidRPr="00421367" w:rsidRDefault="007F4EF4">
          <w:pPr>
            <w:rPr>
              <w:sz w:val="22"/>
              <w:lang w:val="es-ES"/>
            </w:rPr>
          </w:pPr>
          <w:r w:rsidRPr="00421367">
            <w:rPr>
              <w:sz w:val="22"/>
              <w:lang w:val="es-ES"/>
            </w:rPr>
            <w:t>Oscar León</w:t>
          </w:r>
        </w:p>
        <w:p w:rsidR="007F4EF4" w:rsidRDefault="007F4EF4" w:rsidP="007F4EF4">
          <w:pPr>
            <w:spacing w:before="0"/>
            <w:rPr>
              <w:sz w:val="22"/>
            </w:rPr>
          </w:pPr>
          <w:r w:rsidRPr="007F4EF4">
            <w:rPr>
              <w:sz w:val="22"/>
            </w:rPr>
            <w:t>CITEL</w:t>
          </w:r>
        </w:p>
        <w:p w:rsidR="007F4EF4" w:rsidRDefault="007F4EF4" w:rsidP="007F4EF4">
          <w:pPr>
            <w:spacing w:before="0"/>
            <w:rPr>
              <w:sz w:val="22"/>
            </w:rPr>
          </w:pPr>
          <w:r w:rsidRPr="007F4EF4">
            <w:rPr>
              <w:sz w:val="22"/>
            </w:rPr>
            <w:t>Washington, DC, USA</w:t>
          </w:r>
        </w:p>
      </w:tc>
      <w:tc>
        <w:tcPr>
          <w:tcW w:w="3913" w:type="dxa"/>
          <w:tcBorders>
            <w:top w:val="single" w:sz="12" w:space="0" w:color="auto"/>
          </w:tcBorders>
        </w:tcPr>
        <w:p w:rsidR="007F4EF4" w:rsidRDefault="007F4EF4">
          <w:pPr>
            <w:tabs>
              <w:tab w:val="left" w:pos="973"/>
            </w:tabs>
            <w:rPr>
              <w:sz w:val="22"/>
            </w:rPr>
          </w:pPr>
          <w:r>
            <w:rPr>
              <w:sz w:val="22"/>
            </w:rPr>
            <w:t>Tel.:</w:t>
          </w:r>
          <w:r>
            <w:rPr>
              <w:sz w:val="22"/>
            </w:rPr>
            <w:tab/>
          </w:r>
          <w:r w:rsidRPr="007F4EF4">
            <w:rPr>
              <w:sz w:val="22"/>
            </w:rPr>
            <w:t>+ 1 (202) 370-4713</w:t>
          </w:r>
        </w:p>
        <w:p w:rsidR="007F4EF4" w:rsidRDefault="007F4EF4" w:rsidP="007F4EF4">
          <w:pPr>
            <w:tabs>
              <w:tab w:val="left" w:pos="973"/>
            </w:tabs>
            <w:spacing w:before="0"/>
            <w:rPr>
              <w:sz w:val="22"/>
            </w:rPr>
          </w:pPr>
          <w:r>
            <w:rPr>
              <w:sz w:val="22"/>
            </w:rPr>
            <w:t>Fax:</w:t>
          </w:r>
          <w:r>
            <w:rPr>
              <w:sz w:val="22"/>
            </w:rPr>
            <w:tab/>
          </w:r>
          <w:r w:rsidRPr="007F4EF4">
            <w:rPr>
              <w:sz w:val="22"/>
            </w:rPr>
            <w:t xml:space="preserve">+ </w:t>
          </w:r>
          <w:r w:rsidR="009B29C1">
            <w:rPr>
              <w:sz w:val="22"/>
            </w:rPr>
            <w:t xml:space="preserve">1 </w:t>
          </w:r>
          <w:r w:rsidRPr="007F4EF4">
            <w:rPr>
              <w:sz w:val="22"/>
            </w:rPr>
            <w:t>(202) 458-6854</w:t>
          </w:r>
        </w:p>
        <w:p w:rsidR="007F4EF4" w:rsidRDefault="007F4EF4" w:rsidP="007F4EF4">
          <w:pPr>
            <w:tabs>
              <w:tab w:val="left" w:pos="973"/>
            </w:tabs>
            <w:spacing w:before="0"/>
            <w:rPr>
              <w:sz w:val="22"/>
            </w:rPr>
          </w:pPr>
          <w:r>
            <w:rPr>
              <w:sz w:val="22"/>
            </w:rPr>
            <w:t>Correo-e:</w:t>
          </w:r>
          <w:r>
            <w:rPr>
              <w:sz w:val="22"/>
            </w:rPr>
            <w:tab/>
          </w:r>
          <w:hyperlink r:id="rId1" w:history="1">
            <w:r w:rsidRPr="00B907B0">
              <w:rPr>
                <w:rStyle w:val="Hyperlink"/>
                <w:sz w:val="22"/>
              </w:rPr>
              <w:t>citel@oas.org</w:t>
            </w:r>
          </w:hyperlink>
        </w:p>
      </w:tc>
    </w:tr>
  </w:tbl>
  <w:p w:rsidR="00E83D45" w:rsidRPr="007F4EF4" w:rsidRDefault="00E83D45" w:rsidP="007F4E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37024">
      <w:rPr>
        <w:noProof/>
      </w:rPr>
      <w:t>6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16/46(Add.11)-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8839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EA70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8A12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64FF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201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3476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57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5C1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28F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87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701F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21367"/>
    <w:rsid w:val="00454553"/>
    <w:rsid w:val="00476FB2"/>
    <w:rsid w:val="004B124A"/>
    <w:rsid w:val="004B520A"/>
    <w:rsid w:val="004C3636"/>
    <w:rsid w:val="004C3A5A"/>
    <w:rsid w:val="00523269"/>
    <w:rsid w:val="00532097"/>
    <w:rsid w:val="00566BEE"/>
    <w:rsid w:val="00571E31"/>
    <w:rsid w:val="0058350F"/>
    <w:rsid w:val="005A374D"/>
    <w:rsid w:val="005E782D"/>
    <w:rsid w:val="005F2605"/>
    <w:rsid w:val="00662039"/>
    <w:rsid w:val="00662BA0"/>
    <w:rsid w:val="00666362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86250"/>
    <w:rsid w:val="00790506"/>
    <w:rsid w:val="007952C7"/>
    <w:rsid w:val="007C2317"/>
    <w:rsid w:val="007C39FA"/>
    <w:rsid w:val="007D330A"/>
    <w:rsid w:val="007E667F"/>
    <w:rsid w:val="007F4EF4"/>
    <w:rsid w:val="00866AE6"/>
    <w:rsid w:val="00866BBD"/>
    <w:rsid w:val="00873B75"/>
    <w:rsid w:val="008750A8"/>
    <w:rsid w:val="008E35DA"/>
    <w:rsid w:val="008E4453"/>
    <w:rsid w:val="0090121B"/>
    <w:rsid w:val="009144C9"/>
    <w:rsid w:val="00916196"/>
    <w:rsid w:val="0094091F"/>
    <w:rsid w:val="00973754"/>
    <w:rsid w:val="0097673E"/>
    <w:rsid w:val="00990278"/>
    <w:rsid w:val="009A137D"/>
    <w:rsid w:val="009B29C1"/>
    <w:rsid w:val="009C0BED"/>
    <w:rsid w:val="009E11EC"/>
    <w:rsid w:val="009F6A67"/>
    <w:rsid w:val="00A118DB"/>
    <w:rsid w:val="00A24AC0"/>
    <w:rsid w:val="00A4450C"/>
    <w:rsid w:val="00AA5E6C"/>
    <w:rsid w:val="00AB4E90"/>
    <w:rsid w:val="00AC036A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34532"/>
    <w:rsid w:val="00C37024"/>
    <w:rsid w:val="00C614DC"/>
    <w:rsid w:val="00C63EB5"/>
    <w:rsid w:val="00C858D0"/>
    <w:rsid w:val="00CA1F40"/>
    <w:rsid w:val="00CB35C9"/>
    <w:rsid w:val="00CC01E0"/>
    <w:rsid w:val="00CD5FEE"/>
    <w:rsid w:val="00CD663E"/>
    <w:rsid w:val="00CE60D2"/>
    <w:rsid w:val="00CF3648"/>
    <w:rsid w:val="00D0288A"/>
    <w:rsid w:val="00D51E3C"/>
    <w:rsid w:val="00D56781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4A4A"/>
    <w:rsid w:val="00E97B63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styleId="Hyperlink">
    <w:name w:val="Hyperlink"/>
    <w:basedOn w:val="DefaultParagraphFont"/>
    <w:unhideWhenUsed/>
    <w:rsid w:val="007F4E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0b75bd3-bd57-456f-947e-e71d94fbf095">Documents Proposals Manager (DPM)</DPM_x0020_Author>
    <DPM_x0020_File_x0020_name xmlns="f0b75bd3-bd57-456f-947e-e71d94fbf095">T13-WTSA.16-C-0046!A11!MSW-S</DPM_x0020_File_x0020_name>
    <DPM_x0020_Version xmlns="f0b75bd3-bd57-456f-947e-e71d94fbf095">DPM_v2016.9.22.1_prod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0b75bd3-bd57-456f-947e-e71d94fbf095" targetNamespace="http://schemas.microsoft.com/office/2006/metadata/properties" ma:root="true" ma:fieldsID="d41af5c836d734370eb92e7ee5f83852" ns2:_="" ns3:_="">
    <xsd:import namespace="996b2e75-67fd-4955-a3b0-5ab9934cb50b"/>
    <xsd:import namespace="f0b75bd3-bd57-456f-947e-e71d94fbf09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5bd3-bd57-456f-947e-e71d94fbf09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f0b75bd3-bd57-456f-947e-e71d94fbf095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0b75bd3-bd57-456f-947e-e71d94fbf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BDCB7C-71D0-4197-A4F6-EB7278B7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2001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T13-WTSA.16-C-0046!A11!MSW-S</vt:lpstr>
    </vt:vector>
  </TitlesOfParts>
  <Manager>Secretaría General - Pool</Manager>
  <Company>International Telecommunication Union (ITU)</Company>
  <LinksUpToDate>false</LinksUpToDate>
  <CharactersWithSpaces>13594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T13-WTSA.16-C-0046!A11!MSW-S</dc:title>
  <dc:subject>World Telecommunication Standardization Assembly</dc:subject>
  <dc:creator>Documents Proposals Manager (DPM)</dc:creator>
  <cp:keywords>DPM_v2016.9.22.1_prod</cp:keywords>
  <dc:description>Template used by DPM and CPI for the WTSA-16</dc:description>
  <cp:lastModifiedBy>TSB (RC)</cp:lastModifiedBy>
  <cp:revision>3</cp:revision>
  <cp:lastPrinted>2016-09-23T09:40:00Z</cp:lastPrinted>
  <dcterms:created xsi:type="dcterms:W3CDTF">2016-10-04T10:22:00Z</dcterms:created>
  <dcterms:modified xsi:type="dcterms:W3CDTF">2016-10-04T10:23:00Z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