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sidR="00592363">
              <w:rPr>
                <w:rFonts w:ascii="Verdana" w:hAnsi="Verdana"/>
                <w:b/>
                <w:sz w:val="20"/>
              </w:rPr>
              <w:t xml:space="preserve"> 46</w:t>
            </w:r>
            <w:r>
              <w:rPr>
                <w:rFonts w:ascii="Verdana" w:hAnsi="Verdana"/>
                <w:b/>
                <w:sz w:val="20"/>
              </w:rPr>
              <w:t>(Add.1)</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21</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rsidTr="00E2414B">
        <w:trPr>
          <w:cantSplit/>
        </w:trPr>
        <w:tc>
          <w:tcPr>
            <w:tcW w:w="9811" w:type="dxa"/>
            <w:gridSpan w:val="3"/>
            <w:hideMark/>
          </w:tcPr>
          <w:p w:rsidR="000A3B30" w:rsidRPr="00400909" w:rsidRDefault="00592363" w:rsidP="00846803">
            <w:pPr>
              <w:pStyle w:val="Title1"/>
              <w:rPr>
                <w:rFonts w:ascii="Verdana" w:hAnsi="Verdana"/>
                <w:lang w:eastAsia="zh-CN"/>
              </w:rPr>
            </w:pPr>
            <w:r>
              <w:rPr>
                <w:rFonts w:hint="eastAsia"/>
                <w:lang w:eastAsia="zh-CN"/>
              </w:rPr>
              <w:t>删除</w:t>
            </w:r>
            <w:r w:rsidR="000A3B30" w:rsidRPr="000273B7">
              <w:rPr>
                <w:lang w:eastAsia="zh-CN"/>
              </w:rPr>
              <w:t>WTSA-12</w:t>
            </w:r>
            <w:r w:rsidR="00846803" w:rsidRPr="00C52866">
              <w:rPr>
                <w:rStyle w:val="href"/>
                <w:rFonts w:hint="eastAsia"/>
              </w:rPr>
              <w:t>第</w:t>
            </w:r>
            <w:r w:rsidR="00846803" w:rsidRPr="00C52866">
              <w:rPr>
                <w:rStyle w:val="href"/>
                <w:rFonts w:hint="eastAsia"/>
              </w:rPr>
              <w:t>82</w:t>
            </w:r>
            <w:r w:rsidR="00846803" w:rsidRPr="00C52866">
              <w:rPr>
                <w:rStyle w:val="href"/>
                <w:rFonts w:hint="eastAsia"/>
              </w:rPr>
              <w:t>号决议</w:t>
            </w:r>
            <w:r w:rsidR="00846803">
              <w:rPr>
                <w:rStyle w:val="href"/>
                <w:rFonts w:hint="eastAsia"/>
              </w:rPr>
              <w:t xml:space="preserve"> </w:t>
            </w:r>
            <w:r w:rsidR="00332A8A" w:rsidRPr="00332A8A">
              <w:rPr>
                <w:lang w:val="en-CA" w:eastAsia="zh-CN"/>
              </w:rPr>
              <w:t>–</w:t>
            </w:r>
            <w:r w:rsidR="00846803">
              <w:rPr>
                <w:lang w:eastAsia="zh-CN"/>
              </w:rPr>
              <w:t xml:space="preserve"> </w:t>
            </w:r>
            <w:r w:rsidR="00846803">
              <w:rPr>
                <w:rFonts w:hint="eastAsia"/>
                <w:lang w:eastAsia="zh-CN"/>
              </w:rPr>
              <w:t>国际电联电信标准化部门</w:t>
            </w:r>
            <w:r w:rsidR="00846803" w:rsidRPr="00C445B8">
              <w:rPr>
                <w:rFonts w:hint="eastAsia"/>
                <w:lang w:eastAsia="zh-CN"/>
              </w:rPr>
              <w:t>的战略和结构</w:t>
            </w:r>
            <w:r w:rsidR="00846803">
              <w:rPr>
                <w:rFonts w:hint="eastAsia"/>
                <w:lang w:eastAsia="zh-CN"/>
              </w:rPr>
              <w:t>审查</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r w:rsidRPr="001051B1">
              <w:rPr>
                <w:rFonts w:hint="eastAsia"/>
                <w:b/>
                <w:bCs/>
              </w:rPr>
              <w:t>摘要</w:t>
            </w:r>
            <w:r w:rsidRPr="008F7104">
              <w:rPr>
                <w:b/>
                <w:bCs/>
              </w:rPr>
              <w:t>:</w:t>
            </w:r>
          </w:p>
        </w:tc>
        <w:sdt>
          <w:sdtPr>
            <w:rPr>
              <w:lang w:val="en-CA" w:eastAsia="zh-CN"/>
            </w:rPr>
            <w:alias w:val="Abstract"/>
            <w:tag w:val="Abstract"/>
            <w:id w:val="398560486"/>
            <w:placeholder>
              <w:docPart w:val="CBE907DFB9CC43FC99369C4A157184A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332A8A" w:rsidP="00231452">
                <w:pPr>
                  <w:rPr>
                    <w:lang w:eastAsia="zh-CN"/>
                  </w:rPr>
                </w:pPr>
                <w:r w:rsidRPr="00332A8A">
                  <w:rPr>
                    <w:rFonts w:hint="eastAsia"/>
                    <w:lang w:val="en-CA" w:eastAsia="zh-CN"/>
                  </w:rPr>
                  <w:t>本文稿</w:t>
                </w:r>
                <w:r w:rsidRPr="00332A8A">
                  <w:rPr>
                    <w:lang w:val="en-CA" w:eastAsia="zh-CN"/>
                  </w:rPr>
                  <w:t>提出考虑删除</w:t>
                </w:r>
                <w:r w:rsidRPr="00332A8A">
                  <w:rPr>
                    <w:rFonts w:hint="eastAsia"/>
                    <w:lang w:val="en-CA" w:eastAsia="zh-CN"/>
                  </w:rPr>
                  <w:t>WTSA-12</w:t>
                </w:r>
                <w:r w:rsidRPr="00332A8A">
                  <w:rPr>
                    <w:rFonts w:hint="eastAsia"/>
                    <w:lang w:val="en-CA" w:eastAsia="zh-CN"/>
                  </w:rPr>
                  <w:t>第</w:t>
                </w:r>
                <w:r w:rsidRPr="00332A8A">
                  <w:rPr>
                    <w:rFonts w:hint="eastAsia"/>
                    <w:lang w:val="en-CA" w:eastAsia="zh-CN"/>
                  </w:rPr>
                  <w:t>82</w:t>
                </w:r>
                <w:r w:rsidRPr="00332A8A">
                  <w:rPr>
                    <w:rFonts w:hint="eastAsia"/>
                    <w:lang w:val="en-CA" w:eastAsia="zh-CN"/>
                  </w:rPr>
                  <w:t>号决议</w:t>
                </w:r>
                <w:r w:rsidRPr="00332A8A">
                  <w:rPr>
                    <w:rFonts w:hint="eastAsia"/>
                    <w:lang w:val="en-CA" w:eastAsia="zh-CN"/>
                  </w:rPr>
                  <w:t xml:space="preserve"> </w:t>
                </w:r>
                <w:r w:rsidRPr="00332A8A">
                  <w:rPr>
                    <w:lang w:val="en-CA" w:eastAsia="zh-CN"/>
                  </w:rPr>
                  <w:t>–</w:t>
                </w:r>
                <w:r w:rsidRPr="00332A8A">
                  <w:rPr>
                    <w:rFonts w:hint="eastAsia"/>
                    <w:lang w:val="en-CA" w:eastAsia="zh-CN"/>
                  </w:rPr>
                  <w:t xml:space="preserve"> </w:t>
                </w:r>
                <w:r w:rsidRPr="00332A8A">
                  <w:rPr>
                    <w:rFonts w:hint="eastAsia"/>
                    <w:lang w:val="en-CA" w:eastAsia="zh-CN"/>
                  </w:rPr>
                  <w:t>国际电联电信标准化部门的战略和结构审查。</w:t>
                </w:r>
              </w:p>
            </w:tc>
          </w:sdtContent>
        </w:sdt>
      </w:tr>
    </w:tbl>
    <w:p w:rsidR="005C7B12" w:rsidRDefault="005C7B12" w:rsidP="006F409E">
      <w:pPr>
        <w:rPr>
          <w:lang w:eastAsia="zh-CN"/>
        </w:rPr>
      </w:pPr>
    </w:p>
    <w:p w:rsidR="00846803" w:rsidRPr="00EB2328" w:rsidRDefault="00332A8A" w:rsidP="00846803">
      <w:pPr>
        <w:pStyle w:val="Headingb"/>
        <w:rPr>
          <w:lang w:eastAsia="zh-CN"/>
        </w:rPr>
      </w:pPr>
      <w:r>
        <w:rPr>
          <w:rFonts w:hint="eastAsia"/>
          <w:lang w:eastAsia="zh-CN"/>
        </w:rPr>
        <w:t>引言</w:t>
      </w:r>
    </w:p>
    <w:p w:rsidR="00846803" w:rsidRPr="00EB2328" w:rsidRDefault="00846803" w:rsidP="00462452">
      <w:pPr>
        <w:ind w:firstLineChars="200" w:firstLine="480"/>
        <w:rPr>
          <w:lang w:val="en-CA" w:eastAsia="zh-CN"/>
        </w:rPr>
      </w:pPr>
      <w:r w:rsidRPr="00EB2328">
        <w:rPr>
          <w:lang w:val="en-CA" w:eastAsia="zh-CN"/>
        </w:rPr>
        <w:t>WTSA 2012</w:t>
      </w:r>
      <w:r w:rsidR="00332A8A">
        <w:rPr>
          <w:rFonts w:hint="eastAsia"/>
          <w:lang w:val="en-CA" w:eastAsia="zh-CN"/>
        </w:rPr>
        <w:t>批准</w:t>
      </w:r>
      <w:r w:rsidR="00332A8A">
        <w:rPr>
          <w:lang w:val="en-CA" w:eastAsia="zh-CN"/>
        </w:rPr>
        <w:t>的第</w:t>
      </w:r>
      <w:r w:rsidR="00332A8A">
        <w:rPr>
          <w:rFonts w:hint="eastAsia"/>
          <w:lang w:val="en-CA" w:eastAsia="zh-CN"/>
        </w:rPr>
        <w:t>82</w:t>
      </w:r>
      <w:r w:rsidR="00332A8A">
        <w:rPr>
          <w:rFonts w:hint="eastAsia"/>
          <w:lang w:val="en-CA" w:eastAsia="zh-CN"/>
        </w:rPr>
        <w:t>号</w:t>
      </w:r>
      <w:r w:rsidR="00332A8A">
        <w:rPr>
          <w:lang w:val="en-CA" w:eastAsia="zh-CN"/>
        </w:rPr>
        <w:t>决议要求建立</w:t>
      </w:r>
      <w:r w:rsidRPr="00EB2328">
        <w:rPr>
          <w:lang w:val="en-CA" w:eastAsia="zh-CN"/>
        </w:rPr>
        <w:t>ITU-T</w:t>
      </w:r>
      <w:r w:rsidR="00332A8A">
        <w:rPr>
          <w:rFonts w:hint="eastAsia"/>
          <w:lang w:val="en-CA" w:eastAsia="zh-CN"/>
        </w:rPr>
        <w:t>审查委员会</w:t>
      </w:r>
      <w:r w:rsidR="00332A8A">
        <w:rPr>
          <w:lang w:val="en-CA" w:eastAsia="zh-CN"/>
        </w:rPr>
        <w:t>。</w:t>
      </w:r>
      <w:r w:rsidR="00332A8A">
        <w:rPr>
          <w:rFonts w:hint="eastAsia"/>
          <w:lang w:val="en-CA" w:eastAsia="zh-CN"/>
        </w:rPr>
        <w:t>该</w:t>
      </w:r>
      <w:r w:rsidR="00332A8A">
        <w:rPr>
          <w:lang w:val="en-CA" w:eastAsia="zh-CN"/>
        </w:rPr>
        <w:t>审查委员会已于</w:t>
      </w:r>
      <w:r w:rsidR="00332A8A">
        <w:rPr>
          <w:rFonts w:hint="eastAsia"/>
          <w:lang w:val="en-CA" w:eastAsia="zh-CN"/>
        </w:rPr>
        <w:t>7</w:t>
      </w:r>
      <w:r w:rsidR="00332A8A">
        <w:rPr>
          <w:rFonts w:hint="eastAsia"/>
          <w:lang w:val="en-CA" w:eastAsia="zh-CN"/>
        </w:rPr>
        <w:t>月</w:t>
      </w:r>
      <w:r w:rsidR="00332A8A">
        <w:rPr>
          <w:rFonts w:hint="eastAsia"/>
          <w:lang w:val="en-CA" w:eastAsia="zh-CN"/>
        </w:rPr>
        <w:t>15</w:t>
      </w:r>
      <w:r w:rsidR="00332A8A">
        <w:rPr>
          <w:rFonts w:hint="eastAsia"/>
          <w:lang w:val="en-CA" w:eastAsia="zh-CN"/>
        </w:rPr>
        <w:t>日</w:t>
      </w:r>
      <w:r w:rsidR="00332A8A">
        <w:rPr>
          <w:lang w:val="en-CA" w:eastAsia="zh-CN"/>
        </w:rPr>
        <w:t>举行</w:t>
      </w:r>
      <w:r w:rsidR="00332A8A">
        <w:rPr>
          <w:rFonts w:hint="eastAsia"/>
          <w:lang w:val="en-CA" w:eastAsia="zh-CN"/>
        </w:rPr>
        <w:t>其</w:t>
      </w:r>
      <w:r w:rsidR="00332A8A">
        <w:rPr>
          <w:lang w:val="en-CA" w:eastAsia="zh-CN"/>
        </w:rPr>
        <w:t>本研究期的最后一次会议并将制定提交</w:t>
      </w:r>
      <w:r w:rsidRPr="00EB2328">
        <w:rPr>
          <w:lang w:val="en-CA" w:eastAsia="zh-CN"/>
        </w:rPr>
        <w:t>WTSA 2016</w:t>
      </w:r>
      <w:r w:rsidR="00332A8A">
        <w:rPr>
          <w:rFonts w:hint="eastAsia"/>
          <w:lang w:val="en-CA" w:eastAsia="zh-CN"/>
        </w:rPr>
        <w:t>的</w:t>
      </w:r>
      <w:r w:rsidR="00332A8A">
        <w:rPr>
          <w:lang w:val="en-CA" w:eastAsia="zh-CN"/>
        </w:rPr>
        <w:t>报告。目前</w:t>
      </w:r>
      <w:r>
        <w:rPr>
          <w:rFonts w:hint="eastAsia"/>
          <w:iCs/>
          <w:lang w:eastAsia="zh-CN"/>
        </w:rPr>
        <w:t>审查</w:t>
      </w:r>
      <w:r>
        <w:rPr>
          <w:iCs/>
          <w:lang w:eastAsia="zh-CN"/>
        </w:rPr>
        <w:t>委员会的职能将在</w:t>
      </w:r>
      <w:r>
        <w:rPr>
          <w:iCs/>
          <w:lang w:eastAsia="zh-CN"/>
        </w:rPr>
        <w:t>TSAG</w:t>
      </w:r>
      <w:r>
        <w:rPr>
          <w:iCs/>
          <w:lang w:eastAsia="zh-CN"/>
        </w:rPr>
        <w:t>范畴内通过不同的报告人组（</w:t>
      </w:r>
      <w:r>
        <w:rPr>
          <w:rFonts w:hint="eastAsia"/>
          <w:iCs/>
          <w:lang w:eastAsia="zh-CN"/>
        </w:rPr>
        <w:t>如</w:t>
      </w:r>
      <w:r>
        <w:rPr>
          <w:iCs/>
          <w:lang w:eastAsia="zh-CN"/>
        </w:rPr>
        <w:t>标准化战略、加强协作和工作方法</w:t>
      </w:r>
      <w:r w:rsidR="00332A8A">
        <w:rPr>
          <w:rFonts w:hint="eastAsia"/>
          <w:iCs/>
          <w:lang w:eastAsia="zh-CN"/>
        </w:rPr>
        <w:t>报告人组</w:t>
      </w:r>
      <w:r>
        <w:rPr>
          <w:iCs/>
          <w:lang w:eastAsia="zh-CN"/>
        </w:rPr>
        <w:t>）</w:t>
      </w:r>
      <w:r>
        <w:rPr>
          <w:rFonts w:hint="eastAsia"/>
          <w:iCs/>
          <w:lang w:eastAsia="zh-CN"/>
        </w:rPr>
        <w:t>予以</w:t>
      </w:r>
      <w:r>
        <w:rPr>
          <w:iCs/>
          <w:lang w:eastAsia="zh-CN"/>
        </w:rPr>
        <w:t>实现</w:t>
      </w:r>
      <w:r w:rsidR="00332A8A">
        <w:rPr>
          <w:rFonts w:hint="eastAsia"/>
          <w:iCs/>
          <w:lang w:eastAsia="zh-CN"/>
        </w:rPr>
        <w:t>，</w:t>
      </w:r>
      <w:r w:rsidR="00332A8A">
        <w:rPr>
          <w:iCs/>
          <w:lang w:eastAsia="zh-CN"/>
        </w:rPr>
        <w:t>因此下一研究期不再需要该审查</w:t>
      </w:r>
      <w:r w:rsidR="00332A8A">
        <w:rPr>
          <w:rFonts w:hint="eastAsia"/>
          <w:iCs/>
          <w:lang w:eastAsia="zh-CN"/>
        </w:rPr>
        <w:t>委员会</w:t>
      </w:r>
      <w:r>
        <w:rPr>
          <w:iCs/>
          <w:lang w:eastAsia="zh-CN"/>
        </w:rPr>
        <w:t>。</w:t>
      </w:r>
      <w:r w:rsidR="00332A8A">
        <w:rPr>
          <w:rFonts w:hint="eastAsia"/>
          <w:iCs/>
          <w:lang w:eastAsia="zh-CN"/>
        </w:rPr>
        <w:t>对</w:t>
      </w:r>
      <w:r w:rsidR="00332A8A">
        <w:rPr>
          <w:iCs/>
          <w:lang w:eastAsia="zh-CN"/>
        </w:rPr>
        <w:t>审查委员会主席</w:t>
      </w:r>
      <w:r w:rsidR="00332A8A" w:rsidRPr="00EB2328">
        <w:rPr>
          <w:lang w:val="en-CA" w:eastAsia="zh-CN"/>
        </w:rPr>
        <w:t>Maeda</w:t>
      </w:r>
      <w:r w:rsidR="00332A8A">
        <w:rPr>
          <w:rFonts w:hint="eastAsia"/>
          <w:lang w:val="en-CA" w:eastAsia="zh-CN"/>
        </w:rPr>
        <w:t>先生</w:t>
      </w:r>
      <w:r w:rsidR="00332A8A">
        <w:rPr>
          <w:lang w:val="en-CA" w:eastAsia="zh-CN"/>
        </w:rPr>
        <w:t>及其</w:t>
      </w:r>
      <w:r w:rsidR="00462452">
        <w:rPr>
          <w:rFonts w:hint="eastAsia"/>
          <w:lang w:val="en-CA" w:eastAsia="zh-CN"/>
        </w:rPr>
        <w:t>他</w:t>
      </w:r>
      <w:r w:rsidR="00332A8A">
        <w:rPr>
          <w:lang w:val="en-CA" w:eastAsia="zh-CN"/>
        </w:rPr>
        <w:t>所有委员会管理班子成员在过去四年的极大努力和兢兢业业的工作表示感谢。</w:t>
      </w:r>
    </w:p>
    <w:p w:rsidR="00846803" w:rsidRPr="00EB2328" w:rsidRDefault="00332A8A" w:rsidP="00846803">
      <w:pPr>
        <w:pStyle w:val="Headingb"/>
        <w:rPr>
          <w:lang w:eastAsia="zh-CN"/>
        </w:rPr>
      </w:pPr>
      <w:r>
        <w:rPr>
          <w:rFonts w:hint="eastAsia"/>
          <w:lang w:eastAsia="zh-CN"/>
        </w:rPr>
        <w:t>提案</w:t>
      </w:r>
    </w:p>
    <w:p w:rsidR="00846803" w:rsidRPr="00EB2328" w:rsidRDefault="00332A8A" w:rsidP="00332A8A">
      <w:pPr>
        <w:ind w:firstLineChars="200" w:firstLine="480"/>
        <w:rPr>
          <w:lang w:val="en-CA" w:eastAsia="zh-CN"/>
        </w:rPr>
      </w:pPr>
      <w:r>
        <w:rPr>
          <w:rFonts w:hint="eastAsia"/>
          <w:lang w:val="en-CA" w:eastAsia="zh-CN"/>
        </w:rPr>
        <w:t>应</w:t>
      </w:r>
      <w:r>
        <w:rPr>
          <w:lang w:val="en-CA" w:eastAsia="zh-CN"/>
        </w:rPr>
        <w:t>删除第</w:t>
      </w:r>
      <w:r>
        <w:rPr>
          <w:rFonts w:hint="eastAsia"/>
          <w:lang w:val="en-CA" w:eastAsia="zh-CN"/>
        </w:rPr>
        <w:t>82</w:t>
      </w:r>
      <w:r>
        <w:rPr>
          <w:rFonts w:hint="eastAsia"/>
          <w:lang w:val="en-CA" w:eastAsia="zh-CN"/>
        </w:rPr>
        <w:t>号</w:t>
      </w:r>
      <w:r>
        <w:rPr>
          <w:lang w:val="en-CA" w:eastAsia="zh-CN"/>
        </w:rPr>
        <w:t>决议。</w:t>
      </w:r>
    </w:p>
    <w:p w:rsidR="00846803" w:rsidRPr="00846803" w:rsidRDefault="00846803" w:rsidP="006F409E">
      <w:pPr>
        <w:rPr>
          <w:lang w:val="en-CA"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0" w:name="_GoBack"/>
      <w:bookmarkEnd w:id="0"/>
    </w:p>
    <w:p w:rsidR="003F548E" w:rsidRDefault="008634E1">
      <w:pPr>
        <w:pStyle w:val="Proposal"/>
        <w:rPr>
          <w:lang w:eastAsia="zh-CN"/>
        </w:rPr>
      </w:pPr>
      <w:r>
        <w:rPr>
          <w:lang w:eastAsia="zh-CN"/>
        </w:rPr>
        <w:lastRenderedPageBreak/>
        <w:t>SUP</w:t>
      </w:r>
      <w:r>
        <w:rPr>
          <w:lang w:eastAsia="zh-CN"/>
        </w:rPr>
        <w:tab/>
        <w:t>IAP/46A1/1</w:t>
      </w:r>
    </w:p>
    <w:p w:rsidR="002F3272" w:rsidRPr="004E322F" w:rsidRDefault="008634E1" w:rsidP="002F3272">
      <w:pPr>
        <w:pStyle w:val="ResNo"/>
        <w:rPr>
          <w:lang w:eastAsia="zh-CN"/>
        </w:rPr>
      </w:pPr>
      <w:bookmarkStart w:id="1" w:name="_Toc348252520"/>
      <w:r w:rsidRPr="00C52866">
        <w:rPr>
          <w:rStyle w:val="href"/>
          <w:rFonts w:hint="eastAsia"/>
        </w:rPr>
        <w:t>第</w:t>
      </w:r>
      <w:r w:rsidRPr="00C52866">
        <w:rPr>
          <w:rStyle w:val="href"/>
          <w:rFonts w:hint="eastAsia"/>
        </w:rPr>
        <w:t>82</w:t>
      </w:r>
      <w:r w:rsidRPr="00C52866">
        <w:rPr>
          <w:rStyle w:val="href"/>
          <w:rFonts w:hint="eastAsia"/>
        </w:rPr>
        <w:t>号决议</w:t>
      </w:r>
      <w:r>
        <w:rPr>
          <w:rFonts w:hint="eastAsia"/>
          <w:lang w:eastAsia="zh-CN"/>
        </w:rPr>
        <w:t>（</w:t>
      </w:r>
      <w:r>
        <w:rPr>
          <w:rFonts w:hint="eastAsia"/>
          <w:lang w:eastAsia="zh-CN"/>
        </w:rPr>
        <w:t>2012</w:t>
      </w:r>
      <w:r>
        <w:rPr>
          <w:rFonts w:hint="eastAsia"/>
          <w:lang w:eastAsia="zh-CN"/>
        </w:rPr>
        <w:t>年，迪拜）</w:t>
      </w:r>
      <w:bookmarkEnd w:id="1"/>
    </w:p>
    <w:p w:rsidR="002F3272" w:rsidRPr="00C445B8" w:rsidRDefault="008634E1" w:rsidP="002F3272">
      <w:pPr>
        <w:pStyle w:val="Restitle"/>
        <w:rPr>
          <w:lang w:eastAsia="zh-CN"/>
        </w:rPr>
      </w:pPr>
      <w:bookmarkStart w:id="2" w:name="_Toc348252521"/>
      <w:r>
        <w:rPr>
          <w:rFonts w:hint="eastAsia"/>
          <w:lang w:eastAsia="zh-CN"/>
        </w:rPr>
        <w:t>国际电联电信标准化部门</w:t>
      </w:r>
      <w:r w:rsidRPr="00C445B8">
        <w:rPr>
          <w:rFonts w:hint="eastAsia"/>
          <w:lang w:eastAsia="zh-CN"/>
        </w:rPr>
        <w:t>的</w:t>
      </w:r>
      <w:r>
        <w:rPr>
          <w:lang w:eastAsia="zh-CN"/>
        </w:rPr>
        <w:br/>
      </w:r>
      <w:r w:rsidRPr="00C445B8">
        <w:rPr>
          <w:rFonts w:hint="eastAsia"/>
          <w:lang w:eastAsia="zh-CN"/>
        </w:rPr>
        <w:t>战略和结构</w:t>
      </w:r>
      <w:r>
        <w:rPr>
          <w:rFonts w:hint="eastAsia"/>
          <w:lang w:eastAsia="zh-CN"/>
        </w:rPr>
        <w:t>审查</w:t>
      </w:r>
      <w:bookmarkEnd w:id="2"/>
    </w:p>
    <w:p w:rsidR="002F3272" w:rsidRPr="00E0525F" w:rsidRDefault="008634E1" w:rsidP="002F3272">
      <w:pPr>
        <w:pStyle w:val="Resref"/>
        <w:rPr>
          <w:szCs w:val="22"/>
          <w:lang w:eastAsia="zh-CN"/>
        </w:rPr>
      </w:pPr>
      <w:r w:rsidRPr="00E0525F">
        <w:rPr>
          <w:szCs w:val="22"/>
          <w:lang w:eastAsia="zh-CN"/>
        </w:rPr>
        <w:t>（</w:t>
      </w:r>
      <w:r w:rsidRPr="00E0525F">
        <w:rPr>
          <w:szCs w:val="22"/>
          <w:lang w:eastAsia="zh-CN"/>
        </w:rPr>
        <w:t>2012</w:t>
      </w:r>
      <w:r w:rsidRPr="00E0525F">
        <w:rPr>
          <w:szCs w:val="22"/>
          <w:lang w:eastAsia="zh-CN"/>
        </w:rPr>
        <w:t>年，迪拜）</w:t>
      </w:r>
    </w:p>
    <w:p w:rsidR="002F3272" w:rsidRPr="004E322F" w:rsidRDefault="008634E1" w:rsidP="002F3272">
      <w:pPr>
        <w:pStyle w:val="Normalaftertitle0"/>
        <w:rPr>
          <w:lang w:eastAsia="zh-CN"/>
        </w:rPr>
      </w:pPr>
      <w:r>
        <w:rPr>
          <w:rFonts w:hint="eastAsia"/>
          <w:lang w:eastAsia="zh-CN"/>
        </w:rPr>
        <w:t>世界电信标准化全会（</w:t>
      </w:r>
      <w:r>
        <w:rPr>
          <w:lang w:eastAsia="zh-CN"/>
        </w:rPr>
        <w:t>2012</w:t>
      </w:r>
      <w:r>
        <w:rPr>
          <w:rFonts w:hint="eastAsia"/>
          <w:lang w:eastAsia="zh-CN"/>
        </w:rPr>
        <w:t>年，迪拜），</w:t>
      </w:r>
    </w:p>
    <w:p w:rsidR="003F548E" w:rsidRDefault="008634E1" w:rsidP="00332A8A">
      <w:pPr>
        <w:pStyle w:val="Reasons"/>
        <w:rPr>
          <w:lang w:eastAsia="zh-CN"/>
        </w:rPr>
      </w:pPr>
      <w:r>
        <w:rPr>
          <w:b/>
          <w:lang w:eastAsia="zh-CN"/>
        </w:rPr>
        <w:t>理由：</w:t>
      </w:r>
      <w:r>
        <w:rPr>
          <w:lang w:eastAsia="zh-CN"/>
        </w:rPr>
        <w:tab/>
      </w:r>
      <w:r w:rsidR="00332A8A">
        <w:rPr>
          <w:rFonts w:hint="eastAsia"/>
          <w:lang w:eastAsia="zh-CN"/>
        </w:rPr>
        <w:t>见</w:t>
      </w:r>
      <w:r w:rsidR="00332A8A">
        <w:rPr>
          <w:lang w:eastAsia="zh-CN"/>
        </w:rPr>
        <w:t>46</w:t>
      </w:r>
      <w:r w:rsidR="00846803">
        <w:rPr>
          <w:lang w:eastAsia="zh-CN"/>
        </w:rPr>
        <w:t>(Add.</w:t>
      </w:r>
      <w:r w:rsidR="00846803" w:rsidRPr="00EB2328">
        <w:rPr>
          <w:lang w:eastAsia="zh-CN"/>
        </w:rPr>
        <w:t>1)</w:t>
      </w:r>
      <w:r w:rsidR="00332A8A">
        <w:rPr>
          <w:rFonts w:hint="eastAsia"/>
          <w:lang w:eastAsia="zh-CN"/>
        </w:rPr>
        <w:t>号</w:t>
      </w:r>
      <w:r w:rsidR="00332A8A">
        <w:rPr>
          <w:lang w:eastAsia="zh-CN"/>
        </w:rPr>
        <w:t>文件的引言和提案部分。</w:t>
      </w:r>
    </w:p>
    <w:p w:rsidR="005957EF" w:rsidRDefault="005957EF" w:rsidP="0032202E">
      <w:pPr>
        <w:pStyle w:val="Reasons"/>
        <w:rPr>
          <w:lang w:eastAsia="zh-CN"/>
        </w:rPr>
      </w:pPr>
    </w:p>
    <w:p w:rsidR="005957EF" w:rsidRDefault="005957EF">
      <w:pPr>
        <w:jc w:val="center"/>
        <w:rPr>
          <w:lang w:eastAsia="zh-CN"/>
        </w:rPr>
      </w:pPr>
    </w:p>
    <w:p w:rsidR="005957EF" w:rsidRDefault="005957EF">
      <w:pPr>
        <w:jc w:val="center"/>
        <w:rPr>
          <w:lang w:eastAsia="zh-CN"/>
        </w:rPr>
      </w:pPr>
    </w:p>
    <w:p w:rsidR="005957EF" w:rsidRDefault="005957EF">
      <w:pPr>
        <w:jc w:val="center"/>
      </w:pPr>
      <w:r>
        <w:t>______________</w:t>
      </w:r>
    </w:p>
    <w:sectPr w:rsidR="005957EF">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634E1" w:rsidRDefault="0081459C" w:rsidP="00D6275B">
    <w:pPr>
      <w:pStyle w:val="Footer"/>
      <w:rPr>
        <w:lang w:val="fr-CH"/>
      </w:rPr>
    </w:pPr>
    <w:r>
      <w:fldChar w:fldCharType="begin"/>
    </w:r>
    <w:r w:rsidRPr="0081459C">
      <w:rPr>
        <w:lang w:val="fr-CH"/>
      </w:rPr>
      <w:instrText xml:space="preserve"> FILENAME \p  \* MERGEFORMAT </w:instrText>
    </w:r>
    <w:r>
      <w:fldChar w:fldCharType="separate"/>
    </w:r>
    <w:r w:rsidRPr="0081459C">
      <w:rPr>
        <w:lang w:val="fr-CH"/>
      </w:rPr>
      <w:t>P:\CHI\ITU-T\CONF-T\WTSA16\000\046ADD01C.docx</w:t>
    </w:r>
    <w:r>
      <w:fldChar w:fldCharType="end"/>
    </w:r>
    <w:r w:rsidRPr="0081459C">
      <w:rPr>
        <w:lang w:val="fr-CH"/>
      </w:rPr>
      <w:t xml:space="preserve"> (</w:t>
    </w:r>
    <w:r>
      <w:rPr>
        <w:lang w:val="fr-CH"/>
      </w:rPr>
      <w:t>405034</w:t>
    </w:r>
    <w:r w:rsidRPr="0081459C">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81459C" w:rsidRDefault="0081459C" w:rsidP="00D6275B">
    <w:pPr>
      <w:pStyle w:val="Footer"/>
      <w:rPr>
        <w:lang w:val="fr-CH"/>
      </w:rPr>
    </w:pPr>
    <w:r>
      <w:fldChar w:fldCharType="begin"/>
    </w:r>
    <w:r w:rsidRPr="0081459C">
      <w:rPr>
        <w:lang w:val="fr-CH"/>
      </w:rPr>
      <w:instrText xml:space="preserve"> FILENAME \p  \* MERGEFORMAT </w:instrText>
    </w:r>
    <w:r>
      <w:fldChar w:fldCharType="separate"/>
    </w:r>
    <w:r w:rsidRPr="0081459C">
      <w:rPr>
        <w:lang w:val="fr-CH"/>
      </w:rPr>
      <w:t>P:\CHI\ITU-T\CONF-T\WTSA16\000\046ADD01C.docx</w:t>
    </w:r>
    <w:r>
      <w:fldChar w:fldCharType="end"/>
    </w:r>
    <w:r w:rsidRPr="0081459C">
      <w:rPr>
        <w:lang w:val="fr-CH"/>
      </w:rPr>
      <w:t xml:space="preserve"> (</w:t>
    </w:r>
    <w:r>
      <w:rPr>
        <w:lang w:val="fr-CH"/>
      </w:rPr>
      <w:t>405034</w:t>
    </w:r>
    <w:r w:rsidRPr="0081459C">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6275B">
      <w:rPr>
        <w:rStyle w:val="PageNumber"/>
        <w:noProof/>
      </w:rPr>
      <w:t>2</w:t>
    </w:r>
    <w:r>
      <w:rPr>
        <w:rStyle w:val="PageNumber"/>
      </w:rPr>
      <w:fldChar w:fldCharType="end"/>
    </w:r>
  </w:p>
  <w:p w:rsidR="00B851D4" w:rsidRPr="000A3B30" w:rsidRDefault="00502B2E" w:rsidP="000A3B30">
    <w:pPr>
      <w:pStyle w:val="Header"/>
      <w:rPr>
        <w:lang w:val="en-US"/>
      </w:rPr>
    </w:pPr>
    <w:r>
      <w:t>WTSA16/46(Add.1)-C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8063B"/>
    <w:rsid w:val="002A4C9C"/>
    <w:rsid w:val="002B509B"/>
    <w:rsid w:val="002D162B"/>
    <w:rsid w:val="002D625E"/>
    <w:rsid w:val="002E2A59"/>
    <w:rsid w:val="00305254"/>
    <w:rsid w:val="003169D2"/>
    <w:rsid w:val="00332A8A"/>
    <w:rsid w:val="003468CA"/>
    <w:rsid w:val="003556C0"/>
    <w:rsid w:val="00372FC2"/>
    <w:rsid w:val="003A69EA"/>
    <w:rsid w:val="003B4BEF"/>
    <w:rsid w:val="003C6B45"/>
    <w:rsid w:val="003F0C01"/>
    <w:rsid w:val="003F548E"/>
    <w:rsid w:val="00400909"/>
    <w:rsid w:val="0041282E"/>
    <w:rsid w:val="00437869"/>
    <w:rsid w:val="00462452"/>
    <w:rsid w:val="00465A34"/>
    <w:rsid w:val="004C4554"/>
    <w:rsid w:val="004D04A4"/>
    <w:rsid w:val="004D2DEC"/>
    <w:rsid w:val="004F2BE6"/>
    <w:rsid w:val="00502B2E"/>
    <w:rsid w:val="00524E4B"/>
    <w:rsid w:val="00527E8A"/>
    <w:rsid w:val="00534930"/>
    <w:rsid w:val="00536193"/>
    <w:rsid w:val="00542E85"/>
    <w:rsid w:val="00550570"/>
    <w:rsid w:val="00562479"/>
    <w:rsid w:val="00576849"/>
    <w:rsid w:val="00592363"/>
    <w:rsid w:val="005957EF"/>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F0FC5"/>
    <w:rsid w:val="007F1339"/>
    <w:rsid w:val="007F5C36"/>
    <w:rsid w:val="008047DB"/>
    <w:rsid w:val="008129A9"/>
    <w:rsid w:val="0081459C"/>
    <w:rsid w:val="00820712"/>
    <w:rsid w:val="008221A4"/>
    <w:rsid w:val="0082361D"/>
    <w:rsid w:val="00824BD6"/>
    <w:rsid w:val="0083672D"/>
    <w:rsid w:val="00844734"/>
    <w:rsid w:val="00846803"/>
    <w:rsid w:val="00857FA1"/>
    <w:rsid w:val="008634E1"/>
    <w:rsid w:val="00865DFB"/>
    <w:rsid w:val="008A7416"/>
    <w:rsid w:val="008B6852"/>
    <w:rsid w:val="008C26FF"/>
    <w:rsid w:val="008D1D14"/>
    <w:rsid w:val="008E1785"/>
    <w:rsid w:val="008E7127"/>
    <w:rsid w:val="008E7C8E"/>
    <w:rsid w:val="00912959"/>
    <w:rsid w:val="0092075B"/>
    <w:rsid w:val="009657F9"/>
    <w:rsid w:val="009759FE"/>
    <w:rsid w:val="0099525B"/>
    <w:rsid w:val="009C72B7"/>
    <w:rsid w:val="009D164C"/>
    <w:rsid w:val="00A0052C"/>
    <w:rsid w:val="00A06370"/>
    <w:rsid w:val="00A16B3A"/>
    <w:rsid w:val="00A31B14"/>
    <w:rsid w:val="00A323DC"/>
    <w:rsid w:val="00A815BE"/>
    <w:rsid w:val="00AA5DA1"/>
    <w:rsid w:val="00AB7F81"/>
    <w:rsid w:val="00AE369F"/>
    <w:rsid w:val="00B026CB"/>
    <w:rsid w:val="00B637AD"/>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61C5"/>
    <w:rsid w:val="00D52A14"/>
    <w:rsid w:val="00D6275B"/>
    <w:rsid w:val="00D74599"/>
    <w:rsid w:val="00D90575"/>
    <w:rsid w:val="00DA0469"/>
    <w:rsid w:val="00DD13B7"/>
    <w:rsid w:val="00DF3B0C"/>
    <w:rsid w:val="00E148F2"/>
    <w:rsid w:val="00E14984"/>
    <w:rsid w:val="00E22A25"/>
    <w:rsid w:val="00E2414B"/>
    <w:rsid w:val="00E249E0"/>
    <w:rsid w:val="00E4252D"/>
    <w:rsid w:val="00E560F1"/>
    <w:rsid w:val="00E9167E"/>
    <w:rsid w:val="00E92319"/>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E907DFB9CC43FC99369C4A157184A1"/>
        <w:category>
          <w:name w:val="General"/>
          <w:gallery w:val="placeholder"/>
        </w:category>
        <w:types>
          <w:type w:val="bbPlcHdr"/>
        </w:types>
        <w:behaviors>
          <w:behavior w:val="content"/>
        </w:behaviors>
        <w:guid w:val="{5113E6E9-46CA-4EB6-9ABF-7F5A157A506E}"/>
      </w:docPartPr>
      <w:docPartBody>
        <w:p w:rsidR="00FE00B3" w:rsidRDefault="0058055D" w:rsidP="0058055D">
          <w:pPr>
            <w:pStyle w:val="CBE907DFB9CC43FC99369C4A157184A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58055D"/>
    <w:rsid w:val="00635868"/>
    <w:rsid w:val="0069764D"/>
    <w:rsid w:val="00715632"/>
    <w:rsid w:val="00750CCB"/>
    <w:rsid w:val="00A84AF3"/>
    <w:rsid w:val="00A92CE8"/>
    <w:rsid w:val="00D92B8A"/>
    <w:rsid w:val="00E24278"/>
    <w:rsid w:val="00FE0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55D"/>
    <w:rPr>
      <w:color w:val="808080"/>
    </w:rPr>
  </w:style>
  <w:style w:type="paragraph" w:customStyle="1" w:styleId="D6F4CC86FB0D4519B33A4152A00EAE9F">
    <w:name w:val="D6F4CC86FB0D4519B33A4152A00EAE9F"/>
    <w:rsid w:val="00071B55"/>
  </w:style>
  <w:style w:type="paragraph" w:customStyle="1" w:styleId="CBE907DFB9CC43FC99369C4A157184A1">
    <w:name w:val="CBE907DFB9CC43FC99369C4A157184A1"/>
    <w:rsid w:val="00580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0efd81b-7a1c-424c-80f0-f68b94b6df99" targetNamespace="http://schemas.microsoft.com/office/2006/metadata/properties" ma:root="true" ma:fieldsID="d41af5c836d734370eb92e7ee5f83852" ns2:_="" ns3:_="">
    <xsd:import namespace="996b2e75-67fd-4955-a3b0-5ab9934cb50b"/>
    <xsd:import namespace="b0efd81b-7a1c-424c-80f0-f68b94b6df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0efd81b-7a1c-424c-80f0-f68b94b6df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0efd81b-7a1c-424c-80f0-f68b94b6df99">Documents Proposals Manager (DPM)</DPM_x0020_Author>
    <DPM_x0020_File_x0020_name xmlns="b0efd81b-7a1c-424c-80f0-f68b94b6df99">T13-WTSA.16-C-0046!A1!MSW-C</DPM_x0020_File_x0020_name>
    <DPM_x0020_Version xmlns="b0efd81b-7a1c-424c-80f0-f68b94b6df99">DPM_v2016.9.21.2_prod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0efd81b-7a1c-424c-80f0-f68b94b6d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b0efd81b-7a1c-424c-80f0-f68b94b6df99"/>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390</Words>
  <Characters>182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T13-WTSA.16-C-0046!A1!MSW-C</vt:lpstr>
    </vt:vector>
  </TitlesOfParts>
  <Manager>General Secretariat - Pool</Manager>
  <Company>International Telecommunication Union (ITU)</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T13-WTSA.16-C-0046!A1!MSW-C</dc:title>
  <dc:subject>World Telecommunication Standardization Assembly</dc:subject>
  <dc:creator>Documents Proposals Manager (DPM)</dc:creator>
  <cp:keywords>DPM_v2016.9.21.2_prod</cp:keywords>
  <dc:description>Template used by DPM and CPI for the WTSA-16</dc:description>
  <cp:lastModifiedBy>Zheng, Bingyue</cp:lastModifiedBy>
  <cp:revision>7</cp:revision>
  <cp:lastPrinted>2016-06-07T13:24:00Z</cp:lastPrinted>
  <dcterms:created xsi:type="dcterms:W3CDTF">2016-09-22T12:45:00Z</dcterms:created>
  <dcterms:modified xsi:type="dcterms:W3CDTF">2016-09-29T15:36:00Z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