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DE2EB9" w:rsidTr="008508D8">
        <w:trPr>
          <w:cantSplit/>
        </w:trPr>
        <w:tc>
          <w:tcPr>
            <w:tcW w:w="1357" w:type="dxa"/>
            <w:vAlign w:val="center"/>
          </w:tcPr>
          <w:p w:rsidR="00BC7D84" w:rsidRPr="00DE2EB9" w:rsidRDefault="00BC7D84" w:rsidP="008508D8">
            <w:pPr>
              <w:pStyle w:val="TopHeader"/>
              <w:rPr>
                <w:sz w:val="22"/>
                <w:szCs w:val="22"/>
              </w:rPr>
            </w:pPr>
            <w:r w:rsidRPr="00DE2EB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DE2EB9" w:rsidRDefault="00BC7D84" w:rsidP="00D33F50">
            <w:pPr>
              <w:pStyle w:val="TopHeader"/>
              <w:rPr>
                <w:sz w:val="22"/>
                <w:szCs w:val="22"/>
              </w:rPr>
            </w:pPr>
            <w:r w:rsidRPr="00DE2EB9">
              <w:t>World Telecommunication Standardization Assembly (WTSA-16)</w:t>
            </w:r>
            <w:r w:rsidRPr="00DE2EB9">
              <w:br/>
            </w:r>
            <w:bookmarkStart w:id="0" w:name="_GoBack"/>
            <w:bookmarkEnd w:id="0"/>
            <w:proofErr w:type="spellStart"/>
            <w:r w:rsidRPr="00DE2EB9">
              <w:rPr>
                <w:sz w:val="20"/>
                <w:szCs w:val="20"/>
              </w:rPr>
              <w:t>Hammamet</w:t>
            </w:r>
            <w:proofErr w:type="spellEnd"/>
            <w:r w:rsidRPr="00DE2EB9">
              <w:rPr>
                <w:sz w:val="20"/>
                <w:szCs w:val="20"/>
              </w:rPr>
              <w:t>, 25 October - 3 November 2016</w:t>
            </w:r>
          </w:p>
        </w:tc>
        <w:tc>
          <w:tcPr>
            <w:tcW w:w="1804" w:type="dxa"/>
            <w:vAlign w:val="center"/>
          </w:tcPr>
          <w:p w:rsidR="00BC7D84" w:rsidRPr="00DE2EB9" w:rsidRDefault="00BC7D84" w:rsidP="008508D8">
            <w:pPr>
              <w:jc w:val="right"/>
            </w:pPr>
            <w:r w:rsidRPr="00DE2EB9">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DE2EB9" w:rsidTr="008508D8">
        <w:trPr>
          <w:cantSplit/>
        </w:trPr>
        <w:tc>
          <w:tcPr>
            <w:tcW w:w="6617" w:type="dxa"/>
            <w:gridSpan w:val="2"/>
            <w:tcBorders>
              <w:bottom w:val="single" w:sz="12" w:space="0" w:color="auto"/>
            </w:tcBorders>
          </w:tcPr>
          <w:p w:rsidR="00BC7D84" w:rsidRPr="00DE2EB9" w:rsidRDefault="00BC7D84" w:rsidP="008508D8">
            <w:pPr>
              <w:pStyle w:val="TopHeader"/>
              <w:spacing w:before="60"/>
              <w:rPr>
                <w:sz w:val="20"/>
                <w:szCs w:val="20"/>
              </w:rPr>
            </w:pPr>
          </w:p>
        </w:tc>
        <w:tc>
          <w:tcPr>
            <w:tcW w:w="3194" w:type="dxa"/>
            <w:gridSpan w:val="2"/>
            <w:tcBorders>
              <w:bottom w:val="single" w:sz="12" w:space="0" w:color="auto"/>
            </w:tcBorders>
          </w:tcPr>
          <w:p w:rsidR="00BC7D84" w:rsidRPr="00DE2EB9" w:rsidRDefault="00BC7D84" w:rsidP="008508D8">
            <w:pPr>
              <w:spacing w:before="0"/>
              <w:rPr>
                <w:sz w:val="20"/>
              </w:rPr>
            </w:pPr>
          </w:p>
        </w:tc>
      </w:tr>
      <w:tr w:rsidR="00BC7D84" w:rsidRPr="00DE2EB9" w:rsidTr="008508D8">
        <w:trPr>
          <w:cantSplit/>
        </w:trPr>
        <w:tc>
          <w:tcPr>
            <w:tcW w:w="6617" w:type="dxa"/>
            <w:gridSpan w:val="2"/>
            <w:tcBorders>
              <w:top w:val="single" w:sz="12" w:space="0" w:color="auto"/>
            </w:tcBorders>
          </w:tcPr>
          <w:p w:rsidR="00BC7D84" w:rsidRPr="00DE2EB9" w:rsidRDefault="00BC7D84" w:rsidP="008508D8">
            <w:pPr>
              <w:spacing w:before="0"/>
              <w:rPr>
                <w:sz w:val="20"/>
              </w:rPr>
            </w:pPr>
          </w:p>
        </w:tc>
        <w:tc>
          <w:tcPr>
            <w:tcW w:w="3194" w:type="dxa"/>
            <w:gridSpan w:val="2"/>
          </w:tcPr>
          <w:p w:rsidR="00BC7D84" w:rsidRPr="00DE2EB9" w:rsidRDefault="00BC7D84" w:rsidP="008508D8">
            <w:pPr>
              <w:spacing w:before="0"/>
              <w:rPr>
                <w:rFonts w:ascii="Verdana" w:hAnsi="Verdana"/>
                <w:b/>
                <w:bCs/>
                <w:sz w:val="20"/>
              </w:rPr>
            </w:pPr>
          </w:p>
        </w:tc>
      </w:tr>
      <w:tr w:rsidR="009E6E14" w:rsidRPr="00DE2EB9" w:rsidTr="008508D8">
        <w:trPr>
          <w:cantSplit/>
        </w:trPr>
        <w:tc>
          <w:tcPr>
            <w:tcW w:w="6617" w:type="dxa"/>
            <w:gridSpan w:val="2"/>
          </w:tcPr>
          <w:p w:rsidR="009E6E14" w:rsidRPr="00DE2EB9" w:rsidRDefault="009E6E14" w:rsidP="009E6E14">
            <w:pPr>
              <w:pStyle w:val="Committee"/>
            </w:pPr>
            <w:r w:rsidRPr="00DE2EB9">
              <w:t>PLENARY MEETING</w:t>
            </w:r>
          </w:p>
        </w:tc>
        <w:tc>
          <w:tcPr>
            <w:tcW w:w="3194" w:type="dxa"/>
            <w:gridSpan w:val="2"/>
          </w:tcPr>
          <w:p w:rsidR="009E6E14" w:rsidRPr="003251EA" w:rsidRDefault="009E6E14" w:rsidP="009E6E14">
            <w:pPr>
              <w:pStyle w:val="Docnumber"/>
              <w:ind w:left="-57"/>
            </w:pPr>
            <w:r>
              <w:t>Addendum 7 to</w:t>
            </w:r>
            <w:r>
              <w:br/>
              <w:t>Document 45</w:t>
            </w:r>
            <w:r w:rsidRPr="0056747D">
              <w:t>-</w:t>
            </w:r>
            <w:r w:rsidRPr="003251EA">
              <w:t>E</w:t>
            </w:r>
          </w:p>
        </w:tc>
      </w:tr>
      <w:tr w:rsidR="009E6E14" w:rsidRPr="00DE2EB9" w:rsidTr="008508D8">
        <w:trPr>
          <w:cantSplit/>
        </w:trPr>
        <w:tc>
          <w:tcPr>
            <w:tcW w:w="6617" w:type="dxa"/>
            <w:gridSpan w:val="2"/>
          </w:tcPr>
          <w:p w:rsidR="009E6E14" w:rsidRPr="00DE2EB9" w:rsidRDefault="009E6E14" w:rsidP="009E6E14">
            <w:pPr>
              <w:spacing w:before="0"/>
              <w:rPr>
                <w:sz w:val="20"/>
              </w:rPr>
            </w:pPr>
          </w:p>
        </w:tc>
        <w:tc>
          <w:tcPr>
            <w:tcW w:w="3194" w:type="dxa"/>
            <w:gridSpan w:val="2"/>
          </w:tcPr>
          <w:p w:rsidR="009E6E14" w:rsidRPr="003251EA" w:rsidRDefault="009E6E14" w:rsidP="009E6E14">
            <w:pPr>
              <w:pStyle w:val="Docnumber"/>
              <w:ind w:left="-57"/>
            </w:pPr>
            <w:r w:rsidRPr="003251EA">
              <w:t>26 September 2016</w:t>
            </w:r>
          </w:p>
        </w:tc>
      </w:tr>
      <w:tr w:rsidR="009E6E14" w:rsidRPr="00DE2EB9" w:rsidTr="008508D8">
        <w:trPr>
          <w:cantSplit/>
        </w:trPr>
        <w:tc>
          <w:tcPr>
            <w:tcW w:w="6617" w:type="dxa"/>
            <w:gridSpan w:val="2"/>
          </w:tcPr>
          <w:p w:rsidR="009E6E14" w:rsidRPr="00DE2EB9" w:rsidRDefault="009E6E14" w:rsidP="009E6E14">
            <w:pPr>
              <w:spacing w:before="0"/>
              <w:rPr>
                <w:sz w:val="20"/>
              </w:rPr>
            </w:pPr>
          </w:p>
        </w:tc>
        <w:tc>
          <w:tcPr>
            <w:tcW w:w="3194" w:type="dxa"/>
            <w:gridSpan w:val="2"/>
          </w:tcPr>
          <w:p w:rsidR="009E6E14" w:rsidRPr="003251EA" w:rsidRDefault="009E6E14" w:rsidP="009E6E14">
            <w:pPr>
              <w:pStyle w:val="Docnumber"/>
              <w:ind w:left="-57"/>
            </w:pPr>
            <w:r w:rsidRPr="003251EA">
              <w:t>Original: English</w:t>
            </w:r>
          </w:p>
        </w:tc>
      </w:tr>
      <w:tr w:rsidR="00BC7D84" w:rsidRPr="00DE2EB9" w:rsidTr="008508D8">
        <w:trPr>
          <w:cantSplit/>
        </w:trPr>
        <w:tc>
          <w:tcPr>
            <w:tcW w:w="9811" w:type="dxa"/>
            <w:gridSpan w:val="4"/>
          </w:tcPr>
          <w:p w:rsidR="00BC7D84" w:rsidRPr="00DE2EB9" w:rsidRDefault="00BC7D84" w:rsidP="008508D8">
            <w:pPr>
              <w:pStyle w:val="TopHeader"/>
              <w:spacing w:before="0"/>
              <w:rPr>
                <w:sz w:val="20"/>
                <w:szCs w:val="20"/>
              </w:rPr>
            </w:pPr>
          </w:p>
        </w:tc>
      </w:tr>
      <w:tr w:rsidR="00BC7D84" w:rsidRPr="00DE2EB9" w:rsidTr="008508D8">
        <w:trPr>
          <w:cantSplit/>
        </w:trPr>
        <w:tc>
          <w:tcPr>
            <w:tcW w:w="9811" w:type="dxa"/>
            <w:gridSpan w:val="4"/>
          </w:tcPr>
          <w:p w:rsidR="00BC7D84" w:rsidRPr="00DE2EB9" w:rsidRDefault="009E6E14" w:rsidP="008508D8">
            <w:pPr>
              <w:pStyle w:val="Source"/>
            </w:pPr>
            <w:r>
              <w:t>Member States of European Conference of Postal and Telecommunications Administrations (CEPT)</w:t>
            </w:r>
          </w:p>
        </w:tc>
      </w:tr>
      <w:tr w:rsidR="00BC7D84" w:rsidRPr="00DE2EB9" w:rsidTr="008508D8">
        <w:trPr>
          <w:cantSplit/>
        </w:trPr>
        <w:tc>
          <w:tcPr>
            <w:tcW w:w="9811" w:type="dxa"/>
            <w:gridSpan w:val="4"/>
          </w:tcPr>
          <w:p w:rsidR="00107D73" w:rsidRPr="00DE2EB9" w:rsidRDefault="009E6E14" w:rsidP="00107D73">
            <w:pPr>
              <w:jc w:val="center"/>
              <w:rPr>
                <w:sz w:val="28"/>
                <w:szCs w:val="28"/>
              </w:rPr>
            </w:pPr>
            <w:r w:rsidRPr="009E6E14">
              <w:rPr>
                <w:caps/>
                <w:sz w:val="28"/>
              </w:rPr>
              <w:t xml:space="preserve">PROPOSED </w:t>
            </w:r>
            <w:r w:rsidR="008A10C8" w:rsidRPr="008A10C8">
              <w:rPr>
                <w:caps/>
                <w:sz w:val="28"/>
              </w:rPr>
              <w:t xml:space="preserve">modification </w:t>
            </w:r>
            <w:r w:rsidRPr="009E6E14">
              <w:rPr>
                <w:caps/>
                <w:sz w:val="28"/>
              </w:rPr>
              <w:t>OF WTSA-12 RESOLUTION 40 - REGULATORY ASPECTS OF THE WORK OF THE ITU TELECOMMUNICATION STANDARDIZATION SECTOR</w:t>
            </w:r>
          </w:p>
        </w:tc>
      </w:tr>
      <w:tr w:rsidR="00BC7D84" w:rsidRPr="00DE2EB9" w:rsidTr="008508D8">
        <w:trPr>
          <w:cantSplit/>
        </w:trPr>
        <w:tc>
          <w:tcPr>
            <w:tcW w:w="9811" w:type="dxa"/>
            <w:gridSpan w:val="4"/>
          </w:tcPr>
          <w:p w:rsidR="00BC7D84" w:rsidRPr="00DE2EB9" w:rsidRDefault="00BC7D84" w:rsidP="008508D8">
            <w:pPr>
              <w:pStyle w:val="Title2"/>
            </w:pPr>
          </w:p>
        </w:tc>
      </w:tr>
      <w:tr w:rsidR="00BC7D84" w:rsidRPr="00DE2EB9" w:rsidTr="008508D8">
        <w:trPr>
          <w:cantSplit/>
        </w:trPr>
        <w:tc>
          <w:tcPr>
            <w:tcW w:w="9811" w:type="dxa"/>
            <w:gridSpan w:val="4"/>
          </w:tcPr>
          <w:p w:rsidR="00BC7D84" w:rsidRPr="00DE2EB9" w:rsidRDefault="00BC7D84" w:rsidP="008508D8">
            <w:pPr>
              <w:pStyle w:val="Agendaitem"/>
              <w:rPr>
                <w:lang w:val="en-GB"/>
              </w:rPr>
            </w:pPr>
          </w:p>
        </w:tc>
      </w:tr>
    </w:tbl>
    <w:p w:rsidR="009E1967" w:rsidRPr="00DE2EB9" w:rsidRDefault="009E1967" w:rsidP="009E1967"/>
    <w:tbl>
      <w:tblPr>
        <w:tblW w:w="5089" w:type="pct"/>
        <w:tblLayout w:type="fixed"/>
        <w:tblLook w:val="0000" w:firstRow="0" w:lastRow="0" w:firstColumn="0" w:lastColumn="0" w:noHBand="0" w:noVBand="0"/>
      </w:tblPr>
      <w:tblGrid>
        <w:gridCol w:w="1912"/>
        <w:gridCol w:w="7899"/>
      </w:tblGrid>
      <w:tr w:rsidR="009E1967" w:rsidRPr="00DE2EB9" w:rsidTr="00193AD1">
        <w:trPr>
          <w:cantSplit/>
        </w:trPr>
        <w:tc>
          <w:tcPr>
            <w:tcW w:w="1951" w:type="dxa"/>
          </w:tcPr>
          <w:p w:rsidR="009E1967" w:rsidRPr="00DE2EB9" w:rsidRDefault="009E1967" w:rsidP="00193AD1">
            <w:r w:rsidRPr="00DE2EB9">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DE2EB9" w:rsidRDefault="00090629" w:rsidP="00090629">
                <w:r w:rsidRPr="00DE2EB9">
                  <w:rPr>
                    <w:lang w:val="en-US"/>
                  </w:rPr>
                  <w:t>Europe proposes amendments to Resolution 40, mainly to provide clarity to the issue of numbering resources.</w:t>
                </w:r>
              </w:p>
            </w:tc>
          </w:sdtContent>
        </w:sdt>
      </w:tr>
    </w:tbl>
    <w:p w:rsidR="00ED30BC" w:rsidRPr="00DE2EB9" w:rsidRDefault="00ED30BC">
      <w:pPr>
        <w:tabs>
          <w:tab w:val="clear" w:pos="1134"/>
          <w:tab w:val="clear" w:pos="1871"/>
          <w:tab w:val="clear" w:pos="2268"/>
        </w:tabs>
        <w:overflowPunct/>
        <w:autoSpaceDE/>
        <w:autoSpaceDN/>
        <w:adjustRightInd/>
        <w:spacing w:before="0"/>
        <w:textAlignment w:val="auto"/>
      </w:pPr>
    </w:p>
    <w:p w:rsidR="00354D78" w:rsidRPr="00DE2EB9" w:rsidRDefault="00354D78" w:rsidP="00C17824">
      <w:pPr>
        <w:pStyle w:val="Headingb"/>
      </w:pPr>
      <w:r w:rsidRPr="00DE2EB9">
        <w:t>Introduction</w:t>
      </w:r>
    </w:p>
    <w:p w:rsidR="00354D78" w:rsidRPr="00DE2EB9" w:rsidRDefault="00354D78" w:rsidP="00C17824">
      <w:r w:rsidRPr="00DE2EB9">
        <w:t xml:space="preserve">Europe </w:t>
      </w:r>
      <w:r w:rsidR="00F80289" w:rsidRPr="00DE2EB9">
        <w:rPr>
          <w:lang w:val="en-US"/>
        </w:rPr>
        <w:t>has reviewed Resolution 4</w:t>
      </w:r>
      <w:r w:rsidR="00090629" w:rsidRPr="00DE2EB9">
        <w:rPr>
          <w:lang w:val="en-US"/>
        </w:rPr>
        <w:t>0</w:t>
      </w:r>
      <w:r w:rsidR="00F80289" w:rsidRPr="00DE2EB9">
        <w:rPr>
          <w:lang w:val="en-US"/>
        </w:rPr>
        <w:t xml:space="preserve"> (Rev. Dubai, 2012)</w:t>
      </w:r>
      <w:r w:rsidR="006C025A" w:rsidRPr="00DE2EB9">
        <w:rPr>
          <w:lang w:val="en-US"/>
        </w:rPr>
        <w:t xml:space="preserve"> and identified the need to clarify that </w:t>
      </w:r>
      <w:r w:rsidR="006C025A" w:rsidRPr="00DE2EB9">
        <w:t>numbering is not one of a naturally limited resource</w:t>
      </w:r>
      <w:proofErr w:type="gramStart"/>
      <w:r w:rsidR="006C025A" w:rsidRPr="00DE2EB9">
        <w:t>.</w:t>
      </w:r>
      <w:r w:rsidRPr="00DE2EB9">
        <w:t>.</w:t>
      </w:r>
      <w:proofErr w:type="gramEnd"/>
      <w:r w:rsidRPr="00DE2EB9">
        <w:t xml:space="preserve">   </w:t>
      </w:r>
    </w:p>
    <w:p w:rsidR="00354D78" w:rsidRPr="00503146" w:rsidRDefault="00354D78" w:rsidP="00C17824">
      <w:pPr>
        <w:pStyle w:val="Headingb"/>
        <w:rPr>
          <w:lang w:val="en-GB"/>
        </w:rPr>
      </w:pPr>
      <w:r w:rsidRPr="00503146">
        <w:rPr>
          <w:lang w:val="en-GB"/>
        </w:rPr>
        <w:t>Proposal</w:t>
      </w:r>
    </w:p>
    <w:p w:rsidR="00ED30BC" w:rsidRPr="00DE2EB9" w:rsidRDefault="00D803A8" w:rsidP="00C17824">
      <w:r w:rsidRPr="00DE2EB9">
        <w:rPr>
          <w:lang w:val="en-US"/>
        </w:rPr>
        <w:t>Europe proposes the amendments to Resolution 4</w:t>
      </w:r>
      <w:r w:rsidR="00090629" w:rsidRPr="00DE2EB9">
        <w:rPr>
          <w:lang w:val="en-US"/>
        </w:rPr>
        <w:t>0</w:t>
      </w:r>
      <w:r w:rsidRPr="00DE2EB9">
        <w:rPr>
          <w:lang w:val="en-US"/>
        </w:rPr>
        <w:t xml:space="preserve"> as set out below</w:t>
      </w:r>
      <w:r w:rsidR="00090629" w:rsidRPr="00DE2EB9">
        <w:rPr>
          <w:lang w:val="en-US"/>
        </w:rPr>
        <w:t xml:space="preserve"> to amend the text </w:t>
      </w:r>
      <w:r w:rsidR="006C025A" w:rsidRPr="00DE2EB9">
        <w:rPr>
          <w:lang w:val="en-US"/>
        </w:rPr>
        <w:t>to acknowledge that numbers are not a naturally limited resource</w:t>
      </w:r>
      <w:r w:rsidRPr="00DE2EB9">
        <w:rPr>
          <w:lang w:val="en-US"/>
        </w:rPr>
        <w:t>.</w:t>
      </w:r>
      <w:r w:rsidR="00354D78" w:rsidRPr="00DE2EB9">
        <w:t xml:space="preserve"> </w:t>
      </w:r>
      <w:r w:rsidR="00ED30BC" w:rsidRPr="00DE2EB9">
        <w:br w:type="page"/>
      </w:r>
    </w:p>
    <w:p w:rsidR="009E1967" w:rsidRPr="00DE2EB9" w:rsidRDefault="009E1967" w:rsidP="009E1967"/>
    <w:p w:rsidR="00CC2DC9" w:rsidRPr="00DE2EB9" w:rsidRDefault="00D506C5" w:rsidP="00DE2EB9">
      <w:pPr>
        <w:pStyle w:val="Proposal"/>
        <w:rPr>
          <w:lang w:val="da-DK"/>
        </w:rPr>
      </w:pPr>
      <w:r w:rsidRPr="00DE2EB9">
        <w:rPr>
          <w:lang w:val="da-DK"/>
        </w:rPr>
        <w:t>MOD</w:t>
      </w:r>
      <w:r w:rsidRPr="00DE2EB9">
        <w:rPr>
          <w:lang w:val="da-DK"/>
        </w:rPr>
        <w:tab/>
        <w:t>EUR/45A</w:t>
      </w:r>
      <w:r w:rsidR="00DE2EB9" w:rsidRPr="00DE2EB9">
        <w:rPr>
          <w:lang w:val="da-DK"/>
        </w:rPr>
        <w:t>7</w:t>
      </w:r>
      <w:r w:rsidRPr="00DE2EB9">
        <w:rPr>
          <w:lang w:val="da-DK"/>
        </w:rPr>
        <w:t>/1</w:t>
      </w:r>
    </w:p>
    <w:p w:rsidR="00324ABE" w:rsidRPr="00DE2EB9" w:rsidRDefault="00D506C5" w:rsidP="00DC6DBB">
      <w:pPr>
        <w:pStyle w:val="ResNo"/>
        <w:jc w:val="center"/>
        <w:rPr>
          <w:b w:val="0"/>
          <w:lang w:val="da-DK"/>
        </w:rPr>
      </w:pPr>
      <w:r w:rsidRPr="00DE2EB9">
        <w:rPr>
          <w:b w:val="0"/>
          <w:lang w:val="da-DK"/>
        </w:rPr>
        <w:t xml:space="preserve">RESOLUTION </w:t>
      </w:r>
      <w:r w:rsidR="00107D73" w:rsidRPr="00DE2EB9">
        <w:rPr>
          <w:b w:val="0"/>
          <w:lang w:val="da-DK"/>
        </w:rPr>
        <w:t>4</w:t>
      </w:r>
      <w:r w:rsidR="00815AE8" w:rsidRPr="00DE2EB9">
        <w:rPr>
          <w:b w:val="0"/>
          <w:lang w:val="da-DK"/>
        </w:rPr>
        <w:t>0</w:t>
      </w:r>
      <w:r w:rsidRPr="00DE2EB9">
        <w:rPr>
          <w:b w:val="0"/>
          <w:lang w:val="da-DK"/>
        </w:rPr>
        <w:t xml:space="preserve"> (REV. </w:t>
      </w:r>
      <w:del w:id="1" w:author="Bruno Espinosa" w:date="2016-07-11T13:25:00Z">
        <w:r w:rsidRPr="00DE2EB9" w:rsidDel="003C5486">
          <w:rPr>
            <w:b w:val="0"/>
            <w:lang w:val="da-DK"/>
          </w:rPr>
          <w:delText>DUBAI</w:delText>
        </w:r>
      </w:del>
      <w:del w:id="2" w:author="TSB (RC)" w:date="2016-09-26T14:39:00Z">
        <w:r w:rsidRPr="00DE2EB9" w:rsidDel="00811A4A">
          <w:rPr>
            <w:b w:val="0"/>
            <w:lang w:val="da-DK"/>
          </w:rPr>
          <w:delText xml:space="preserve">, </w:delText>
        </w:r>
      </w:del>
      <w:del w:id="3" w:author="Bruno Espinosa" w:date="2016-07-11T13:25:00Z">
        <w:r w:rsidRPr="00DE2EB9" w:rsidDel="003C5486">
          <w:rPr>
            <w:b w:val="0"/>
            <w:lang w:val="da-DK"/>
          </w:rPr>
          <w:delText>2012</w:delText>
        </w:r>
      </w:del>
      <w:ins w:id="4" w:author="TSB (RC)" w:date="2016-09-26T14:38:00Z">
        <w:r w:rsidR="00C17824">
          <w:rPr>
            <w:b w:val="0"/>
            <w:lang w:val="da-DK"/>
          </w:rPr>
          <w:t xml:space="preserve">HAMMAMET, </w:t>
        </w:r>
      </w:ins>
      <w:ins w:id="5" w:author="Bruno Espinosa" w:date="2016-07-11T13:25:00Z">
        <w:r w:rsidR="003C5486" w:rsidRPr="00DE2EB9">
          <w:rPr>
            <w:b w:val="0"/>
            <w:lang w:val="da-DK"/>
          </w:rPr>
          <w:t>2016</w:t>
        </w:r>
      </w:ins>
      <w:r w:rsidRPr="00DE2EB9">
        <w:rPr>
          <w:b w:val="0"/>
          <w:lang w:val="da-DK"/>
        </w:rPr>
        <w:t>)</w:t>
      </w:r>
    </w:p>
    <w:p w:rsidR="00324ABE" w:rsidRPr="00DE2EB9" w:rsidRDefault="00815AE8" w:rsidP="00354D78">
      <w:pPr>
        <w:pStyle w:val="Restitle"/>
      </w:pPr>
      <w:r w:rsidRPr="00DE2EB9">
        <w:t>Regulatory aspects of the work of the ITU</w:t>
      </w:r>
      <w:r w:rsidRPr="00DE2EB9">
        <w:br/>
        <w:t>Telecommunication Standardization Sector</w:t>
      </w:r>
    </w:p>
    <w:p w:rsidR="00324ABE" w:rsidRPr="00DE2EB9" w:rsidRDefault="00107D73" w:rsidP="00324ABE">
      <w:pPr>
        <w:pStyle w:val="Resref"/>
      </w:pPr>
      <w:r w:rsidRPr="00DE2EB9">
        <w:t>(</w:t>
      </w:r>
      <w:r w:rsidR="00815AE8" w:rsidRPr="00DE2EB9">
        <w:t xml:space="preserve">Montreal, 2000; </w:t>
      </w:r>
      <w:proofErr w:type="spellStart"/>
      <w:r w:rsidR="00815AE8" w:rsidRPr="00DE2EB9">
        <w:t>Florianópolis</w:t>
      </w:r>
      <w:proofErr w:type="spellEnd"/>
      <w:r w:rsidR="00815AE8" w:rsidRPr="00DE2EB9">
        <w:t>, 2004; Johannesburg, 2008; Dubai, 2012</w:t>
      </w:r>
      <w:ins w:id="6" w:author="Bruno Espinosa" w:date="2016-07-11T13:25:00Z">
        <w:r w:rsidR="003C5486" w:rsidRPr="00DE2EB9">
          <w:t xml:space="preserve">; </w:t>
        </w:r>
        <w:proofErr w:type="spellStart"/>
        <w:r w:rsidR="003C5486" w:rsidRPr="00DE2EB9">
          <w:t>Hammamet</w:t>
        </w:r>
        <w:proofErr w:type="spellEnd"/>
        <w:r w:rsidR="003C5486" w:rsidRPr="00DE2EB9">
          <w:t>, 2016</w:t>
        </w:r>
      </w:ins>
      <w:r w:rsidRPr="00DE2EB9">
        <w:t>)</w:t>
      </w:r>
    </w:p>
    <w:p w:rsidR="00324ABE" w:rsidRPr="00DE2EB9" w:rsidRDefault="00D506C5" w:rsidP="00324ABE">
      <w:pPr>
        <w:pStyle w:val="Normalaftertitle"/>
        <w:rPr>
          <w:lang w:val="en-US"/>
        </w:rPr>
      </w:pPr>
      <w:r w:rsidRPr="00DE2EB9">
        <w:rPr>
          <w:lang w:val="en-US"/>
        </w:rPr>
        <w:t>The World Telecommunication Standardization Assembly (</w:t>
      </w:r>
      <w:proofErr w:type="spellStart"/>
      <w:del w:id="7" w:author="Bruno Espinosa" w:date="2016-07-11T13:26:00Z">
        <w:r w:rsidRPr="00DE2EB9" w:rsidDel="003C5486">
          <w:rPr>
            <w:lang w:val="en-US"/>
          </w:rPr>
          <w:delText>Dubai</w:delText>
        </w:r>
      </w:del>
      <w:del w:id="8" w:author="TSB (RC)" w:date="2016-09-26T14:39:00Z">
        <w:r w:rsidRPr="00DE2EB9" w:rsidDel="00811A4A">
          <w:rPr>
            <w:lang w:val="en-US"/>
          </w:rPr>
          <w:delText xml:space="preserve">, </w:delText>
        </w:r>
      </w:del>
      <w:del w:id="9" w:author="Bruno Espinosa" w:date="2016-07-11T13:26:00Z">
        <w:r w:rsidRPr="00DE2EB9" w:rsidDel="003C5486">
          <w:rPr>
            <w:lang w:val="en-US"/>
          </w:rPr>
          <w:delText>2012</w:delText>
        </w:r>
      </w:del>
      <w:ins w:id="10" w:author="TSB (RC)" w:date="2016-09-26T14:38:00Z">
        <w:r w:rsidR="00C17824">
          <w:rPr>
            <w:lang w:val="en-US"/>
          </w:rPr>
          <w:t>Hammamet</w:t>
        </w:r>
        <w:proofErr w:type="spellEnd"/>
        <w:r w:rsidR="00C17824">
          <w:rPr>
            <w:lang w:val="en-US"/>
          </w:rPr>
          <w:t xml:space="preserve">, </w:t>
        </w:r>
      </w:ins>
      <w:ins w:id="11" w:author="Bruno Espinosa" w:date="2016-07-11T13:26:00Z">
        <w:r w:rsidR="003C5486" w:rsidRPr="00DE2EB9">
          <w:rPr>
            <w:lang w:val="en-US"/>
          </w:rPr>
          <w:t>2016</w:t>
        </w:r>
      </w:ins>
      <w:r w:rsidRPr="00DE2EB9">
        <w:rPr>
          <w:lang w:val="en-US"/>
        </w:rPr>
        <w:t>),</w:t>
      </w:r>
    </w:p>
    <w:p w:rsidR="00815AE8" w:rsidRPr="00DE2EB9" w:rsidRDefault="00815AE8" w:rsidP="00815AE8">
      <w:pPr>
        <w:pStyle w:val="Call"/>
      </w:pPr>
      <w:proofErr w:type="gramStart"/>
      <w:r w:rsidRPr="00DE2EB9">
        <w:t>recognizing</w:t>
      </w:r>
      <w:proofErr w:type="gramEnd"/>
    </w:p>
    <w:p w:rsidR="00815AE8" w:rsidRPr="00DE2EB9" w:rsidRDefault="00815AE8" w:rsidP="00815AE8">
      <w:pPr>
        <w:rPr>
          <w:ins w:id="12" w:author="CEPT" w:date="2016-09-07T09:52:00Z"/>
        </w:rPr>
      </w:pPr>
      <w:ins w:id="13" w:author="CEPT" w:date="2016-09-07T09:52:00Z">
        <w:r w:rsidRPr="00DE2EB9">
          <w:rPr>
            <w:i/>
            <w:iCs/>
          </w:rPr>
          <w:t>a)</w:t>
        </w:r>
        <w:r w:rsidRPr="00DE2EB9">
          <w:tab/>
        </w:r>
      </w:ins>
      <w:proofErr w:type="gramStart"/>
      <w:r w:rsidRPr="00DE2EB9">
        <w:t>the</w:t>
      </w:r>
      <w:proofErr w:type="gramEnd"/>
      <w:r w:rsidRPr="00DE2EB9">
        <w:t xml:space="preserve"> provisions of Nos. 246D to 246H of the ITU Convention</w:t>
      </w:r>
      <w:ins w:id="14" w:author="CEPT" w:date="2016-09-07T09:52:00Z">
        <w:r w:rsidRPr="00DE2EB9">
          <w:t>;</w:t>
        </w:r>
      </w:ins>
    </w:p>
    <w:p w:rsidR="00815AE8" w:rsidRPr="00DE2EB9" w:rsidRDefault="00815AE8" w:rsidP="00815AE8">
      <w:ins w:id="15" w:author="CEPT" w:date="2016-09-07T09:52:00Z">
        <w:r w:rsidRPr="00DE2EB9">
          <w:rPr>
            <w:i/>
            <w:iCs/>
          </w:rPr>
          <w:t>b)</w:t>
        </w:r>
        <w:r w:rsidRPr="00DE2EB9">
          <w:tab/>
        </w:r>
      </w:ins>
      <w:ins w:id="16" w:author="CEPT" w:date="2016-09-07T09:54:00Z">
        <w:r w:rsidRPr="00DE2EB9">
          <w:t>Resolution 20</w:t>
        </w:r>
      </w:ins>
      <w:ins w:id="17" w:author="CEPT" w:date="2016-09-07T09:58:00Z">
        <w:r w:rsidR="00090629" w:rsidRPr="00DE2EB9">
          <w:t xml:space="preserve"> (Rev. Dubai, 2012)</w:t>
        </w:r>
      </w:ins>
      <w:ins w:id="18" w:author="CEPT" w:date="2016-09-07T09:55:00Z">
        <w:r w:rsidRPr="00DE2EB9">
          <w:t xml:space="preserve"> on the p</w:t>
        </w:r>
      </w:ins>
      <w:ins w:id="19" w:author="CEPT" w:date="2016-09-07T09:54:00Z">
        <w:r w:rsidRPr="00DE2EB9">
          <w:t>rocedures for allocation and management of international telecommunication numbering, naming, addressing and identification resources</w:t>
        </w:r>
      </w:ins>
      <w:r w:rsidRPr="00DE2EB9">
        <w:t>,</w:t>
      </w:r>
    </w:p>
    <w:p w:rsidR="00815AE8" w:rsidRPr="00DE2EB9" w:rsidRDefault="00815AE8" w:rsidP="00815AE8">
      <w:pPr>
        <w:pStyle w:val="Call"/>
      </w:pPr>
      <w:proofErr w:type="gramStart"/>
      <w:r w:rsidRPr="00DE2EB9">
        <w:t>considering</w:t>
      </w:r>
      <w:proofErr w:type="gramEnd"/>
    </w:p>
    <w:p w:rsidR="00815AE8" w:rsidRPr="00DE2EB9" w:rsidRDefault="00815AE8" w:rsidP="00815AE8">
      <w:r w:rsidRPr="00DE2EB9">
        <w:rPr>
          <w:i/>
          <w:iCs/>
        </w:rPr>
        <w:t>a)</w:t>
      </w:r>
      <w:r w:rsidRPr="00DE2EB9">
        <w:tab/>
      </w:r>
      <w:proofErr w:type="gramStart"/>
      <w:r w:rsidRPr="00DE2EB9">
        <w:t>that</w:t>
      </w:r>
      <w:proofErr w:type="gramEnd"/>
      <w:r w:rsidRPr="00DE2EB9">
        <w:t xml:space="preserve"> the tasks undertaken in the ITU Telecommunication Standardization Sector (ITU</w:t>
      </w:r>
      <w:r w:rsidRPr="00DE2EB9">
        <w:noBreakHyphen/>
        <w:t>T) cover both technical matters and matters having policy or regulatory implications;</w:t>
      </w:r>
    </w:p>
    <w:p w:rsidR="00815AE8" w:rsidRPr="00DE2EB9" w:rsidRDefault="00815AE8" w:rsidP="00815AE8">
      <w:r w:rsidRPr="00DE2EB9">
        <w:rPr>
          <w:i/>
          <w:iCs/>
        </w:rPr>
        <w:t>b)</w:t>
      </w:r>
      <w:r w:rsidRPr="00DE2EB9">
        <w:tab/>
        <w:t>that rules pertaining to certain aspects of the Sector's work are being framed in terms that will rely upon clear and certain identification of the boundary between technical matters and matters having policy or regulatory implications;</w:t>
      </w:r>
    </w:p>
    <w:p w:rsidR="00815AE8" w:rsidRPr="00DE2EB9" w:rsidRDefault="00815AE8" w:rsidP="00815AE8">
      <w:r w:rsidRPr="00DE2EB9">
        <w:rPr>
          <w:i/>
          <w:iCs/>
        </w:rPr>
        <w:t>c)</w:t>
      </w:r>
      <w:r w:rsidRPr="00DE2EB9">
        <w:tab/>
      </w:r>
      <w:proofErr w:type="gramStart"/>
      <w:r w:rsidRPr="00DE2EB9">
        <w:t>that</w:t>
      </w:r>
      <w:proofErr w:type="gramEnd"/>
      <w:r w:rsidRPr="00DE2EB9">
        <w:t xml:space="preserve"> administrations are encouraging a larger role for Sector Members in the work of ITU</w:t>
      </w:r>
      <w:r w:rsidRPr="00DE2EB9">
        <w:noBreakHyphen/>
        <w:t>T, particularly on technical matters;</w:t>
      </w:r>
    </w:p>
    <w:p w:rsidR="00815AE8" w:rsidRPr="00DE2EB9" w:rsidRDefault="00815AE8" w:rsidP="00815AE8">
      <w:r w:rsidRPr="00DE2EB9">
        <w:rPr>
          <w:i/>
          <w:iCs/>
        </w:rPr>
        <w:t>d)</w:t>
      </w:r>
      <w:r w:rsidRPr="00DE2EB9">
        <w:tab/>
      </w:r>
      <w:proofErr w:type="gramStart"/>
      <w:r w:rsidRPr="00DE2EB9">
        <w:t>that</w:t>
      </w:r>
      <w:proofErr w:type="gramEnd"/>
      <w:r w:rsidRPr="00DE2EB9">
        <w:t xml:space="preserve"> many matters having policy or regulatory implications may involve technical implementation and therefore need to be considered in appropriate technical study groups,</w:t>
      </w:r>
    </w:p>
    <w:p w:rsidR="00815AE8" w:rsidRPr="00DE2EB9" w:rsidRDefault="00815AE8" w:rsidP="00815AE8">
      <w:pPr>
        <w:pStyle w:val="Call"/>
      </w:pPr>
      <w:proofErr w:type="gramStart"/>
      <w:r w:rsidRPr="00DE2EB9">
        <w:t>noting</w:t>
      </w:r>
      <w:proofErr w:type="gramEnd"/>
    </w:p>
    <w:p w:rsidR="00815AE8" w:rsidRPr="00DE2EB9" w:rsidRDefault="00815AE8" w:rsidP="00815AE8">
      <w:r w:rsidRPr="00DE2EB9">
        <w:rPr>
          <w:i/>
          <w:iCs/>
        </w:rPr>
        <w:t>a)</w:t>
      </w:r>
      <w:r w:rsidRPr="00DE2EB9">
        <w:tab/>
        <w:t>that the ITU Member States have identified significant policy responsibilities in Chapter VI of the ITU Constitution (Articles 33</w:t>
      </w:r>
      <w:r w:rsidRPr="00DE2EB9">
        <w:noBreakHyphen/>
        <w:t>43) and in Chapter V of the Convention (Articles 36</w:t>
      </w:r>
      <w:r w:rsidRPr="00DE2EB9">
        <w:noBreakHyphen/>
        <w:t>40), and in relevant resolutions of plenipotentiary conferences;</w:t>
      </w:r>
    </w:p>
    <w:p w:rsidR="00815AE8" w:rsidRPr="00DE2EB9" w:rsidRDefault="00815AE8" w:rsidP="00815AE8">
      <w:r w:rsidRPr="00DE2EB9">
        <w:rPr>
          <w:i/>
          <w:iCs/>
        </w:rPr>
        <w:t>b)</w:t>
      </w:r>
      <w:r w:rsidRPr="00DE2EB9">
        <w:tab/>
      </w:r>
      <w:proofErr w:type="gramStart"/>
      <w:r w:rsidRPr="00DE2EB9">
        <w:t>that</w:t>
      </w:r>
      <w:proofErr w:type="gramEnd"/>
      <w:r w:rsidRPr="00DE2EB9">
        <w:t xml:space="preserve"> the International Telecommunication Regulations further describe policy and regulatory obligations incumbent upon Member States;</w:t>
      </w:r>
    </w:p>
    <w:p w:rsidR="00815AE8" w:rsidRPr="00DE2EB9" w:rsidRDefault="00815AE8" w:rsidP="00815AE8">
      <w:r w:rsidRPr="00DE2EB9">
        <w:rPr>
          <w:i/>
          <w:iCs/>
        </w:rPr>
        <w:t>c)</w:t>
      </w:r>
      <w:r w:rsidRPr="00DE2EB9">
        <w:tab/>
      </w:r>
      <w:proofErr w:type="gramStart"/>
      <w:r w:rsidRPr="00DE2EB9">
        <w:t>that</w:t>
      </w:r>
      <w:proofErr w:type="gramEnd"/>
      <w:r w:rsidRPr="00DE2EB9">
        <w:t xml:space="preserve"> No. 191C of the Convention empowers the World Telecommunication Standardization Assembly (WTSA) to assign matters within its competence to the Telecommunication Standardization Advisory Group (TSAG), indicating the action required on those matters,</w:t>
      </w:r>
    </w:p>
    <w:p w:rsidR="00815AE8" w:rsidRPr="00DE2EB9" w:rsidRDefault="00815AE8" w:rsidP="00815AE8">
      <w:pPr>
        <w:pStyle w:val="Call"/>
      </w:pPr>
      <w:proofErr w:type="gramStart"/>
      <w:r w:rsidRPr="00DE2EB9">
        <w:t>resolves</w:t>
      </w:r>
      <w:proofErr w:type="gramEnd"/>
    </w:p>
    <w:p w:rsidR="00815AE8" w:rsidRPr="00DE2EB9" w:rsidRDefault="00815AE8" w:rsidP="00815AE8">
      <w:r w:rsidRPr="00DE2EB9">
        <w:t>1</w:t>
      </w:r>
      <w:r w:rsidRPr="00DE2EB9">
        <w:tab/>
        <w:t>that, when determining whether a Question or Recommendation has policy or regulatory implications, particularly Questions or Recommendations which relate to tariff and accounting issues, study groups shall more generally consider possible topics such as:</w:t>
      </w:r>
    </w:p>
    <w:p w:rsidR="00815AE8" w:rsidRPr="00DE2EB9" w:rsidRDefault="00815AE8" w:rsidP="00815AE8">
      <w:pPr>
        <w:pStyle w:val="enumlev1"/>
      </w:pPr>
      <w:r w:rsidRPr="00DE2EB9">
        <w:t>–</w:t>
      </w:r>
      <w:r w:rsidRPr="00DE2EB9">
        <w:tab/>
      </w:r>
      <w:proofErr w:type="gramStart"/>
      <w:r w:rsidRPr="00DE2EB9">
        <w:t>the</w:t>
      </w:r>
      <w:proofErr w:type="gramEnd"/>
      <w:r w:rsidRPr="00DE2EB9">
        <w:t xml:space="preserve"> right of the public to correspond;</w:t>
      </w:r>
    </w:p>
    <w:p w:rsidR="00815AE8" w:rsidRPr="00DE2EB9" w:rsidRDefault="00815AE8" w:rsidP="00815AE8">
      <w:pPr>
        <w:pStyle w:val="enumlev1"/>
      </w:pPr>
      <w:r w:rsidRPr="00DE2EB9">
        <w:t>–</w:t>
      </w:r>
      <w:r w:rsidRPr="00DE2EB9">
        <w:tab/>
      </w:r>
      <w:proofErr w:type="gramStart"/>
      <w:r w:rsidRPr="00DE2EB9">
        <w:t>protection</w:t>
      </w:r>
      <w:proofErr w:type="gramEnd"/>
      <w:r w:rsidRPr="00DE2EB9">
        <w:t xml:space="preserve"> of telecommunication channels and installations;</w:t>
      </w:r>
    </w:p>
    <w:p w:rsidR="00815AE8" w:rsidRPr="00DE2EB9" w:rsidRDefault="00815AE8" w:rsidP="00815AE8">
      <w:pPr>
        <w:pStyle w:val="enumlev1"/>
      </w:pPr>
      <w:r w:rsidRPr="00DE2EB9">
        <w:lastRenderedPageBreak/>
        <w:t>–</w:t>
      </w:r>
      <w:r w:rsidRPr="00DE2EB9">
        <w:tab/>
      </w:r>
      <w:del w:id="20" w:author="CEPT" w:date="2016-09-07T10:01:00Z">
        <w:r w:rsidRPr="00DE2EB9" w:rsidDel="00090629">
          <w:delText>use of the limited natural resources of</w:delText>
        </w:r>
      </w:del>
      <w:proofErr w:type="gramStart"/>
      <w:ins w:id="21" w:author="CEPT" w:date="2016-09-07T10:01:00Z">
        <w:r w:rsidR="00090629" w:rsidRPr="00DE2EB9">
          <w:t>all</w:t>
        </w:r>
      </w:ins>
      <w:proofErr w:type="gramEnd"/>
      <w:r w:rsidRPr="00DE2EB9">
        <w:t xml:space="preserve"> numbering and addressing;</w:t>
      </w:r>
    </w:p>
    <w:p w:rsidR="00815AE8" w:rsidRPr="00DE2EB9" w:rsidRDefault="00815AE8" w:rsidP="00815AE8">
      <w:pPr>
        <w:pStyle w:val="enumlev1"/>
      </w:pPr>
      <w:r w:rsidRPr="00DE2EB9">
        <w:t>–</w:t>
      </w:r>
      <w:r w:rsidRPr="00DE2EB9">
        <w:tab/>
      </w:r>
      <w:proofErr w:type="gramStart"/>
      <w:r w:rsidRPr="00DE2EB9">
        <w:t>naming</w:t>
      </w:r>
      <w:proofErr w:type="gramEnd"/>
      <w:r w:rsidRPr="00DE2EB9">
        <w:t xml:space="preserve"> and identification;</w:t>
      </w:r>
    </w:p>
    <w:p w:rsidR="00815AE8" w:rsidRPr="00DE2EB9" w:rsidRDefault="00815AE8" w:rsidP="00815AE8">
      <w:pPr>
        <w:pStyle w:val="enumlev1"/>
      </w:pPr>
      <w:r w:rsidRPr="00DE2EB9">
        <w:t>–</w:t>
      </w:r>
      <w:r w:rsidRPr="00DE2EB9">
        <w:tab/>
      </w:r>
      <w:proofErr w:type="gramStart"/>
      <w:r w:rsidRPr="00DE2EB9">
        <w:t>secrecy</w:t>
      </w:r>
      <w:proofErr w:type="gramEnd"/>
      <w:r w:rsidRPr="00DE2EB9">
        <w:t xml:space="preserve"> and authenticity of telecommunications;</w:t>
      </w:r>
    </w:p>
    <w:p w:rsidR="00815AE8" w:rsidRPr="00DE2EB9" w:rsidRDefault="00815AE8" w:rsidP="00815AE8">
      <w:pPr>
        <w:pStyle w:val="enumlev1"/>
      </w:pPr>
      <w:r w:rsidRPr="00DE2EB9">
        <w:t>–</w:t>
      </w:r>
      <w:r w:rsidRPr="00DE2EB9">
        <w:tab/>
      </w:r>
      <w:proofErr w:type="gramStart"/>
      <w:r w:rsidRPr="00DE2EB9">
        <w:t>safety</w:t>
      </w:r>
      <w:proofErr w:type="gramEnd"/>
      <w:r w:rsidRPr="00DE2EB9">
        <w:t xml:space="preserve"> of life;</w:t>
      </w:r>
    </w:p>
    <w:p w:rsidR="00815AE8" w:rsidRPr="00DE2EB9" w:rsidRDefault="00815AE8" w:rsidP="00815AE8">
      <w:pPr>
        <w:pStyle w:val="enumlev1"/>
      </w:pPr>
      <w:r w:rsidRPr="00DE2EB9">
        <w:t>–</w:t>
      </w:r>
      <w:r w:rsidRPr="00DE2EB9">
        <w:tab/>
      </w:r>
      <w:proofErr w:type="gramStart"/>
      <w:r w:rsidRPr="00DE2EB9">
        <w:t>practices</w:t>
      </w:r>
      <w:proofErr w:type="gramEnd"/>
      <w:r w:rsidRPr="00DE2EB9">
        <w:t xml:space="preserve"> applicable to competitive markets; </w:t>
      </w:r>
    </w:p>
    <w:p w:rsidR="00815AE8" w:rsidRPr="00DE2EB9" w:rsidRDefault="00815AE8" w:rsidP="00815AE8">
      <w:pPr>
        <w:pStyle w:val="enumlev1"/>
      </w:pPr>
      <w:r w:rsidRPr="00DE2EB9">
        <w:t>–</w:t>
      </w:r>
      <w:r w:rsidRPr="00DE2EB9">
        <w:tab/>
      </w:r>
      <w:proofErr w:type="gramStart"/>
      <w:r w:rsidRPr="00DE2EB9">
        <w:t>misuse</w:t>
      </w:r>
      <w:proofErr w:type="gramEnd"/>
      <w:r w:rsidRPr="00DE2EB9">
        <w:t xml:space="preserve"> of numbering resources; and</w:t>
      </w:r>
    </w:p>
    <w:p w:rsidR="00815AE8" w:rsidRPr="00DE2EB9" w:rsidRDefault="00815AE8" w:rsidP="00815AE8">
      <w:pPr>
        <w:pStyle w:val="enumlev1"/>
      </w:pPr>
      <w:r w:rsidRPr="00DE2EB9">
        <w:t>–</w:t>
      </w:r>
      <w:r w:rsidRPr="00DE2EB9">
        <w:tab/>
        <w:t>any other relevant matters, including those identified by a decision of Member States, or recommended by TSAG, or Questions or Recommendations where there is any doubt about their scope;</w:t>
      </w:r>
    </w:p>
    <w:p w:rsidR="00815AE8" w:rsidRPr="00DE2EB9" w:rsidRDefault="00815AE8" w:rsidP="00815AE8">
      <w:r w:rsidRPr="00DE2EB9">
        <w:t>2</w:t>
      </w:r>
      <w:r w:rsidRPr="00DE2EB9">
        <w:tab/>
        <w:t>to request TSAG to consult Member States on any relevant issues other than those specified above;</w:t>
      </w:r>
    </w:p>
    <w:p w:rsidR="00815AE8" w:rsidRPr="00DE2EB9" w:rsidRDefault="00815AE8" w:rsidP="00815AE8">
      <w:r w:rsidRPr="00DE2EB9">
        <w:t>3</w:t>
      </w:r>
      <w:r w:rsidRPr="00DE2EB9">
        <w:tab/>
        <w:t>to instruct TSAG to study and identify the operational and technical areas related to quality of service/quality of experience (</w:t>
      </w:r>
      <w:proofErr w:type="spellStart"/>
      <w:r w:rsidRPr="00DE2EB9">
        <w:t>QoS</w:t>
      </w:r>
      <w:proofErr w:type="spellEnd"/>
      <w:r w:rsidRPr="00DE2EB9">
        <w:t>/</w:t>
      </w:r>
      <w:proofErr w:type="spellStart"/>
      <w:r w:rsidRPr="00DE2EB9">
        <w:t>QoE</w:t>
      </w:r>
      <w:proofErr w:type="spellEnd"/>
      <w:r w:rsidRPr="00DE2EB9">
        <w:t>) of telecommunications/ICTs that might have policy and regulatory nature, taking into account the studies being carried out by the relevant study groups, and report that to the next WTSA,</w:t>
      </w:r>
    </w:p>
    <w:p w:rsidR="00815AE8" w:rsidRPr="00DE2EB9" w:rsidRDefault="00815AE8" w:rsidP="00815AE8">
      <w:pPr>
        <w:pStyle w:val="Call"/>
      </w:pPr>
      <w:proofErr w:type="gramStart"/>
      <w:r w:rsidRPr="00DE2EB9">
        <w:t>invites</w:t>
      </w:r>
      <w:proofErr w:type="gramEnd"/>
      <w:r w:rsidRPr="00DE2EB9">
        <w:t xml:space="preserve"> Member States</w:t>
      </w:r>
    </w:p>
    <w:p w:rsidR="00815AE8" w:rsidRPr="00DE2EB9" w:rsidRDefault="00815AE8" w:rsidP="00503146">
      <w:proofErr w:type="gramStart"/>
      <w:r w:rsidRPr="00DE2EB9">
        <w:t>to</w:t>
      </w:r>
      <w:proofErr w:type="gramEnd"/>
      <w:r w:rsidRPr="00DE2EB9">
        <w:t xml:space="preserve"> contribute actively to the work to be carried out on this matter.</w:t>
      </w:r>
    </w:p>
    <w:p w:rsidR="00CC2DC9" w:rsidRPr="00503146" w:rsidRDefault="00CC2DC9" w:rsidP="00503146">
      <w:pPr>
        <w:pStyle w:val="Reasons"/>
      </w:pPr>
    </w:p>
    <w:sectPr w:rsidR="00CC2DC9" w:rsidRPr="00503146">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65" w:rsidRDefault="002A3265">
      <w:r>
        <w:separator/>
      </w:r>
    </w:p>
  </w:endnote>
  <w:endnote w:type="continuationSeparator" w:id="0">
    <w:p w:rsidR="002A3265" w:rsidRDefault="002A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33F50">
      <w:rPr>
        <w:noProof/>
      </w:rPr>
      <w:t>26.09.16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C17824" w:rsidRDefault="00C17824" w:rsidP="00C17824">
    <w:pPr>
      <w:pStyle w:val="Footer"/>
      <w:rPr>
        <w:lang w:val="fr-CH"/>
      </w:rPr>
    </w:pPr>
    <w:r w:rsidRPr="00C17824">
      <w:rPr>
        <w:lang w:val="fr-CH"/>
      </w:rPr>
      <w:t>ITU-T\CONF-T\WTSA16\000\45ADD7E.DOC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17824" w:rsidRDefault="00C17824" w:rsidP="00C17824">
    <w:pPr>
      <w:pStyle w:val="Footer"/>
      <w:rPr>
        <w:lang w:val="fr-CH"/>
      </w:rPr>
    </w:pPr>
    <w:r w:rsidRPr="00C17824">
      <w:rPr>
        <w:lang w:val="fr-CH"/>
      </w:rPr>
      <w:t>ITU-T\CONF-T\WTSA16\000\45Add</w:t>
    </w:r>
    <w:r>
      <w:rPr>
        <w:lang w:val="fr-CH"/>
      </w:rPr>
      <w:t>7</w:t>
    </w:r>
    <w:r w:rsidRPr="00C17824">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65" w:rsidRDefault="002A3265">
      <w:r>
        <w:rPr>
          <w:b/>
        </w:rPr>
        <w:t>_______________</w:t>
      </w:r>
    </w:p>
  </w:footnote>
  <w:footnote w:type="continuationSeparator" w:id="0">
    <w:p w:rsidR="002A3265" w:rsidRDefault="002A3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33F50">
      <w:rPr>
        <w:noProof/>
      </w:rPr>
      <w:t>3</w:t>
    </w:r>
    <w:r>
      <w:fldChar w:fldCharType="end"/>
    </w:r>
  </w:p>
  <w:p w:rsidR="00A066F1" w:rsidRPr="00C72D5C" w:rsidRDefault="00C72D5C" w:rsidP="008E67E5">
    <w:pPr>
      <w:pStyle w:val="Header"/>
    </w:pPr>
    <w:r>
      <w:t>WTSA16/</w:t>
    </w:r>
    <w:r w:rsidR="008E67E5">
      <w:t>45(Add.</w:t>
    </w:r>
    <w:r w:rsidR="00DE2EB9">
      <w:t>7</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B9317DC"/>
    <w:multiLevelType w:val="hybridMultilevel"/>
    <w:tmpl w:val="31063654"/>
    <w:lvl w:ilvl="0" w:tplc="723012C4">
      <w:start w:val="1"/>
      <w:numFmt w:val="lowerLetter"/>
      <w:lvlText w:val="%1)"/>
      <w:lvlJc w:val="left"/>
      <w:pPr>
        <w:ind w:left="1500" w:hanging="114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0629"/>
    <w:rsid w:val="00091346"/>
    <w:rsid w:val="0009706C"/>
    <w:rsid w:val="000F73FF"/>
    <w:rsid w:val="00107D73"/>
    <w:rsid w:val="00114CF7"/>
    <w:rsid w:val="00123B68"/>
    <w:rsid w:val="00126F2E"/>
    <w:rsid w:val="001301F4"/>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3269"/>
    <w:rsid w:val="00250AF4"/>
    <w:rsid w:val="0025350A"/>
    <w:rsid w:val="00260B50"/>
    <w:rsid w:val="00271316"/>
    <w:rsid w:val="00290F83"/>
    <w:rsid w:val="002A1D23"/>
    <w:rsid w:val="002A3265"/>
    <w:rsid w:val="002A5392"/>
    <w:rsid w:val="002D58BE"/>
    <w:rsid w:val="00316B80"/>
    <w:rsid w:val="003251EA"/>
    <w:rsid w:val="0034635C"/>
    <w:rsid w:val="00354D78"/>
    <w:rsid w:val="00377BD3"/>
    <w:rsid w:val="00384088"/>
    <w:rsid w:val="0039169B"/>
    <w:rsid w:val="00394470"/>
    <w:rsid w:val="003A7F8C"/>
    <w:rsid w:val="003B532E"/>
    <w:rsid w:val="003C5486"/>
    <w:rsid w:val="003D0F8B"/>
    <w:rsid w:val="003E1427"/>
    <w:rsid w:val="0041348E"/>
    <w:rsid w:val="00420EDB"/>
    <w:rsid w:val="004373CA"/>
    <w:rsid w:val="00437820"/>
    <w:rsid w:val="004420C9"/>
    <w:rsid w:val="0046584E"/>
    <w:rsid w:val="00471EF9"/>
    <w:rsid w:val="00492075"/>
    <w:rsid w:val="004969AD"/>
    <w:rsid w:val="004A26C4"/>
    <w:rsid w:val="004B13CB"/>
    <w:rsid w:val="004B4AAE"/>
    <w:rsid w:val="004C6FBE"/>
    <w:rsid w:val="004D5D5C"/>
    <w:rsid w:val="004D6DFC"/>
    <w:rsid w:val="0050139F"/>
    <w:rsid w:val="00503146"/>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025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800972"/>
    <w:rsid w:val="00804475"/>
    <w:rsid w:val="00805C15"/>
    <w:rsid w:val="00811633"/>
    <w:rsid w:val="00811A4A"/>
    <w:rsid w:val="00815AE8"/>
    <w:rsid w:val="008508D8"/>
    <w:rsid w:val="00864CD2"/>
    <w:rsid w:val="00872FC8"/>
    <w:rsid w:val="008845D0"/>
    <w:rsid w:val="008A10C8"/>
    <w:rsid w:val="008B1AEA"/>
    <w:rsid w:val="008B43F2"/>
    <w:rsid w:val="008B6CFF"/>
    <w:rsid w:val="008E67E5"/>
    <w:rsid w:val="008F08A1"/>
    <w:rsid w:val="009163CF"/>
    <w:rsid w:val="0092425C"/>
    <w:rsid w:val="009274B4"/>
    <w:rsid w:val="00934EA2"/>
    <w:rsid w:val="00940614"/>
    <w:rsid w:val="00944A5C"/>
    <w:rsid w:val="00952A66"/>
    <w:rsid w:val="0095691C"/>
    <w:rsid w:val="009B00CE"/>
    <w:rsid w:val="009B59BB"/>
    <w:rsid w:val="009C56E5"/>
    <w:rsid w:val="009E1967"/>
    <w:rsid w:val="009E5FC8"/>
    <w:rsid w:val="009E687A"/>
    <w:rsid w:val="009E6E14"/>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6324B"/>
    <w:rsid w:val="00B639E9"/>
    <w:rsid w:val="00B71DAB"/>
    <w:rsid w:val="00B817CD"/>
    <w:rsid w:val="00B94AD0"/>
    <w:rsid w:val="00BA5265"/>
    <w:rsid w:val="00BB3A95"/>
    <w:rsid w:val="00BB3C1C"/>
    <w:rsid w:val="00BC2FB6"/>
    <w:rsid w:val="00BC7D84"/>
    <w:rsid w:val="00C0018F"/>
    <w:rsid w:val="00C0539A"/>
    <w:rsid w:val="00C16A5A"/>
    <w:rsid w:val="00C17824"/>
    <w:rsid w:val="00C20466"/>
    <w:rsid w:val="00C214ED"/>
    <w:rsid w:val="00C234E6"/>
    <w:rsid w:val="00C324A8"/>
    <w:rsid w:val="00C479FD"/>
    <w:rsid w:val="00C54517"/>
    <w:rsid w:val="00C61363"/>
    <w:rsid w:val="00C64CD8"/>
    <w:rsid w:val="00C72D5C"/>
    <w:rsid w:val="00C77E1A"/>
    <w:rsid w:val="00C97C68"/>
    <w:rsid w:val="00CA1A47"/>
    <w:rsid w:val="00CC247A"/>
    <w:rsid w:val="00CC2DC9"/>
    <w:rsid w:val="00CD7CC4"/>
    <w:rsid w:val="00CE388F"/>
    <w:rsid w:val="00CE5E47"/>
    <w:rsid w:val="00CF020F"/>
    <w:rsid w:val="00CF1E9D"/>
    <w:rsid w:val="00CF2B5B"/>
    <w:rsid w:val="00D14CE0"/>
    <w:rsid w:val="00D278AC"/>
    <w:rsid w:val="00D33F50"/>
    <w:rsid w:val="00D506C5"/>
    <w:rsid w:val="00D54009"/>
    <w:rsid w:val="00D5651D"/>
    <w:rsid w:val="00D57A34"/>
    <w:rsid w:val="00D643B3"/>
    <w:rsid w:val="00D74898"/>
    <w:rsid w:val="00D801ED"/>
    <w:rsid w:val="00D803A8"/>
    <w:rsid w:val="00D936BC"/>
    <w:rsid w:val="00D96530"/>
    <w:rsid w:val="00DC6DBB"/>
    <w:rsid w:val="00DD44AF"/>
    <w:rsid w:val="00DE2AC3"/>
    <w:rsid w:val="00DE2EB9"/>
    <w:rsid w:val="00DE5692"/>
    <w:rsid w:val="00DF3E19"/>
    <w:rsid w:val="00E0231F"/>
    <w:rsid w:val="00E03C94"/>
    <w:rsid w:val="00E2134A"/>
    <w:rsid w:val="00E26226"/>
    <w:rsid w:val="00E37BD3"/>
    <w:rsid w:val="00E45D05"/>
    <w:rsid w:val="00E55816"/>
    <w:rsid w:val="00E55AEF"/>
    <w:rsid w:val="00E870AC"/>
    <w:rsid w:val="00E976C1"/>
    <w:rsid w:val="00EA12E5"/>
    <w:rsid w:val="00EB55C6"/>
    <w:rsid w:val="00EC7F04"/>
    <w:rsid w:val="00ED30BC"/>
    <w:rsid w:val="00F02766"/>
    <w:rsid w:val="00F05BD4"/>
    <w:rsid w:val="00F2404A"/>
    <w:rsid w:val="00F60D05"/>
    <w:rsid w:val="00F6155B"/>
    <w:rsid w:val="00F65C19"/>
    <w:rsid w:val="00F7356B"/>
    <w:rsid w:val="00F80289"/>
    <w:rsid w:val="00F80977"/>
    <w:rsid w:val="00F83213"/>
    <w:rsid w:val="00F83F75"/>
    <w:rsid w:val="00FD2546"/>
    <w:rsid w:val="00FD529D"/>
    <w:rsid w:val="00FD772E"/>
    <w:rsid w:val="00FE6965"/>
    <w:rsid w:val="00FE78C7"/>
    <w:rsid w:val="00FF3EA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B76903-647A-49D9-B3F0-9335E089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815AE8"/>
    <w:rPr>
      <w:rFonts w:ascii="Times New Roman" w:hAnsi="Times New Roman"/>
      <w:sz w:val="24"/>
      <w:lang w:val="en-GB" w:eastAsia="en-US"/>
    </w:rPr>
  </w:style>
  <w:style w:type="character" w:customStyle="1" w:styleId="CallChar">
    <w:name w:val="Call Char"/>
    <w:link w:val="Call"/>
    <w:uiPriority w:val="99"/>
    <w:rsid w:val="00815AE8"/>
    <w:rPr>
      <w:rFonts w:ascii="Times New Roman" w:hAnsi="Times New Roman"/>
      <w:i/>
      <w:sz w:val="24"/>
      <w:lang w:val="en-GB" w:eastAsia="en-US"/>
    </w:rPr>
  </w:style>
  <w:style w:type="paragraph" w:styleId="ListParagraph">
    <w:name w:val="List Paragraph"/>
    <w:basedOn w:val="Normal"/>
    <w:uiPriority w:val="34"/>
    <w:rsid w:val="00815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61A3D"/>
    <w:rsid w:val="002B79AF"/>
    <w:rsid w:val="00347F90"/>
    <w:rsid w:val="00412379"/>
    <w:rsid w:val="00426CEF"/>
    <w:rsid w:val="0055704D"/>
    <w:rsid w:val="005A1DA0"/>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15e97e-03e0-47c6-beb1-f19cc594015f">Documents Proposals Manager (DPM)</DPM_x0020_Author>
    <DPM_x0020_File_x0020_name xmlns="7a15e97e-03e0-47c6-beb1-f19cc594015f">T13-WTSA.16-C-0045!A4!MSW-E</DPM_x0020_File_x0020_name>
    <DPM_x0020_Version xmlns="7a15e97e-03e0-47c6-beb1-f19cc594015f">DPM_v2016.6.15.1_prod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15e97e-03e0-47c6-beb1-f19cc594015f" targetNamespace="http://schemas.microsoft.com/office/2006/metadata/properties" ma:root="true" ma:fieldsID="d41af5c836d734370eb92e7ee5f83852" ns2:_="" ns3:_="">
    <xsd:import namespace="996b2e75-67fd-4955-a3b0-5ab9934cb50b"/>
    <xsd:import namespace="7a15e97e-03e0-47c6-beb1-f19cc59401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15e97e-03e0-47c6-beb1-f19cc59401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microsoft.com/office/infopath/2007/PartnerControls"/>
    <ds:schemaRef ds:uri="7a15e97e-03e0-47c6-beb1-f19cc594015f"/>
    <ds:schemaRef ds:uri="996b2e75-67fd-4955-a3b0-5ab9934cb50b"/>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15e97e-03e0-47c6-beb1-f19cc5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569</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4142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7</cp:revision>
  <cp:lastPrinted>2016-06-06T07:49:00Z</cp:lastPrinted>
  <dcterms:created xsi:type="dcterms:W3CDTF">2016-09-26T12:36:00Z</dcterms:created>
  <dcterms:modified xsi:type="dcterms:W3CDTF">2016-09-26T12:49:00Z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