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89" w:type="pct"/>
        <w:tblLook w:val="0000" w:firstRow="0" w:lastRow="0" w:firstColumn="0" w:lastColumn="0" w:noHBand="0" w:noVBand="0"/>
      </w:tblPr>
      <w:tblGrid>
        <w:gridCol w:w="1382"/>
        <w:gridCol w:w="5422"/>
        <w:gridCol w:w="567"/>
        <w:gridCol w:w="2440"/>
      </w:tblGrid>
      <w:tr w:rsidR="001D581B" w:rsidRPr="008415A9" w:rsidTr="00530525">
        <w:trPr>
          <w:cantSplit/>
        </w:trPr>
        <w:tc>
          <w:tcPr>
            <w:tcW w:w="1382" w:type="dxa"/>
            <w:vAlign w:val="center"/>
          </w:tcPr>
          <w:p w:rsidR="00CF1E9D" w:rsidRPr="008415A9" w:rsidRDefault="00CF1E9D" w:rsidP="00530525">
            <w:pPr>
              <w:rPr>
                <w:rFonts w:ascii="Verdana" w:hAnsi="Verdana" w:cs="Times New Roman Bold"/>
                <w:b/>
                <w:bCs/>
                <w:sz w:val="22"/>
                <w:szCs w:val="22"/>
                <w:lang w:val="fr-FR"/>
              </w:rPr>
            </w:pPr>
            <w:r w:rsidRPr="008415A9">
              <w:rPr>
                <w:noProof/>
                <w:lang w:eastAsia="zh-CN"/>
              </w:rPr>
              <w:drawing>
                <wp:inline distT="0" distB="0" distL="0" distR="0">
                  <wp:extent cx="717701" cy="799465"/>
                  <wp:effectExtent l="0" t="0" r="6350" b="635"/>
                  <wp:docPr id="3" name="Picture 3" descr="itu_logo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9" w:type="dxa"/>
            <w:gridSpan w:val="2"/>
            <w:vAlign w:val="center"/>
          </w:tcPr>
          <w:p w:rsidR="00CF1E9D" w:rsidRPr="008415A9" w:rsidRDefault="001D581B" w:rsidP="00230326">
            <w:pPr>
              <w:rPr>
                <w:rFonts w:ascii="Verdana" w:hAnsi="Verdana" w:cs="Times New Roman Bold"/>
                <w:b/>
                <w:bCs/>
                <w:sz w:val="22"/>
                <w:szCs w:val="22"/>
                <w:lang w:val="fr-FR"/>
              </w:rPr>
            </w:pPr>
            <w:r w:rsidRPr="008415A9">
              <w:rPr>
                <w:rFonts w:ascii="Verdana" w:hAnsi="Verdana" w:cs="Times New Roman Bold"/>
                <w:b/>
                <w:bCs/>
                <w:szCs w:val="24"/>
                <w:lang w:val="fr-FR"/>
              </w:rPr>
              <w:t xml:space="preserve">Assemblée mondiale de normalisation </w:t>
            </w:r>
            <w:r w:rsidR="00C26BA2" w:rsidRPr="008415A9">
              <w:rPr>
                <w:rFonts w:ascii="Verdana" w:hAnsi="Verdana" w:cs="Times New Roman Bold"/>
                <w:b/>
                <w:bCs/>
                <w:szCs w:val="24"/>
                <w:lang w:val="fr-FR"/>
              </w:rPr>
              <w:br/>
            </w:r>
            <w:r w:rsidRPr="008415A9">
              <w:rPr>
                <w:rFonts w:ascii="Verdana" w:hAnsi="Verdana" w:cs="Times New Roman Bold"/>
                <w:b/>
                <w:bCs/>
                <w:szCs w:val="24"/>
                <w:lang w:val="fr-FR"/>
              </w:rPr>
              <w:t xml:space="preserve">des télécommunications </w:t>
            </w:r>
            <w:r w:rsidR="00CF1E9D" w:rsidRPr="008415A9">
              <w:rPr>
                <w:rFonts w:ascii="Verdana" w:hAnsi="Verdana" w:cs="Times New Roman Bold"/>
                <w:b/>
                <w:bCs/>
                <w:szCs w:val="24"/>
                <w:lang w:val="fr-FR"/>
              </w:rPr>
              <w:t>(</w:t>
            </w:r>
            <w:r w:rsidRPr="008415A9">
              <w:rPr>
                <w:rFonts w:ascii="Verdana" w:hAnsi="Verdana" w:cs="Times New Roman Bold"/>
                <w:b/>
                <w:bCs/>
                <w:szCs w:val="24"/>
                <w:lang w:val="fr-FR"/>
              </w:rPr>
              <w:t>AMNT</w:t>
            </w:r>
            <w:r w:rsidR="00CF1E9D" w:rsidRPr="008415A9">
              <w:rPr>
                <w:rFonts w:ascii="Verdana" w:hAnsi="Verdana" w:cs="Times New Roman Bold"/>
                <w:b/>
                <w:bCs/>
                <w:szCs w:val="24"/>
                <w:lang w:val="fr-FR"/>
              </w:rPr>
              <w:t>-16)</w:t>
            </w:r>
            <w:r w:rsidR="00CF1E9D" w:rsidRPr="008415A9">
              <w:rPr>
                <w:rFonts w:ascii="Verdana" w:hAnsi="Verdana" w:cs="Times New Roman Bold"/>
                <w:b/>
                <w:bCs/>
                <w:sz w:val="22"/>
                <w:szCs w:val="22"/>
                <w:lang w:val="fr-FR"/>
              </w:rPr>
              <w:br/>
            </w:r>
            <w:bookmarkStart w:id="0" w:name="_GoBack"/>
            <w:bookmarkEnd w:id="0"/>
            <w:r w:rsidR="00CF1E9D" w:rsidRPr="008415A9">
              <w:rPr>
                <w:rFonts w:ascii="Verdana" w:hAnsi="Verdana" w:cs="Times New Roman Bold"/>
                <w:b/>
                <w:bCs/>
                <w:sz w:val="18"/>
                <w:szCs w:val="18"/>
                <w:lang w:val="fr-FR"/>
              </w:rPr>
              <w:t xml:space="preserve">Hammamet, 25 </w:t>
            </w:r>
            <w:r w:rsidRPr="008415A9">
              <w:rPr>
                <w:rFonts w:ascii="Verdana" w:hAnsi="Verdana" w:cs="Times New Roman Bold"/>
                <w:b/>
                <w:bCs/>
                <w:sz w:val="18"/>
                <w:szCs w:val="18"/>
                <w:lang w:val="fr-FR"/>
              </w:rPr>
              <w:t>o</w:t>
            </w:r>
            <w:r w:rsidR="00CF1E9D" w:rsidRPr="008415A9">
              <w:rPr>
                <w:rFonts w:ascii="Verdana" w:hAnsi="Verdana" w:cs="Times New Roman Bold"/>
                <w:b/>
                <w:bCs/>
                <w:sz w:val="18"/>
                <w:szCs w:val="18"/>
                <w:lang w:val="fr-FR"/>
              </w:rPr>
              <w:t>ct</w:t>
            </w:r>
            <w:r w:rsidR="00C26BA2" w:rsidRPr="008415A9">
              <w:rPr>
                <w:rFonts w:ascii="Verdana" w:hAnsi="Verdana" w:cs="Times New Roman Bold"/>
                <w:b/>
                <w:bCs/>
                <w:sz w:val="18"/>
                <w:szCs w:val="18"/>
                <w:lang w:val="fr-FR"/>
              </w:rPr>
              <w:t xml:space="preserve">obre </w:t>
            </w:r>
            <w:r w:rsidR="00CF1E9D" w:rsidRPr="008415A9">
              <w:rPr>
                <w:rFonts w:ascii="Verdana" w:hAnsi="Verdana" w:cs="Times New Roman Bold"/>
                <w:b/>
                <w:bCs/>
                <w:sz w:val="18"/>
                <w:szCs w:val="18"/>
                <w:lang w:val="fr-FR"/>
              </w:rPr>
              <w:t>-</w:t>
            </w:r>
            <w:r w:rsidR="00C26BA2" w:rsidRPr="008415A9">
              <w:rPr>
                <w:rFonts w:ascii="Verdana" w:hAnsi="Verdana" w:cs="Times New Roman Bold"/>
                <w:b/>
                <w:bCs/>
                <w:sz w:val="18"/>
                <w:szCs w:val="18"/>
                <w:lang w:val="fr-FR"/>
              </w:rPr>
              <w:t xml:space="preserve"> </w:t>
            </w:r>
            <w:r w:rsidR="00CF1E9D" w:rsidRPr="008415A9">
              <w:rPr>
                <w:rFonts w:ascii="Verdana" w:hAnsi="Verdana" w:cs="Times New Roman Bold"/>
                <w:b/>
                <w:bCs/>
                <w:sz w:val="18"/>
                <w:szCs w:val="18"/>
                <w:lang w:val="fr-FR"/>
              </w:rPr>
              <w:t xml:space="preserve">3 </w:t>
            </w:r>
            <w:r w:rsidRPr="008415A9">
              <w:rPr>
                <w:rFonts w:ascii="Verdana" w:hAnsi="Verdana" w:cs="Times New Roman Bold"/>
                <w:b/>
                <w:bCs/>
                <w:sz w:val="18"/>
                <w:szCs w:val="18"/>
                <w:lang w:val="fr-FR"/>
              </w:rPr>
              <w:t>n</w:t>
            </w:r>
            <w:r w:rsidR="00CF1E9D" w:rsidRPr="008415A9">
              <w:rPr>
                <w:rFonts w:ascii="Verdana" w:hAnsi="Verdana" w:cs="Times New Roman Bold"/>
                <w:b/>
                <w:bCs/>
                <w:sz w:val="18"/>
                <w:szCs w:val="18"/>
                <w:lang w:val="fr-FR"/>
              </w:rPr>
              <w:t>ov</w:t>
            </w:r>
            <w:r w:rsidR="00C26BA2" w:rsidRPr="008415A9">
              <w:rPr>
                <w:rFonts w:ascii="Verdana" w:hAnsi="Verdana" w:cs="Times New Roman Bold"/>
                <w:b/>
                <w:bCs/>
                <w:sz w:val="18"/>
                <w:szCs w:val="18"/>
                <w:lang w:val="fr-FR"/>
              </w:rPr>
              <w:t>embre</w:t>
            </w:r>
            <w:r w:rsidR="00CF1E9D" w:rsidRPr="008415A9">
              <w:rPr>
                <w:rFonts w:ascii="Verdana" w:hAnsi="Verdana" w:cs="Times New Roman Bold"/>
                <w:b/>
                <w:bCs/>
                <w:sz w:val="18"/>
                <w:szCs w:val="18"/>
                <w:lang w:val="fr-FR"/>
              </w:rPr>
              <w:t xml:space="preserve"> 2016</w:t>
            </w:r>
          </w:p>
        </w:tc>
        <w:tc>
          <w:tcPr>
            <w:tcW w:w="2440" w:type="dxa"/>
            <w:vAlign w:val="center"/>
          </w:tcPr>
          <w:p w:rsidR="00CF1E9D" w:rsidRPr="008415A9" w:rsidRDefault="00CF1E9D" w:rsidP="00530525">
            <w:pPr>
              <w:spacing w:before="0"/>
              <w:jc w:val="right"/>
              <w:rPr>
                <w:lang w:val="fr-FR"/>
              </w:rPr>
            </w:pPr>
            <w:r w:rsidRPr="008415A9">
              <w:rPr>
                <w:noProof/>
                <w:lang w:eastAsia="zh-CN"/>
              </w:rPr>
              <w:drawing>
                <wp:inline distT="0" distB="0" distL="0" distR="0">
                  <wp:extent cx="882000" cy="792000"/>
                  <wp:effectExtent l="0" t="0" r="0" b="8255"/>
                  <wp:docPr id="2" name="Picture 2" title="CCITT/ITU-T 60th Anniversar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ntranet.itu.int/sites/itu-t/60/Logos%20and%20Images/ITU-T60_blue-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581B" w:rsidRPr="008415A9" w:rsidTr="00530525">
        <w:trPr>
          <w:cantSplit/>
        </w:trPr>
        <w:tc>
          <w:tcPr>
            <w:tcW w:w="6804" w:type="dxa"/>
            <w:gridSpan w:val="2"/>
            <w:tcBorders>
              <w:bottom w:val="single" w:sz="12" w:space="0" w:color="auto"/>
            </w:tcBorders>
          </w:tcPr>
          <w:p w:rsidR="00595780" w:rsidRPr="008415A9" w:rsidRDefault="00595780" w:rsidP="00530525">
            <w:pPr>
              <w:spacing w:before="0"/>
              <w:rPr>
                <w:lang w:val="fr-FR"/>
              </w:rPr>
            </w:pPr>
          </w:p>
        </w:tc>
        <w:tc>
          <w:tcPr>
            <w:tcW w:w="3007" w:type="dxa"/>
            <w:gridSpan w:val="2"/>
            <w:tcBorders>
              <w:bottom w:val="single" w:sz="12" w:space="0" w:color="auto"/>
            </w:tcBorders>
          </w:tcPr>
          <w:p w:rsidR="00595780" w:rsidRPr="008415A9" w:rsidRDefault="00595780" w:rsidP="00530525">
            <w:pPr>
              <w:spacing w:before="0"/>
              <w:rPr>
                <w:lang w:val="fr-FR"/>
              </w:rPr>
            </w:pPr>
          </w:p>
        </w:tc>
      </w:tr>
      <w:tr w:rsidR="001D581B" w:rsidRPr="008415A9" w:rsidTr="00530525">
        <w:trPr>
          <w:cantSplit/>
        </w:trPr>
        <w:tc>
          <w:tcPr>
            <w:tcW w:w="6804" w:type="dxa"/>
            <w:gridSpan w:val="2"/>
            <w:tcBorders>
              <w:top w:val="single" w:sz="12" w:space="0" w:color="auto"/>
            </w:tcBorders>
          </w:tcPr>
          <w:p w:rsidR="00595780" w:rsidRPr="008415A9" w:rsidRDefault="00595780" w:rsidP="00530525">
            <w:pPr>
              <w:spacing w:before="0"/>
              <w:rPr>
                <w:lang w:val="fr-FR"/>
              </w:rPr>
            </w:pPr>
          </w:p>
        </w:tc>
        <w:tc>
          <w:tcPr>
            <w:tcW w:w="3007" w:type="dxa"/>
            <w:gridSpan w:val="2"/>
          </w:tcPr>
          <w:p w:rsidR="00595780" w:rsidRPr="008415A9" w:rsidRDefault="00595780" w:rsidP="00530525">
            <w:pPr>
              <w:spacing w:before="0"/>
              <w:rPr>
                <w:rFonts w:ascii="Verdana" w:hAnsi="Verdana"/>
                <w:b/>
                <w:bCs/>
                <w:sz w:val="20"/>
                <w:lang w:val="fr-FR"/>
              </w:rPr>
            </w:pPr>
          </w:p>
        </w:tc>
      </w:tr>
      <w:tr w:rsidR="00C26BA2" w:rsidRPr="008415A9" w:rsidTr="00530525">
        <w:trPr>
          <w:cantSplit/>
        </w:trPr>
        <w:tc>
          <w:tcPr>
            <w:tcW w:w="6804" w:type="dxa"/>
            <w:gridSpan w:val="2"/>
          </w:tcPr>
          <w:p w:rsidR="00C26BA2" w:rsidRPr="008415A9" w:rsidRDefault="00C26BA2" w:rsidP="00530525">
            <w:pPr>
              <w:spacing w:before="0"/>
              <w:rPr>
                <w:lang w:val="fr-FR"/>
              </w:rPr>
            </w:pPr>
            <w:r w:rsidRPr="008415A9">
              <w:rPr>
                <w:rFonts w:ascii="Verdana" w:hAnsi="Verdana"/>
                <w:b/>
                <w:sz w:val="20"/>
                <w:lang w:val="fr-FR"/>
              </w:rPr>
              <w:t>SÉANCE PLÉNIÈRE</w:t>
            </w:r>
          </w:p>
        </w:tc>
        <w:tc>
          <w:tcPr>
            <w:tcW w:w="3007" w:type="dxa"/>
            <w:gridSpan w:val="2"/>
          </w:tcPr>
          <w:p w:rsidR="00C26BA2" w:rsidRPr="008415A9" w:rsidRDefault="00C26BA2" w:rsidP="00530525">
            <w:pPr>
              <w:spacing w:before="0"/>
              <w:rPr>
                <w:rFonts w:ascii="Verdana" w:hAnsi="Verdana"/>
                <w:b/>
                <w:sz w:val="20"/>
                <w:lang w:val="fr-FR"/>
              </w:rPr>
            </w:pPr>
            <w:r w:rsidRPr="008415A9">
              <w:rPr>
                <w:rFonts w:ascii="Verdana" w:hAnsi="Verdana"/>
                <w:b/>
                <w:sz w:val="20"/>
                <w:lang w:val="fr-FR"/>
              </w:rPr>
              <w:t>Addendum 3 au</w:t>
            </w:r>
            <w:r w:rsidRPr="008415A9">
              <w:rPr>
                <w:rFonts w:ascii="Verdana" w:hAnsi="Verdana"/>
                <w:b/>
                <w:sz w:val="20"/>
                <w:lang w:val="fr-FR"/>
              </w:rPr>
              <w:br/>
              <w:t>Document 45-F</w:t>
            </w:r>
          </w:p>
        </w:tc>
      </w:tr>
      <w:tr w:rsidR="001D581B" w:rsidRPr="008415A9" w:rsidTr="00530525">
        <w:trPr>
          <w:cantSplit/>
        </w:trPr>
        <w:tc>
          <w:tcPr>
            <w:tcW w:w="6804" w:type="dxa"/>
            <w:gridSpan w:val="2"/>
          </w:tcPr>
          <w:p w:rsidR="00595780" w:rsidRPr="008415A9" w:rsidRDefault="00595780" w:rsidP="00530525">
            <w:pPr>
              <w:spacing w:before="0"/>
              <w:rPr>
                <w:lang w:val="fr-FR"/>
              </w:rPr>
            </w:pPr>
          </w:p>
        </w:tc>
        <w:tc>
          <w:tcPr>
            <w:tcW w:w="3007" w:type="dxa"/>
            <w:gridSpan w:val="2"/>
          </w:tcPr>
          <w:p w:rsidR="00595780" w:rsidRPr="008415A9" w:rsidRDefault="00D04C23" w:rsidP="00530525">
            <w:pPr>
              <w:spacing w:before="0"/>
              <w:rPr>
                <w:lang w:val="fr-FR"/>
              </w:rPr>
            </w:pPr>
            <w:r>
              <w:rPr>
                <w:rFonts w:ascii="Verdana" w:hAnsi="Verdana"/>
                <w:b/>
                <w:sz w:val="20"/>
                <w:lang w:val="fr-FR"/>
              </w:rPr>
              <w:t>J</w:t>
            </w:r>
            <w:r w:rsidR="00C26BA2" w:rsidRPr="008415A9">
              <w:rPr>
                <w:rFonts w:ascii="Verdana" w:hAnsi="Verdana"/>
                <w:b/>
                <w:sz w:val="20"/>
                <w:lang w:val="fr-FR"/>
              </w:rPr>
              <w:t>uin 2016</w:t>
            </w:r>
          </w:p>
        </w:tc>
      </w:tr>
      <w:tr w:rsidR="001D581B" w:rsidRPr="008415A9" w:rsidTr="00530525">
        <w:trPr>
          <w:cantSplit/>
        </w:trPr>
        <w:tc>
          <w:tcPr>
            <w:tcW w:w="6804" w:type="dxa"/>
            <w:gridSpan w:val="2"/>
          </w:tcPr>
          <w:p w:rsidR="00595780" w:rsidRPr="008415A9" w:rsidRDefault="00595780" w:rsidP="00530525">
            <w:pPr>
              <w:spacing w:before="0"/>
              <w:rPr>
                <w:lang w:val="fr-FR"/>
              </w:rPr>
            </w:pPr>
          </w:p>
        </w:tc>
        <w:tc>
          <w:tcPr>
            <w:tcW w:w="3007" w:type="dxa"/>
            <w:gridSpan w:val="2"/>
          </w:tcPr>
          <w:p w:rsidR="00595780" w:rsidRPr="008415A9" w:rsidRDefault="00C26BA2" w:rsidP="00530525">
            <w:pPr>
              <w:spacing w:before="0"/>
              <w:rPr>
                <w:lang w:val="fr-FR"/>
              </w:rPr>
            </w:pPr>
            <w:r w:rsidRPr="008415A9">
              <w:rPr>
                <w:rFonts w:ascii="Verdana" w:hAnsi="Verdana"/>
                <w:b/>
                <w:sz w:val="20"/>
                <w:lang w:val="fr-FR"/>
              </w:rPr>
              <w:t>Original: anglais</w:t>
            </w:r>
          </w:p>
        </w:tc>
      </w:tr>
      <w:tr w:rsidR="000032AD" w:rsidRPr="008415A9" w:rsidTr="00530525">
        <w:trPr>
          <w:cantSplit/>
        </w:trPr>
        <w:tc>
          <w:tcPr>
            <w:tcW w:w="9811" w:type="dxa"/>
            <w:gridSpan w:val="4"/>
          </w:tcPr>
          <w:p w:rsidR="000032AD" w:rsidRPr="008415A9" w:rsidRDefault="000032AD" w:rsidP="00530525">
            <w:pPr>
              <w:spacing w:before="0"/>
              <w:rPr>
                <w:rFonts w:ascii="Verdana" w:hAnsi="Verdana"/>
                <w:b/>
                <w:bCs/>
                <w:sz w:val="20"/>
                <w:lang w:val="fr-FR"/>
              </w:rPr>
            </w:pPr>
          </w:p>
        </w:tc>
      </w:tr>
      <w:tr w:rsidR="00595780" w:rsidRPr="008415A9" w:rsidTr="00530525">
        <w:trPr>
          <w:cantSplit/>
        </w:trPr>
        <w:tc>
          <w:tcPr>
            <w:tcW w:w="9811" w:type="dxa"/>
            <w:gridSpan w:val="4"/>
          </w:tcPr>
          <w:p w:rsidR="00595780" w:rsidRPr="008415A9" w:rsidRDefault="004B3349" w:rsidP="004B3349">
            <w:pPr>
              <w:pStyle w:val="Source"/>
              <w:rPr>
                <w:lang w:val="fr-FR"/>
              </w:rPr>
            </w:pPr>
            <w:r w:rsidRPr="008415A9">
              <w:rPr>
                <w:lang w:val="fr-FR"/>
              </w:rPr>
              <w:t>Propositions européennes communes</w:t>
            </w:r>
          </w:p>
        </w:tc>
      </w:tr>
      <w:tr w:rsidR="00595780" w:rsidRPr="008415A9" w:rsidTr="00530525">
        <w:trPr>
          <w:cantSplit/>
        </w:trPr>
        <w:tc>
          <w:tcPr>
            <w:tcW w:w="9811" w:type="dxa"/>
            <w:gridSpan w:val="4"/>
          </w:tcPr>
          <w:p w:rsidR="00595780" w:rsidRPr="008415A9" w:rsidRDefault="00C26BA2" w:rsidP="0058653D">
            <w:pPr>
              <w:pStyle w:val="Title1"/>
              <w:rPr>
                <w:lang w:val="fr-FR"/>
              </w:rPr>
            </w:pPr>
            <w:r w:rsidRPr="008415A9">
              <w:rPr>
                <w:lang w:val="fr-FR"/>
              </w:rPr>
              <w:t>Stabili</w:t>
            </w:r>
            <w:r w:rsidR="0058653D" w:rsidRPr="008415A9">
              <w:rPr>
                <w:lang w:val="fr-FR"/>
              </w:rPr>
              <w:t>ser la Recomma</w:t>
            </w:r>
            <w:r w:rsidRPr="008415A9">
              <w:rPr>
                <w:lang w:val="fr-FR"/>
              </w:rPr>
              <w:t xml:space="preserve">ndation </w:t>
            </w:r>
            <w:r w:rsidR="0058653D" w:rsidRPr="008415A9">
              <w:rPr>
                <w:lang w:val="fr-FR"/>
              </w:rPr>
              <w:t xml:space="preserve">UIT-T </w:t>
            </w:r>
            <w:r w:rsidRPr="008415A9">
              <w:rPr>
                <w:lang w:val="fr-FR"/>
              </w:rPr>
              <w:t xml:space="preserve">A.7 </w:t>
            </w:r>
            <w:r w:rsidR="0058653D" w:rsidRPr="008415A9">
              <w:rPr>
                <w:lang w:val="fr-FR"/>
              </w:rPr>
              <w:t xml:space="preserve">relative </w:t>
            </w:r>
            <w:r w:rsidR="000C41CA" w:rsidRPr="008415A9">
              <w:rPr>
                <w:lang w:val="fr-FR"/>
              </w:rPr>
              <w:br/>
            </w:r>
            <w:r w:rsidR="0058653D" w:rsidRPr="008415A9">
              <w:rPr>
                <w:lang w:val="fr-FR"/>
              </w:rPr>
              <w:t>aux groupes spécialisés</w:t>
            </w:r>
          </w:p>
        </w:tc>
      </w:tr>
      <w:tr w:rsidR="00595780" w:rsidRPr="008415A9" w:rsidTr="00530525">
        <w:trPr>
          <w:cantSplit/>
        </w:trPr>
        <w:tc>
          <w:tcPr>
            <w:tcW w:w="9811" w:type="dxa"/>
            <w:gridSpan w:val="4"/>
          </w:tcPr>
          <w:p w:rsidR="00595780" w:rsidRPr="008415A9" w:rsidRDefault="00595780" w:rsidP="00530525">
            <w:pPr>
              <w:pStyle w:val="Title2"/>
              <w:rPr>
                <w:lang w:val="fr-FR"/>
              </w:rPr>
            </w:pPr>
          </w:p>
        </w:tc>
      </w:tr>
      <w:tr w:rsidR="00C26BA2" w:rsidRPr="008415A9" w:rsidTr="00530525">
        <w:trPr>
          <w:cantSplit/>
        </w:trPr>
        <w:tc>
          <w:tcPr>
            <w:tcW w:w="9811" w:type="dxa"/>
            <w:gridSpan w:val="4"/>
          </w:tcPr>
          <w:p w:rsidR="00C26BA2" w:rsidRPr="008415A9" w:rsidRDefault="00C26BA2" w:rsidP="00530525">
            <w:pPr>
              <w:pStyle w:val="Agendaitem"/>
              <w:rPr>
                <w:lang w:val="fr-FR"/>
              </w:rPr>
            </w:pPr>
          </w:p>
        </w:tc>
      </w:tr>
    </w:tbl>
    <w:p w:rsidR="00E11197" w:rsidRPr="008415A9" w:rsidRDefault="00E11197" w:rsidP="00E11197">
      <w:pPr>
        <w:rPr>
          <w:lang w:val="fr-FR"/>
        </w:rPr>
      </w:pPr>
    </w:p>
    <w:tbl>
      <w:tblPr>
        <w:tblW w:w="5089" w:type="pct"/>
        <w:tblLayout w:type="fixed"/>
        <w:tblLook w:val="0000" w:firstRow="0" w:lastRow="0" w:firstColumn="0" w:lastColumn="0" w:noHBand="0" w:noVBand="0"/>
      </w:tblPr>
      <w:tblGrid>
        <w:gridCol w:w="1912"/>
        <w:gridCol w:w="7899"/>
      </w:tblGrid>
      <w:tr w:rsidR="00E11197" w:rsidRPr="008415A9" w:rsidTr="00193AD1">
        <w:trPr>
          <w:cantSplit/>
        </w:trPr>
        <w:tc>
          <w:tcPr>
            <w:tcW w:w="1951" w:type="dxa"/>
          </w:tcPr>
          <w:p w:rsidR="00E11197" w:rsidRPr="008415A9" w:rsidRDefault="00E11197" w:rsidP="00193AD1">
            <w:pPr>
              <w:rPr>
                <w:lang w:val="fr-FR"/>
              </w:rPr>
            </w:pPr>
            <w:r w:rsidRPr="008415A9">
              <w:rPr>
                <w:b/>
                <w:bCs/>
                <w:lang w:val="fr-FR"/>
              </w:rPr>
              <w:t>Résumé:</w:t>
            </w:r>
          </w:p>
        </w:tc>
        <w:sdt>
          <w:sdtPr>
            <w:rPr>
              <w:lang w:val="fr-FR"/>
            </w:rPr>
            <w:alias w:val="Abstract"/>
            <w:tag w:val="Abstract"/>
            <w:id w:val="-939903723"/>
            <w:placeholder>
              <w:docPart w:val="CEF0515E39224C1BB445B352EB3113A9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<w:text/>
          </w:sdtPr>
          <w:sdtEndPr/>
          <w:sdtContent>
            <w:tc>
              <w:tcPr>
                <w:tcW w:w="8079" w:type="dxa"/>
              </w:tcPr>
              <w:p w:rsidR="00E11197" w:rsidRPr="008415A9" w:rsidRDefault="000C41CA" w:rsidP="00193AD1">
                <w:pPr>
                  <w:rPr>
                    <w:lang w:val="fr-FR"/>
                  </w:rPr>
                </w:pPr>
                <w:r w:rsidRPr="008415A9">
                  <w:rPr>
                    <w:lang w:val="fr-FR"/>
                  </w:rPr>
                  <w:t>Les auteurs considèrent que la Recommandation UIT-T A.7 est suffisamment aboutie et n'appelle pas de modifications supplémentaires et proposent en conséquence de reconfirmer sans modification la Recommandation UIT-T A.7 (2012) ainsi que l'Appendice I de ladite Recommandation (juin 2015).</w:t>
                </w:r>
              </w:p>
            </w:tc>
          </w:sdtContent>
        </w:sdt>
      </w:tr>
    </w:tbl>
    <w:p w:rsidR="00F776DF" w:rsidRPr="008415A9" w:rsidRDefault="00F776DF" w:rsidP="00DE6ED0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FR"/>
        </w:rPr>
      </w:pPr>
    </w:p>
    <w:p w:rsidR="00533038" w:rsidRPr="008415A9" w:rsidRDefault="00533038" w:rsidP="009533C9">
      <w:pPr>
        <w:pStyle w:val="Headingb"/>
        <w:rPr>
          <w:lang w:val="fr-FR"/>
        </w:rPr>
      </w:pPr>
      <w:r w:rsidRPr="008415A9">
        <w:rPr>
          <w:lang w:val="fr-FR"/>
        </w:rPr>
        <w:t>Introduction</w:t>
      </w:r>
    </w:p>
    <w:p w:rsidR="00533038" w:rsidRPr="008415A9" w:rsidRDefault="009533C9" w:rsidP="00760BC0">
      <w:pPr>
        <w:rPr>
          <w:lang w:val="fr-FR"/>
        </w:rPr>
      </w:pPr>
      <w:r w:rsidRPr="008415A9">
        <w:rPr>
          <w:lang w:val="fr-FR"/>
        </w:rPr>
        <w:t>L</w:t>
      </w:r>
      <w:r w:rsidR="000C41CA" w:rsidRPr="008415A9">
        <w:rPr>
          <w:lang w:val="fr-FR"/>
        </w:rPr>
        <w:t>'</w:t>
      </w:r>
      <w:r w:rsidRPr="008415A9">
        <w:rPr>
          <w:lang w:val="fr-FR"/>
        </w:rPr>
        <w:t xml:space="preserve">Europe </w:t>
      </w:r>
      <w:r w:rsidR="002934C6" w:rsidRPr="008415A9">
        <w:rPr>
          <w:lang w:val="fr-FR"/>
        </w:rPr>
        <w:t>a étudié l'incidence des groupes spécialisés</w:t>
      </w:r>
      <w:r w:rsidRPr="008415A9">
        <w:rPr>
          <w:lang w:val="fr-FR"/>
        </w:rPr>
        <w:t xml:space="preserve"> sur les travaux menés par les commissions d'études de l'UIT-T et le processus de création</w:t>
      </w:r>
      <w:r w:rsidR="002934C6" w:rsidRPr="008415A9">
        <w:rPr>
          <w:lang w:val="fr-FR"/>
        </w:rPr>
        <w:t xml:space="preserve"> </w:t>
      </w:r>
      <w:r w:rsidRPr="008415A9">
        <w:rPr>
          <w:lang w:val="fr-FR"/>
        </w:rPr>
        <w:t xml:space="preserve">de </w:t>
      </w:r>
      <w:r w:rsidR="002934C6" w:rsidRPr="008415A9">
        <w:rPr>
          <w:lang w:val="fr-FR"/>
        </w:rPr>
        <w:t>ces groupes.</w:t>
      </w:r>
    </w:p>
    <w:p w:rsidR="00533038" w:rsidRPr="008415A9" w:rsidRDefault="00533038" w:rsidP="00533038">
      <w:pPr>
        <w:pStyle w:val="Headingb"/>
        <w:rPr>
          <w:lang w:val="fr-FR"/>
        </w:rPr>
      </w:pPr>
      <w:r w:rsidRPr="008415A9">
        <w:rPr>
          <w:lang w:val="fr-FR"/>
        </w:rPr>
        <w:t>Analyse</w:t>
      </w:r>
    </w:p>
    <w:p w:rsidR="002934C6" w:rsidRPr="008415A9" w:rsidRDefault="009533C9">
      <w:pPr>
        <w:rPr>
          <w:lang w:val="fr-FR"/>
        </w:rPr>
        <w:pPrChange w:id="1" w:author="Sane, Marie Henriette" w:date="2012-11-17T11:23:00Z">
          <w:pPr>
            <w:spacing w:line="360" w:lineRule="auto"/>
          </w:pPr>
        </w:pPrChange>
      </w:pPr>
      <w:r w:rsidRPr="008415A9">
        <w:rPr>
          <w:lang w:val="fr-FR"/>
        </w:rPr>
        <w:t xml:space="preserve">La possibilité de disposer de groupes spécialisés a été établie à titre exceptionnel pour des questions particulières (en nombre limité). </w:t>
      </w:r>
      <w:r w:rsidR="002934C6" w:rsidRPr="008415A9">
        <w:rPr>
          <w:lang w:val="fr-FR"/>
        </w:rPr>
        <w:t xml:space="preserve">Le processus de création des groupes spécialisés a été conçu </w:t>
      </w:r>
      <w:r w:rsidR="00760BC0" w:rsidRPr="008415A9">
        <w:rPr>
          <w:lang w:val="fr-FR"/>
        </w:rPr>
        <w:t xml:space="preserve">dans le but d'éviter toute </w:t>
      </w:r>
      <w:r w:rsidR="00154B2C" w:rsidRPr="008415A9">
        <w:rPr>
          <w:lang w:val="fr-FR"/>
        </w:rPr>
        <w:t>charge de travail</w:t>
      </w:r>
      <w:r w:rsidR="00760BC0" w:rsidRPr="008415A9">
        <w:rPr>
          <w:lang w:val="fr-FR"/>
        </w:rPr>
        <w:t xml:space="preserve"> </w:t>
      </w:r>
      <w:r w:rsidR="002934C6" w:rsidRPr="008415A9">
        <w:rPr>
          <w:lang w:val="fr-FR"/>
        </w:rPr>
        <w:t>administrative</w:t>
      </w:r>
      <w:r w:rsidR="00760BC0" w:rsidRPr="008415A9">
        <w:rPr>
          <w:lang w:val="fr-FR"/>
        </w:rPr>
        <w:t xml:space="preserve"> inutile</w:t>
      </w:r>
      <w:r w:rsidR="002934C6" w:rsidRPr="008415A9">
        <w:rPr>
          <w:lang w:val="fr-FR"/>
        </w:rPr>
        <w:t xml:space="preserve">, mais prévoit néanmoins un temps de préparation minimal pour </w:t>
      </w:r>
      <w:r w:rsidR="00154B2C" w:rsidRPr="008415A9">
        <w:rPr>
          <w:lang w:val="fr-FR"/>
        </w:rPr>
        <w:t>qu</w:t>
      </w:r>
      <w:r w:rsidR="000C41CA" w:rsidRPr="008415A9">
        <w:rPr>
          <w:lang w:val="fr-FR"/>
        </w:rPr>
        <w:t>'</w:t>
      </w:r>
      <w:r w:rsidR="002934C6" w:rsidRPr="008415A9">
        <w:rPr>
          <w:lang w:val="fr-FR"/>
        </w:rPr>
        <w:t xml:space="preserve">une décision réfléchie </w:t>
      </w:r>
      <w:r w:rsidR="00154B2C" w:rsidRPr="008415A9">
        <w:rPr>
          <w:lang w:val="fr-FR"/>
        </w:rPr>
        <w:t xml:space="preserve">puisse être prise </w:t>
      </w:r>
      <w:r w:rsidR="002934C6" w:rsidRPr="008415A9">
        <w:rPr>
          <w:lang w:val="fr-FR"/>
        </w:rPr>
        <w:t>sur la création d'un nouveau groupe spécialisé. Cette charge de travail minimale prévoyait l'échange de propositions sous forme de documents ainsi qu'un délai déterminé visan</w:t>
      </w:r>
      <w:r w:rsidR="00154B2C" w:rsidRPr="008415A9">
        <w:rPr>
          <w:lang w:val="fr-FR"/>
        </w:rPr>
        <w:t>t à permettre la réflexion et les</w:t>
      </w:r>
      <w:r w:rsidR="002934C6" w:rsidRPr="008415A9">
        <w:rPr>
          <w:lang w:val="fr-FR"/>
        </w:rPr>
        <w:t xml:space="preserve"> consultation</w:t>
      </w:r>
      <w:r w:rsidR="00154B2C" w:rsidRPr="008415A9">
        <w:rPr>
          <w:lang w:val="fr-FR"/>
        </w:rPr>
        <w:t>s</w:t>
      </w:r>
      <w:r w:rsidR="002934C6" w:rsidRPr="008415A9">
        <w:rPr>
          <w:lang w:val="fr-FR"/>
        </w:rPr>
        <w:t xml:space="preserve"> entre les présidents</w:t>
      </w:r>
      <w:r w:rsidR="00154B2C" w:rsidRPr="008415A9">
        <w:rPr>
          <w:lang w:val="fr-FR"/>
        </w:rPr>
        <w:t xml:space="preserve"> des commissions d</w:t>
      </w:r>
      <w:r w:rsidR="000C41CA" w:rsidRPr="008415A9">
        <w:rPr>
          <w:lang w:val="fr-FR"/>
        </w:rPr>
        <w:t>'</w:t>
      </w:r>
      <w:r w:rsidR="00154B2C" w:rsidRPr="008415A9">
        <w:rPr>
          <w:lang w:val="fr-FR"/>
        </w:rPr>
        <w:t>études,</w:t>
      </w:r>
      <w:r w:rsidR="0093656B">
        <w:rPr>
          <w:lang w:val="fr-FR"/>
        </w:rPr>
        <w:t xml:space="preserve"> </w:t>
      </w:r>
      <w:r w:rsidR="002934C6" w:rsidRPr="008415A9">
        <w:rPr>
          <w:lang w:val="fr-FR"/>
        </w:rPr>
        <w:t>mais aussi entre l'ensemble des membres.</w:t>
      </w:r>
    </w:p>
    <w:p w:rsidR="00154B2C" w:rsidRPr="008415A9" w:rsidRDefault="00154B2C" w:rsidP="008415A9">
      <w:pPr>
        <w:rPr>
          <w:lang w:val="fr-FR"/>
        </w:rPr>
      </w:pPr>
      <w:r w:rsidRPr="008415A9">
        <w:rPr>
          <w:lang w:val="fr-FR"/>
        </w:rPr>
        <w:t>L</w:t>
      </w:r>
      <w:r w:rsidR="000C41CA" w:rsidRPr="008415A9">
        <w:rPr>
          <w:lang w:val="fr-FR"/>
        </w:rPr>
        <w:t>'</w:t>
      </w:r>
      <w:r w:rsidRPr="008415A9">
        <w:rPr>
          <w:lang w:val="fr-FR"/>
        </w:rPr>
        <w:t>Europe insiste pour que ces dispositions soient maintenues dans la Recommandation UIT-T A.7</w:t>
      </w:r>
      <w:r w:rsidR="00891EA6" w:rsidRPr="008415A9">
        <w:rPr>
          <w:lang w:val="fr-FR"/>
        </w:rPr>
        <w:t>.</w:t>
      </w:r>
      <w:r w:rsidR="008415A9">
        <w:rPr>
          <w:lang w:val="fr-FR"/>
        </w:rPr>
        <w:t xml:space="preserve"> </w:t>
      </w:r>
      <w:r w:rsidR="00891EA6" w:rsidRPr="008415A9">
        <w:rPr>
          <w:lang w:val="fr-FR"/>
        </w:rPr>
        <w:t>Toute proposition visant à atténuer ces dispositions, voire à les contourner, constituerait un motif de préoccupation pour la CEPT</w:t>
      </w:r>
      <w:r w:rsidR="001A023B" w:rsidRPr="008415A9">
        <w:rPr>
          <w:lang w:val="fr-FR"/>
        </w:rPr>
        <w:t xml:space="preserve">, dans la mesure </w:t>
      </w:r>
      <w:r w:rsidR="008415A9">
        <w:rPr>
          <w:lang w:val="fr-FR"/>
        </w:rPr>
        <w:t>où</w:t>
      </w:r>
      <w:r w:rsidR="001A023B" w:rsidRPr="008415A9">
        <w:rPr>
          <w:lang w:val="fr-FR"/>
        </w:rPr>
        <w:t xml:space="preserve"> il en résulterait des conséquences négatives pour les travaux et la situation de l</w:t>
      </w:r>
      <w:r w:rsidR="000C41CA" w:rsidRPr="008415A9">
        <w:rPr>
          <w:lang w:val="fr-FR"/>
        </w:rPr>
        <w:t>'</w:t>
      </w:r>
      <w:r w:rsidR="001A023B" w:rsidRPr="008415A9">
        <w:rPr>
          <w:lang w:val="fr-FR"/>
        </w:rPr>
        <w:t>UIT-T</w:t>
      </w:r>
      <w:r w:rsidR="00345CDE" w:rsidRPr="008415A9">
        <w:rPr>
          <w:lang w:val="fr-FR"/>
        </w:rPr>
        <w:t>.</w:t>
      </w:r>
      <w:r w:rsidR="001A023B" w:rsidRPr="008415A9">
        <w:rPr>
          <w:lang w:val="fr-FR"/>
        </w:rPr>
        <w:t xml:space="preserve"> </w:t>
      </w:r>
    </w:p>
    <w:p w:rsidR="002934C6" w:rsidRPr="008415A9" w:rsidRDefault="00BC775E">
      <w:pPr>
        <w:rPr>
          <w:lang w:val="fr-FR"/>
        </w:rPr>
        <w:pPrChange w:id="2" w:author="Sane, Marie Henriette" w:date="2012-11-17T11:23:00Z">
          <w:pPr>
            <w:spacing w:line="360" w:lineRule="auto"/>
          </w:pPr>
        </w:pPrChange>
      </w:pPr>
      <w:r w:rsidRPr="008415A9">
        <w:rPr>
          <w:lang w:val="fr-FR"/>
        </w:rPr>
        <w:lastRenderedPageBreak/>
        <w:t>En outre, l</w:t>
      </w:r>
      <w:r w:rsidR="000C41CA" w:rsidRPr="008415A9">
        <w:rPr>
          <w:lang w:val="fr-FR"/>
        </w:rPr>
        <w:t>'</w:t>
      </w:r>
      <w:r w:rsidRPr="008415A9">
        <w:rPr>
          <w:lang w:val="fr-FR"/>
        </w:rPr>
        <w:t>Europe tient à rappeler que le recours aux</w:t>
      </w:r>
      <w:r w:rsidR="002934C6" w:rsidRPr="008415A9">
        <w:rPr>
          <w:lang w:val="fr-FR"/>
        </w:rPr>
        <w:t xml:space="preserve"> groupes spécialisés n'est pas anodin au regard de la nécessité d'une limitation des ressources dans le cl</w:t>
      </w:r>
      <w:r w:rsidR="000B56AB" w:rsidRPr="008415A9">
        <w:rPr>
          <w:lang w:val="fr-FR"/>
        </w:rPr>
        <w:t>imat économique mondial actuel.</w:t>
      </w:r>
      <w:r w:rsidRPr="008415A9">
        <w:rPr>
          <w:lang w:val="fr-FR"/>
        </w:rPr>
        <w:t xml:space="preserve"> C</w:t>
      </w:r>
      <w:r w:rsidR="002934C6" w:rsidRPr="008415A9">
        <w:rPr>
          <w:lang w:val="fr-FR"/>
        </w:rPr>
        <w:t>ette situation pourrait être lourde de conséquences.</w:t>
      </w:r>
      <w:r w:rsidR="00047B2A" w:rsidRPr="008415A9">
        <w:rPr>
          <w:lang w:val="fr-FR"/>
        </w:rPr>
        <w:t xml:space="preserve"> </w:t>
      </w:r>
      <w:r w:rsidR="002934C6" w:rsidRPr="008415A9">
        <w:rPr>
          <w:lang w:val="fr-FR"/>
        </w:rPr>
        <w:t xml:space="preserve">En premier lieu, les groupes spécialisés peuvent utiliser des ressources qui devraient revenir aux commissions d'études. En second lieu, les groupes spécialisés </w:t>
      </w:r>
      <w:r w:rsidR="00325873" w:rsidRPr="008415A9">
        <w:rPr>
          <w:lang w:val="fr-FR"/>
        </w:rPr>
        <w:t xml:space="preserve">peuvent </w:t>
      </w:r>
      <w:r w:rsidR="002934C6" w:rsidRPr="008415A9">
        <w:rPr>
          <w:lang w:val="fr-FR"/>
        </w:rPr>
        <w:t>affaibli</w:t>
      </w:r>
      <w:r w:rsidR="00325873" w:rsidRPr="008415A9">
        <w:rPr>
          <w:lang w:val="fr-FR"/>
        </w:rPr>
        <w:t>r</w:t>
      </w:r>
      <w:r w:rsidR="002934C6" w:rsidRPr="008415A9">
        <w:rPr>
          <w:lang w:val="fr-FR"/>
        </w:rPr>
        <w:t xml:space="preserve"> le rôle des commissions d'études en entraînant </w:t>
      </w:r>
      <w:r w:rsidR="00325873" w:rsidRPr="008415A9">
        <w:rPr>
          <w:lang w:val="fr-FR"/>
        </w:rPr>
        <w:t>une</w:t>
      </w:r>
      <w:r w:rsidR="002934C6" w:rsidRPr="008415A9">
        <w:rPr>
          <w:lang w:val="fr-FR"/>
        </w:rPr>
        <w:t xml:space="preserve"> redondance de tâches qui, en l'absence de ces groupes, seraient accomplies dans le cadre des réunions des groupes de Rapporteur</w:t>
      </w:r>
      <w:r w:rsidR="00325873" w:rsidRPr="008415A9">
        <w:rPr>
          <w:lang w:val="fr-FR"/>
        </w:rPr>
        <w:t xml:space="preserve"> au sein </w:t>
      </w:r>
      <w:r w:rsidR="00325873" w:rsidRPr="008415A9">
        <w:rPr>
          <w:color w:val="000000"/>
          <w:lang w:val="fr-FR"/>
        </w:rPr>
        <w:t>des commissions d'études</w:t>
      </w:r>
      <w:r w:rsidR="002934C6" w:rsidRPr="008415A9">
        <w:rPr>
          <w:lang w:val="fr-FR"/>
        </w:rPr>
        <w:t xml:space="preserve">. </w:t>
      </w:r>
      <w:r w:rsidR="00325873" w:rsidRPr="008415A9">
        <w:rPr>
          <w:lang w:val="fr-FR"/>
        </w:rPr>
        <w:t>En conséquence, l</w:t>
      </w:r>
      <w:r w:rsidR="000C41CA" w:rsidRPr="008415A9">
        <w:rPr>
          <w:lang w:val="fr-FR"/>
        </w:rPr>
        <w:t>'</w:t>
      </w:r>
      <w:r w:rsidR="00325873" w:rsidRPr="008415A9">
        <w:rPr>
          <w:lang w:val="fr-FR"/>
        </w:rPr>
        <w:t>Europe est d</w:t>
      </w:r>
      <w:r w:rsidR="000C41CA" w:rsidRPr="008415A9">
        <w:rPr>
          <w:lang w:val="fr-FR"/>
        </w:rPr>
        <w:t>'</w:t>
      </w:r>
      <w:r w:rsidR="00325873" w:rsidRPr="008415A9">
        <w:rPr>
          <w:lang w:val="fr-FR"/>
        </w:rPr>
        <w:t>avis que la Recommandation UIT-T A.7</w:t>
      </w:r>
      <w:r w:rsidR="00325873" w:rsidRPr="008415A9">
        <w:rPr>
          <w:color w:val="000000"/>
          <w:lang w:val="fr-FR"/>
        </w:rPr>
        <w:t xml:space="preserve"> doit continuer de mettre en avant le rôle des commissions d'études de l'UIT-T ainsi que les connaissances dont elles disposent.</w:t>
      </w:r>
      <w:r w:rsidR="00325873" w:rsidRPr="008415A9">
        <w:rPr>
          <w:lang w:val="fr-FR"/>
        </w:rPr>
        <w:t xml:space="preserve"> </w:t>
      </w:r>
    </w:p>
    <w:p w:rsidR="00533038" w:rsidRPr="008415A9" w:rsidRDefault="002934C6" w:rsidP="006B6061">
      <w:pPr>
        <w:rPr>
          <w:lang w:val="fr-FR"/>
        </w:rPr>
      </w:pPr>
      <w:r w:rsidRPr="008415A9">
        <w:rPr>
          <w:lang w:val="fr-FR"/>
        </w:rPr>
        <w:t>En ce qui concerne la question du financement</w:t>
      </w:r>
      <w:r w:rsidR="006B6061" w:rsidRPr="008415A9">
        <w:rPr>
          <w:lang w:val="fr-FR"/>
        </w:rPr>
        <w:t>,</w:t>
      </w:r>
      <w:r w:rsidRPr="008415A9">
        <w:rPr>
          <w:lang w:val="fr-FR"/>
        </w:rPr>
        <w:t xml:space="preserve"> </w:t>
      </w:r>
      <w:r w:rsidR="006B6061" w:rsidRPr="008415A9">
        <w:rPr>
          <w:lang w:val="fr-FR"/>
        </w:rPr>
        <w:t>l</w:t>
      </w:r>
      <w:r w:rsidR="000C41CA" w:rsidRPr="008415A9">
        <w:rPr>
          <w:lang w:val="fr-FR"/>
        </w:rPr>
        <w:t>'</w:t>
      </w:r>
      <w:r w:rsidR="006B6061" w:rsidRPr="008415A9">
        <w:rPr>
          <w:lang w:val="fr-FR"/>
        </w:rPr>
        <w:t xml:space="preserve">Europe réaffirme que </w:t>
      </w:r>
      <w:r w:rsidR="000B56AB" w:rsidRPr="008415A9">
        <w:rPr>
          <w:lang w:val="fr-FR"/>
        </w:rPr>
        <w:t>c</w:t>
      </w:r>
      <w:r w:rsidR="006B6061" w:rsidRPr="008415A9">
        <w:rPr>
          <w:lang w:val="fr-FR"/>
        </w:rPr>
        <w:t>e</w:t>
      </w:r>
      <w:r w:rsidRPr="008415A9">
        <w:rPr>
          <w:lang w:val="fr-FR"/>
        </w:rPr>
        <w:t xml:space="preserve"> financement </w:t>
      </w:r>
      <w:r w:rsidR="006B6061" w:rsidRPr="008415A9">
        <w:rPr>
          <w:lang w:val="fr-FR"/>
        </w:rPr>
        <w:t>doit</w:t>
      </w:r>
      <w:r w:rsidRPr="008415A9">
        <w:rPr>
          <w:lang w:val="fr-FR"/>
        </w:rPr>
        <w:t xml:space="preserve"> être assuré au moyen des crédits budgétaires existants</w:t>
      </w:r>
      <w:r w:rsidR="000B56AB" w:rsidRPr="008415A9">
        <w:rPr>
          <w:lang w:val="fr-FR"/>
        </w:rPr>
        <w:t>,</w:t>
      </w:r>
      <w:r w:rsidR="0093656B">
        <w:rPr>
          <w:lang w:val="fr-FR"/>
        </w:rPr>
        <w:t xml:space="preserve"> </w:t>
      </w:r>
      <w:r w:rsidRPr="008415A9">
        <w:rPr>
          <w:lang w:val="fr-FR"/>
        </w:rPr>
        <w:t xml:space="preserve">sans </w:t>
      </w:r>
      <w:r w:rsidR="006B6061" w:rsidRPr="008415A9">
        <w:rPr>
          <w:lang w:val="fr-FR"/>
        </w:rPr>
        <w:t>renoncer aux</w:t>
      </w:r>
      <w:r w:rsidRPr="008415A9">
        <w:rPr>
          <w:lang w:val="fr-FR"/>
        </w:rPr>
        <w:t xml:space="preserve"> </w:t>
      </w:r>
      <w:r w:rsidR="006B6061" w:rsidRPr="008415A9">
        <w:rPr>
          <w:lang w:val="fr-FR"/>
        </w:rPr>
        <w:t xml:space="preserve">travaux </w:t>
      </w:r>
      <w:r w:rsidRPr="008415A9">
        <w:rPr>
          <w:lang w:val="fr-FR"/>
        </w:rPr>
        <w:t>importants en cours.</w:t>
      </w:r>
    </w:p>
    <w:p w:rsidR="00533038" w:rsidRPr="008415A9" w:rsidRDefault="00533038" w:rsidP="00533038">
      <w:pPr>
        <w:pStyle w:val="Headingb"/>
        <w:rPr>
          <w:lang w:val="fr-FR"/>
        </w:rPr>
      </w:pPr>
      <w:r w:rsidRPr="008415A9">
        <w:rPr>
          <w:lang w:val="fr-FR"/>
        </w:rPr>
        <w:t>Proposition</w:t>
      </w:r>
    </w:p>
    <w:p w:rsidR="00533038" w:rsidRPr="008415A9" w:rsidRDefault="000B56AB" w:rsidP="000C41CA">
      <w:pPr>
        <w:rPr>
          <w:lang w:val="fr-FR"/>
        </w:rPr>
      </w:pPr>
      <w:r w:rsidRPr="008415A9">
        <w:rPr>
          <w:lang w:val="fr-FR"/>
        </w:rPr>
        <w:t>Pour les raisons qui viennent d</w:t>
      </w:r>
      <w:r w:rsidR="000C41CA" w:rsidRPr="008415A9">
        <w:rPr>
          <w:lang w:val="fr-FR"/>
        </w:rPr>
        <w:t>'</w:t>
      </w:r>
      <w:r w:rsidRPr="008415A9">
        <w:rPr>
          <w:lang w:val="fr-FR"/>
        </w:rPr>
        <w:t>être exposées, l</w:t>
      </w:r>
      <w:r w:rsidR="000C41CA" w:rsidRPr="008415A9">
        <w:rPr>
          <w:lang w:val="fr-FR"/>
        </w:rPr>
        <w:t>'</w:t>
      </w:r>
      <w:r w:rsidRPr="008415A9">
        <w:rPr>
          <w:lang w:val="fr-FR"/>
        </w:rPr>
        <w:t xml:space="preserve">Europe est convaincue que </w:t>
      </w:r>
      <w:r w:rsidR="000C41CA" w:rsidRPr="008415A9">
        <w:rPr>
          <w:lang w:val="fr-FR"/>
        </w:rPr>
        <w:t>la Recommandation UIT</w:t>
      </w:r>
      <w:r w:rsidR="000C41CA" w:rsidRPr="008415A9">
        <w:rPr>
          <w:lang w:val="fr-FR"/>
        </w:rPr>
        <w:noBreakHyphen/>
      </w:r>
      <w:r w:rsidRPr="008415A9">
        <w:rPr>
          <w:lang w:val="fr-FR"/>
        </w:rPr>
        <w:t>T A.7 est à présent suffisamment aboutie et n</w:t>
      </w:r>
      <w:r w:rsidR="000C41CA" w:rsidRPr="008415A9">
        <w:rPr>
          <w:lang w:val="fr-FR"/>
        </w:rPr>
        <w:t>'</w:t>
      </w:r>
      <w:r w:rsidRPr="008415A9">
        <w:rPr>
          <w:lang w:val="fr-FR"/>
        </w:rPr>
        <w:t xml:space="preserve">appelle pas de modifications supplémentaires. En conséquence, il est proposé de maintenir le texte publié en novembre 2012 sans modification </w:t>
      </w:r>
      <w:r w:rsidR="008415A9" w:rsidRPr="008415A9">
        <w:rPr>
          <w:lang w:val="fr-FR"/>
        </w:rPr>
        <w:t>(sauf</w:t>
      </w:r>
      <w:r w:rsidRPr="008415A9">
        <w:rPr>
          <w:lang w:val="fr-FR"/>
        </w:rPr>
        <w:t xml:space="preserve"> en ce qui concerne</w:t>
      </w:r>
      <w:r w:rsidR="0093656B">
        <w:rPr>
          <w:lang w:val="fr-FR"/>
        </w:rPr>
        <w:t xml:space="preserve"> </w:t>
      </w:r>
      <w:r w:rsidRPr="008415A9">
        <w:rPr>
          <w:lang w:val="fr-FR"/>
        </w:rPr>
        <w:t>l</w:t>
      </w:r>
      <w:r w:rsidR="000C41CA" w:rsidRPr="008415A9">
        <w:rPr>
          <w:lang w:val="fr-FR"/>
        </w:rPr>
        <w:t>'</w:t>
      </w:r>
      <w:r w:rsidRPr="008415A9">
        <w:rPr>
          <w:lang w:val="fr-FR"/>
        </w:rPr>
        <w:t>adjonction de l</w:t>
      </w:r>
      <w:r w:rsidR="000C41CA" w:rsidRPr="008415A9">
        <w:rPr>
          <w:lang w:val="fr-FR"/>
        </w:rPr>
        <w:t>'</w:t>
      </w:r>
      <w:r w:rsidRPr="008415A9">
        <w:rPr>
          <w:lang w:val="fr-FR"/>
        </w:rPr>
        <w:t>Appendice I approuvée à la réunion de juin 2015 du GCNT).</w:t>
      </w:r>
    </w:p>
    <w:p w:rsidR="00F776DF" w:rsidRPr="008415A9" w:rsidRDefault="00F776D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FR"/>
        </w:rPr>
      </w:pPr>
      <w:r w:rsidRPr="008415A9">
        <w:rPr>
          <w:lang w:val="fr-FR"/>
        </w:rPr>
        <w:br w:type="page"/>
      </w:r>
    </w:p>
    <w:p w:rsidR="00987C1F" w:rsidRPr="008415A9" w:rsidRDefault="00987C1F" w:rsidP="00A811DC">
      <w:pPr>
        <w:rPr>
          <w:lang w:val="fr-FR"/>
        </w:rPr>
      </w:pPr>
    </w:p>
    <w:p w:rsidR="00DC1B58" w:rsidRPr="008415A9" w:rsidRDefault="00A779F5">
      <w:pPr>
        <w:pStyle w:val="Proposal"/>
        <w:rPr>
          <w:lang w:val="fr-FR"/>
        </w:rPr>
      </w:pPr>
      <w:r w:rsidRPr="008415A9">
        <w:rPr>
          <w:u w:val="single"/>
          <w:lang w:val="fr-FR"/>
        </w:rPr>
        <w:t>NOC</w:t>
      </w:r>
      <w:r w:rsidRPr="008415A9">
        <w:rPr>
          <w:lang w:val="fr-FR"/>
        </w:rPr>
        <w:tab/>
        <w:t>EUR/45A3/1</w:t>
      </w:r>
    </w:p>
    <w:p w:rsidR="00381885" w:rsidRPr="008415A9" w:rsidRDefault="00A779F5" w:rsidP="00381885">
      <w:pPr>
        <w:pStyle w:val="RecNo"/>
        <w:rPr>
          <w:lang w:val="fr-FR"/>
        </w:rPr>
      </w:pPr>
      <w:r w:rsidRPr="008415A9">
        <w:rPr>
          <w:lang w:val="fr-FR"/>
        </w:rPr>
        <w:t>Recommandation UIT</w:t>
      </w:r>
      <w:r w:rsidRPr="008415A9">
        <w:rPr>
          <w:lang w:val="fr-FR"/>
        </w:rPr>
        <w:noBreakHyphen/>
        <w:t xml:space="preserve">T </w:t>
      </w:r>
      <w:r w:rsidRPr="008415A9">
        <w:rPr>
          <w:rStyle w:val="href"/>
          <w:lang w:val="fr-FR"/>
        </w:rPr>
        <w:t>A.7</w:t>
      </w:r>
    </w:p>
    <w:p w:rsidR="00381885" w:rsidRPr="008415A9" w:rsidRDefault="00A779F5" w:rsidP="00381885">
      <w:pPr>
        <w:pStyle w:val="Rectitle"/>
        <w:rPr>
          <w:lang w:val="fr-FR"/>
        </w:rPr>
      </w:pPr>
      <w:r w:rsidRPr="008415A9">
        <w:rPr>
          <w:lang w:val="fr-FR"/>
        </w:rPr>
        <w:t>Groupes sp</w:t>
      </w:r>
      <w:r w:rsidRPr="008415A9">
        <w:rPr>
          <w:lang w:val="fr-FR"/>
        </w:rPr>
        <w:t>é</w:t>
      </w:r>
      <w:r w:rsidRPr="008415A9">
        <w:rPr>
          <w:lang w:val="fr-FR"/>
        </w:rPr>
        <w:t>cialis</w:t>
      </w:r>
      <w:r w:rsidRPr="008415A9">
        <w:rPr>
          <w:lang w:val="fr-FR"/>
        </w:rPr>
        <w:t>é</w:t>
      </w:r>
      <w:r w:rsidRPr="008415A9">
        <w:rPr>
          <w:lang w:val="fr-FR"/>
        </w:rPr>
        <w:t>s: cr</w:t>
      </w:r>
      <w:r w:rsidRPr="008415A9">
        <w:rPr>
          <w:lang w:val="fr-FR"/>
        </w:rPr>
        <w:t>é</w:t>
      </w:r>
      <w:r w:rsidRPr="008415A9">
        <w:rPr>
          <w:lang w:val="fr-FR"/>
        </w:rPr>
        <w:t>ation et m</w:t>
      </w:r>
      <w:r w:rsidRPr="008415A9">
        <w:rPr>
          <w:lang w:val="fr-FR"/>
        </w:rPr>
        <w:t>é</w:t>
      </w:r>
      <w:r w:rsidRPr="008415A9">
        <w:rPr>
          <w:lang w:val="fr-FR"/>
        </w:rPr>
        <w:t>thodes de travail</w:t>
      </w:r>
    </w:p>
    <w:p w:rsidR="00381885" w:rsidRPr="008415A9" w:rsidRDefault="00A779F5" w:rsidP="00CA3595">
      <w:pPr>
        <w:pStyle w:val="Recdate"/>
        <w:jc w:val="center"/>
        <w:rPr>
          <w:rFonts w:hint="eastAsia"/>
          <w:lang w:val="fr-FR"/>
        </w:rPr>
      </w:pPr>
      <w:r w:rsidRPr="008415A9">
        <w:rPr>
          <w:lang w:val="fr-FR"/>
        </w:rPr>
        <w:t>(2000; 2002; 2004; 2006; 2008; 2012; 2015)</w:t>
      </w:r>
      <w:r w:rsidRPr="008415A9">
        <w:rPr>
          <w:rStyle w:val="FootnoteReference"/>
          <w:lang w:val="fr-FR"/>
        </w:rPr>
        <w:footnoteReference w:id="1"/>
      </w:r>
    </w:p>
    <w:p w:rsidR="00DC1B58" w:rsidRPr="008415A9" w:rsidRDefault="00A779F5" w:rsidP="000B56AB">
      <w:pPr>
        <w:pStyle w:val="Reasons"/>
        <w:rPr>
          <w:lang w:val="fr-FR"/>
        </w:rPr>
      </w:pPr>
      <w:r w:rsidRPr="008415A9">
        <w:rPr>
          <w:b/>
          <w:lang w:val="fr-FR"/>
        </w:rPr>
        <w:t>Motifs:</w:t>
      </w:r>
      <w:r w:rsidRPr="008415A9">
        <w:rPr>
          <w:lang w:val="fr-FR"/>
        </w:rPr>
        <w:tab/>
      </w:r>
      <w:r w:rsidR="000B56AB" w:rsidRPr="008415A9">
        <w:rPr>
          <w:lang w:val="fr-FR"/>
        </w:rPr>
        <w:t>Voir l</w:t>
      </w:r>
      <w:r w:rsidR="000C41CA" w:rsidRPr="008415A9">
        <w:rPr>
          <w:lang w:val="fr-FR"/>
        </w:rPr>
        <w:t>'</w:t>
      </w:r>
      <w:r w:rsidR="000B56AB" w:rsidRPr="008415A9">
        <w:rPr>
          <w:lang w:val="fr-FR"/>
        </w:rPr>
        <w:t>introduction de l</w:t>
      </w:r>
      <w:r w:rsidR="000C41CA" w:rsidRPr="008415A9">
        <w:rPr>
          <w:lang w:val="fr-FR"/>
        </w:rPr>
        <w:t>'</w:t>
      </w:r>
      <w:r w:rsidR="000B56AB" w:rsidRPr="008415A9">
        <w:rPr>
          <w:lang w:val="fr-FR"/>
        </w:rPr>
        <w:t>Addendum 3 au Document 45. L</w:t>
      </w:r>
      <w:r w:rsidR="000C41CA" w:rsidRPr="008415A9">
        <w:rPr>
          <w:lang w:val="fr-FR"/>
        </w:rPr>
        <w:t>'</w:t>
      </w:r>
      <w:r w:rsidR="000B56AB" w:rsidRPr="008415A9">
        <w:rPr>
          <w:lang w:val="fr-FR"/>
        </w:rPr>
        <w:t xml:space="preserve">Europe </w:t>
      </w:r>
      <w:r w:rsidR="000B56AB" w:rsidRPr="008415A9">
        <w:rPr>
          <w:color w:val="000000"/>
          <w:lang w:val="fr-FR"/>
        </w:rPr>
        <w:t xml:space="preserve">propose de maintenir le texte publié en novembre 2012 sans modification </w:t>
      </w:r>
      <w:r w:rsidR="008415A9" w:rsidRPr="008415A9">
        <w:rPr>
          <w:color w:val="000000"/>
          <w:lang w:val="fr-FR"/>
        </w:rPr>
        <w:t>(sauf</w:t>
      </w:r>
      <w:r w:rsidR="000B56AB" w:rsidRPr="008415A9">
        <w:rPr>
          <w:color w:val="000000"/>
          <w:lang w:val="fr-FR"/>
        </w:rPr>
        <w:t xml:space="preserve"> en ce qui concerne</w:t>
      </w:r>
      <w:r w:rsidR="0093656B">
        <w:rPr>
          <w:color w:val="000000"/>
          <w:lang w:val="fr-FR"/>
        </w:rPr>
        <w:t xml:space="preserve"> </w:t>
      </w:r>
      <w:r w:rsidR="000B56AB" w:rsidRPr="008415A9">
        <w:rPr>
          <w:color w:val="000000"/>
          <w:lang w:val="fr-FR"/>
        </w:rPr>
        <w:t>l</w:t>
      </w:r>
      <w:r w:rsidR="000C41CA" w:rsidRPr="008415A9">
        <w:rPr>
          <w:color w:val="000000"/>
          <w:lang w:val="fr-FR"/>
        </w:rPr>
        <w:t>'</w:t>
      </w:r>
      <w:r w:rsidR="000B56AB" w:rsidRPr="008415A9">
        <w:rPr>
          <w:color w:val="000000"/>
          <w:lang w:val="fr-FR"/>
        </w:rPr>
        <w:t>adjonction de l</w:t>
      </w:r>
      <w:r w:rsidR="000C41CA" w:rsidRPr="008415A9">
        <w:rPr>
          <w:color w:val="000000"/>
          <w:lang w:val="fr-FR"/>
        </w:rPr>
        <w:t>'</w:t>
      </w:r>
      <w:r w:rsidR="000B56AB" w:rsidRPr="008415A9">
        <w:rPr>
          <w:color w:val="000000"/>
          <w:lang w:val="fr-FR"/>
        </w:rPr>
        <w:t>Appendice I approuvée à la réunion de juin 2015 du GCNT).</w:t>
      </w:r>
    </w:p>
    <w:p w:rsidR="00A779F5" w:rsidRPr="008415A9" w:rsidRDefault="00A779F5">
      <w:pPr>
        <w:pStyle w:val="Reasons"/>
        <w:rPr>
          <w:lang w:val="fr-FR"/>
        </w:rPr>
      </w:pPr>
    </w:p>
    <w:p w:rsidR="00A779F5" w:rsidRPr="008415A9" w:rsidRDefault="00A779F5">
      <w:pPr>
        <w:pStyle w:val="Reasons"/>
        <w:rPr>
          <w:lang w:val="fr-FR"/>
        </w:rPr>
      </w:pPr>
    </w:p>
    <w:p w:rsidR="00A779F5" w:rsidRPr="008415A9" w:rsidRDefault="00A779F5" w:rsidP="00A779F5">
      <w:pPr>
        <w:jc w:val="center"/>
        <w:rPr>
          <w:lang w:val="fr-FR"/>
        </w:rPr>
      </w:pPr>
      <w:r w:rsidRPr="008415A9">
        <w:rPr>
          <w:lang w:val="fr-FR"/>
        </w:rPr>
        <w:t>______________</w:t>
      </w:r>
    </w:p>
    <w:sectPr w:rsidR="00A779F5" w:rsidRPr="008415A9">
      <w:headerReference w:type="default" r:id="rId12"/>
      <w:footerReference w:type="even" r:id="rId13"/>
      <w:footerReference w:type="default" r:id="rId14"/>
      <w:footerReference w:type="first" r:id="rId15"/>
      <w:type w:val="continuous"/>
      <w:pgSz w:w="11907" w:h="16840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642" w:rsidRDefault="00D11642">
      <w:r>
        <w:separator/>
      </w:r>
    </w:p>
  </w:endnote>
  <w:endnote w:type="continuationSeparator" w:id="0">
    <w:p w:rsidR="00D11642" w:rsidRDefault="00D1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D04C23" w:rsidRDefault="00E45D05">
    <w:pPr>
      <w:ind w:right="360"/>
      <w:rPr>
        <w:lang w:val="fr-CH"/>
      </w:rPr>
    </w:pPr>
    <w:r>
      <w:fldChar w:fldCharType="begin"/>
    </w:r>
    <w:r w:rsidRPr="00D04C23">
      <w:rPr>
        <w:lang w:val="fr-CH"/>
      </w:rPr>
      <w:instrText xml:space="preserve"> FILENAME \p  \* MERGEFORMAT </w:instrText>
    </w:r>
    <w:r>
      <w:fldChar w:fldCharType="separate"/>
    </w:r>
    <w:r w:rsidR="0093656B">
      <w:rPr>
        <w:noProof/>
        <w:lang w:val="fr-CH"/>
      </w:rPr>
      <w:t>P:\FRA\ITU-T\CONF-T\WTSA16\000\045ADD03F.docx</w:t>
    </w:r>
    <w:r>
      <w:fldChar w:fldCharType="end"/>
    </w:r>
    <w:r w:rsidRPr="00D04C23">
      <w:rPr>
        <w:lang w:val="fr-CH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30326">
      <w:rPr>
        <w:noProof/>
      </w:rPr>
      <w:t>19.07.16</w:t>
    </w:r>
    <w:r>
      <w:fldChar w:fldCharType="end"/>
    </w:r>
    <w:r w:rsidRPr="00D04C23">
      <w:rPr>
        <w:lang w:val="fr-CH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3656B">
      <w:rPr>
        <w:noProof/>
      </w:rPr>
      <w:t>05.07.16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Pr="00EA07A6" w:rsidRDefault="00EA07A6" w:rsidP="00EA07A6">
    <w:pPr>
      <w:pStyle w:val="Footer"/>
      <w:rPr>
        <w:lang w:val="fr-CH"/>
      </w:rPr>
    </w:pPr>
    <w:r w:rsidRPr="00CF3BD7">
      <w:rPr>
        <w:lang w:val="fr-CH"/>
      </w:rPr>
      <w:t>ITU-T\CONF-T\WTSA16\000\045ADD3</w:t>
    </w:r>
    <w:r>
      <w:rPr>
        <w:lang w:val="fr-CH"/>
      </w:rPr>
      <w:t>F</w:t>
    </w:r>
    <w:r w:rsidRPr="00CF3BD7">
      <w:rPr>
        <w:lang w:val="fr-CH"/>
      </w:rPr>
      <w:t>.DOC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C1F" w:rsidRPr="00EA07A6" w:rsidRDefault="00EA07A6" w:rsidP="00EA07A6">
    <w:pPr>
      <w:pStyle w:val="Footer"/>
      <w:rPr>
        <w:lang w:val="fr-CH"/>
      </w:rPr>
    </w:pPr>
    <w:r w:rsidRPr="00CF3BD7">
      <w:rPr>
        <w:lang w:val="fr-CH"/>
      </w:rPr>
      <w:t>ITU-T\CONF-T\WTSA16\000\045ADD3</w:t>
    </w:r>
    <w:r>
      <w:rPr>
        <w:lang w:val="fr-CH"/>
      </w:rPr>
      <w:t>F</w:t>
    </w:r>
    <w:r w:rsidRPr="00CF3BD7">
      <w:rPr>
        <w:lang w:val="fr-CH"/>
      </w:rPr>
      <w:t>.DOC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642" w:rsidRDefault="00D11642">
      <w:r>
        <w:rPr>
          <w:b/>
        </w:rPr>
        <w:t>_______________</w:t>
      </w:r>
    </w:p>
  </w:footnote>
  <w:footnote w:type="continuationSeparator" w:id="0">
    <w:p w:rsidR="00D11642" w:rsidRDefault="00D11642">
      <w:r>
        <w:continuationSeparator/>
      </w:r>
    </w:p>
  </w:footnote>
  <w:footnote w:id="1">
    <w:p w:rsidR="00EA1054" w:rsidRPr="00381885" w:rsidRDefault="00A779F5" w:rsidP="000C5D1A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>
        <w:rPr>
          <w:lang w:val="fr-CH"/>
        </w:rPr>
        <w:tab/>
      </w:r>
      <w:r w:rsidRPr="00381885">
        <w:rPr>
          <w:lang w:val="fr-CH"/>
        </w:rPr>
        <w:t>La présente publication inclut la version de la Recommandation UIT-T A.7 approuvée en 2012, à laquelle est incorporé son Amendement 1 (2015)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C1F" w:rsidRDefault="00987C1F" w:rsidP="00987C1F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230326">
      <w:rPr>
        <w:noProof/>
      </w:rPr>
      <w:t>3</w:t>
    </w:r>
    <w:r>
      <w:fldChar w:fldCharType="end"/>
    </w:r>
  </w:p>
  <w:p w:rsidR="00987C1F" w:rsidRDefault="00E07AF5" w:rsidP="00987C1F">
    <w:pPr>
      <w:pStyle w:val="Header"/>
    </w:pPr>
    <w:r>
      <w:t>AMNT16</w:t>
    </w:r>
    <w:r w:rsidR="00987C1F">
      <w:t>/45(Add.3)-</w:t>
    </w:r>
    <w:r w:rsidR="00987C1F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F6"/>
    <w:rsid w:val="000032AD"/>
    <w:rsid w:val="000041EA"/>
    <w:rsid w:val="00012C24"/>
    <w:rsid w:val="00022A29"/>
    <w:rsid w:val="000355FD"/>
    <w:rsid w:val="00047B2A"/>
    <w:rsid w:val="00051E39"/>
    <w:rsid w:val="00077239"/>
    <w:rsid w:val="00086491"/>
    <w:rsid w:val="00091346"/>
    <w:rsid w:val="0009706C"/>
    <w:rsid w:val="000B56AB"/>
    <w:rsid w:val="000C41CA"/>
    <w:rsid w:val="000F1717"/>
    <w:rsid w:val="000F73FF"/>
    <w:rsid w:val="00114CF7"/>
    <w:rsid w:val="00123B68"/>
    <w:rsid w:val="00126F2E"/>
    <w:rsid w:val="00146F6F"/>
    <w:rsid w:val="00154B2C"/>
    <w:rsid w:val="00164C14"/>
    <w:rsid w:val="00187BD9"/>
    <w:rsid w:val="00190B55"/>
    <w:rsid w:val="001A023B"/>
    <w:rsid w:val="001C3B5F"/>
    <w:rsid w:val="001D058F"/>
    <w:rsid w:val="001D581B"/>
    <w:rsid w:val="001D77E9"/>
    <w:rsid w:val="001E1430"/>
    <w:rsid w:val="002009EA"/>
    <w:rsid w:val="00202CA0"/>
    <w:rsid w:val="00216B6D"/>
    <w:rsid w:val="00230326"/>
    <w:rsid w:val="00250AF4"/>
    <w:rsid w:val="00271316"/>
    <w:rsid w:val="002934C6"/>
    <w:rsid w:val="002B2A75"/>
    <w:rsid w:val="002D58BE"/>
    <w:rsid w:val="002E210D"/>
    <w:rsid w:val="003236A6"/>
    <w:rsid w:val="00325873"/>
    <w:rsid w:val="00332C56"/>
    <w:rsid w:val="00345CDE"/>
    <w:rsid w:val="00377BD3"/>
    <w:rsid w:val="003832C0"/>
    <w:rsid w:val="00384088"/>
    <w:rsid w:val="0039169B"/>
    <w:rsid w:val="003A7F8C"/>
    <w:rsid w:val="003B532E"/>
    <w:rsid w:val="003D0F8B"/>
    <w:rsid w:val="004079B0"/>
    <w:rsid w:val="0041348E"/>
    <w:rsid w:val="00417AD4"/>
    <w:rsid w:val="00444030"/>
    <w:rsid w:val="004508E2"/>
    <w:rsid w:val="00476533"/>
    <w:rsid w:val="00492075"/>
    <w:rsid w:val="004969AD"/>
    <w:rsid w:val="004A26C4"/>
    <w:rsid w:val="004B13CB"/>
    <w:rsid w:val="004B3349"/>
    <w:rsid w:val="004D5D5C"/>
    <w:rsid w:val="004E42A3"/>
    <w:rsid w:val="0050139F"/>
    <w:rsid w:val="00530525"/>
    <w:rsid w:val="00533038"/>
    <w:rsid w:val="0055140B"/>
    <w:rsid w:val="0058653D"/>
    <w:rsid w:val="00595780"/>
    <w:rsid w:val="005964AB"/>
    <w:rsid w:val="005C099A"/>
    <w:rsid w:val="005C31A5"/>
    <w:rsid w:val="005E10C9"/>
    <w:rsid w:val="005E61DD"/>
    <w:rsid w:val="006023DF"/>
    <w:rsid w:val="00657DE0"/>
    <w:rsid w:val="00685313"/>
    <w:rsid w:val="0069092B"/>
    <w:rsid w:val="00692833"/>
    <w:rsid w:val="006A6E9B"/>
    <w:rsid w:val="006B249F"/>
    <w:rsid w:val="006B6061"/>
    <w:rsid w:val="006B7C2A"/>
    <w:rsid w:val="006C23DA"/>
    <w:rsid w:val="006E3D45"/>
    <w:rsid w:val="006F580E"/>
    <w:rsid w:val="007149F9"/>
    <w:rsid w:val="00733A30"/>
    <w:rsid w:val="00745AEE"/>
    <w:rsid w:val="00750F10"/>
    <w:rsid w:val="00760BC0"/>
    <w:rsid w:val="007742CA"/>
    <w:rsid w:val="00790D70"/>
    <w:rsid w:val="007D5320"/>
    <w:rsid w:val="007E4498"/>
    <w:rsid w:val="008006C5"/>
    <w:rsid w:val="00800972"/>
    <w:rsid w:val="00804475"/>
    <w:rsid w:val="00811633"/>
    <w:rsid w:val="00813B79"/>
    <w:rsid w:val="008415A9"/>
    <w:rsid w:val="00864CD2"/>
    <w:rsid w:val="00872FC8"/>
    <w:rsid w:val="008845D0"/>
    <w:rsid w:val="00891EA6"/>
    <w:rsid w:val="008A69FB"/>
    <w:rsid w:val="008B19C1"/>
    <w:rsid w:val="008B1AEA"/>
    <w:rsid w:val="008B43F2"/>
    <w:rsid w:val="008B6CFF"/>
    <w:rsid w:val="008C27E9"/>
    <w:rsid w:val="0092425C"/>
    <w:rsid w:val="009274B4"/>
    <w:rsid w:val="00934EA2"/>
    <w:rsid w:val="0093656B"/>
    <w:rsid w:val="00940614"/>
    <w:rsid w:val="00944A5C"/>
    <w:rsid w:val="00952A66"/>
    <w:rsid w:val="009533C9"/>
    <w:rsid w:val="00957670"/>
    <w:rsid w:val="00987C1F"/>
    <w:rsid w:val="009C3191"/>
    <w:rsid w:val="009C56E5"/>
    <w:rsid w:val="009E5FC8"/>
    <w:rsid w:val="009E687A"/>
    <w:rsid w:val="009F63E2"/>
    <w:rsid w:val="00A066F1"/>
    <w:rsid w:val="00A141AF"/>
    <w:rsid w:val="00A16D29"/>
    <w:rsid w:val="00A30305"/>
    <w:rsid w:val="00A31D2D"/>
    <w:rsid w:val="00A4600A"/>
    <w:rsid w:val="00A538A6"/>
    <w:rsid w:val="00A54C25"/>
    <w:rsid w:val="00A676B5"/>
    <w:rsid w:val="00A710E7"/>
    <w:rsid w:val="00A7372E"/>
    <w:rsid w:val="00A779F5"/>
    <w:rsid w:val="00A811DC"/>
    <w:rsid w:val="00A90939"/>
    <w:rsid w:val="00A93B85"/>
    <w:rsid w:val="00A94A88"/>
    <w:rsid w:val="00AA0B18"/>
    <w:rsid w:val="00AA666F"/>
    <w:rsid w:val="00AB5A50"/>
    <w:rsid w:val="00AB7C5F"/>
    <w:rsid w:val="00B31EF6"/>
    <w:rsid w:val="00B639E9"/>
    <w:rsid w:val="00B817CD"/>
    <w:rsid w:val="00B94AD0"/>
    <w:rsid w:val="00BA5265"/>
    <w:rsid w:val="00BB3A95"/>
    <w:rsid w:val="00BB6D50"/>
    <w:rsid w:val="00BC775E"/>
    <w:rsid w:val="00C0018F"/>
    <w:rsid w:val="00C16A5A"/>
    <w:rsid w:val="00C20466"/>
    <w:rsid w:val="00C214ED"/>
    <w:rsid w:val="00C234E6"/>
    <w:rsid w:val="00C26BA2"/>
    <w:rsid w:val="00C324A8"/>
    <w:rsid w:val="00C54517"/>
    <w:rsid w:val="00C64CD8"/>
    <w:rsid w:val="00C97C68"/>
    <w:rsid w:val="00CA1A47"/>
    <w:rsid w:val="00CA3595"/>
    <w:rsid w:val="00CC247A"/>
    <w:rsid w:val="00CE388F"/>
    <w:rsid w:val="00CE5E47"/>
    <w:rsid w:val="00CF020F"/>
    <w:rsid w:val="00CF1E9D"/>
    <w:rsid w:val="00CF2B5B"/>
    <w:rsid w:val="00D04C23"/>
    <w:rsid w:val="00D11642"/>
    <w:rsid w:val="00D14CE0"/>
    <w:rsid w:val="00D54009"/>
    <w:rsid w:val="00D5651D"/>
    <w:rsid w:val="00D57A34"/>
    <w:rsid w:val="00D6112A"/>
    <w:rsid w:val="00D74898"/>
    <w:rsid w:val="00D801ED"/>
    <w:rsid w:val="00D936BC"/>
    <w:rsid w:val="00D96530"/>
    <w:rsid w:val="00DC1B58"/>
    <w:rsid w:val="00DD44AF"/>
    <w:rsid w:val="00DE2AC3"/>
    <w:rsid w:val="00DE5692"/>
    <w:rsid w:val="00DE6ED0"/>
    <w:rsid w:val="00E03C94"/>
    <w:rsid w:val="00E07AF5"/>
    <w:rsid w:val="00E11197"/>
    <w:rsid w:val="00E14E2A"/>
    <w:rsid w:val="00E26226"/>
    <w:rsid w:val="00E45D05"/>
    <w:rsid w:val="00E55816"/>
    <w:rsid w:val="00E55AEF"/>
    <w:rsid w:val="00E84ED7"/>
    <w:rsid w:val="00E917FD"/>
    <w:rsid w:val="00E976C1"/>
    <w:rsid w:val="00EA07A6"/>
    <w:rsid w:val="00EA12E5"/>
    <w:rsid w:val="00EB55C6"/>
    <w:rsid w:val="00EF2B09"/>
    <w:rsid w:val="00F02766"/>
    <w:rsid w:val="00F05BD4"/>
    <w:rsid w:val="00F6155B"/>
    <w:rsid w:val="00F65C19"/>
    <w:rsid w:val="00F7356B"/>
    <w:rsid w:val="00F776DF"/>
    <w:rsid w:val="00F840C7"/>
    <w:rsid w:val="00FB58D0"/>
    <w:rsid w:val="00FD2546"/>
    <w:rsid w:val="00FD772E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8F8817FD-C12C-4D5B-9D52-1DDB7F8B0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SimSu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Committee">
    <w:name w:val="Committee"/>
    <w:basedOn w:val="Normal"/>
    <w:qFormat/>
    <w:rsid w:val="0069092B"/>
    <w:pPr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69092B"/>
    <w:pPr>
      <w:jc w:val="center"/>
    </w:pPr>
    <w:rPr>
      <w:b/>
      <w:bCs/>
      <w:sz w:val="28"/>
      <w:szCs w:val="28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rsid w:val="0069092B"/>
    <w:rPr>
      <w:rFonts w:ascii="Times New Roman Bold" w:hAnsi="Times New Roman Bold"/>
      <w:b/>
    </w:rPr>
  </w:style>
  <w:style w:type="paragraph" w:customStyle="1" w:styleId="Chaptitle">
    <w:name w:val="Chap_title"/>
    <w:basedOn w:val="Normal"/>
    <w:next w:val="Normal"/>
    <w:rsid w:val="0069092B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813B79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rsid w:val="00813B79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qFormat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uiPriority w:val="99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6B249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Resref">
    <w:name w:val="Res_ref"/>
    <w:basedOn w:val="Normal"/>
    <w:next w:val="Normal"/>
    <w:qFormat/>
    <w:rsid w:val="00813B79"/>
    <w:pPr>
      <w:keepNext/>
      <w:keepLines/>
      <w:jc w:val="center"/>
    </w:pPr>
    <w:rPr>
      <w:i/>
      <w:lang w:val="fr-FR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BB6D50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1E1430"/>
    <w:pPr>
      <w:keepNext/>
      <w:keepLines/>
      <w:jc w:val="right"/>
    </w:pPr>
    <w:rPr>
      <w:rFonts w:ascii="Times New Roman italic" w:hAnsi="Times New Roman italic" w:cs="Times New Roman italic"/>
      <w:i/>
    </w:rPr>
  </w:style>
  <w:style w:type="paragraph" w:customStyle="1" w:styleId="RecNo">
    <w:name w:val="Rec_No"/>
    <w:basedOn w:val="Normal"/>
    <w:next w:val="Normal"/>
    <w:rsid w:val="00A811DC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A811DC"/>
    <w:pPr>
      <w:spacing w:before="240"/>
      <w:jc w:val="center"/>
    </w:pPr>
    <w:rPr>
      <w:rFonts w:ascii="Times New Roman" w:cs="Times New Roman"/>
      <w:bCs/>
    </w:rPr>
  </w:style>
  <w:style w:type="paragraph" w:customStyle="1" w:styleId="ResNo">
    <w:name w:val="Res_No"/>
    <w:basedOn w:val="RecNo"/>
    <w:next w:val="Normal"/>
    <w:rsid w:val="00A811DC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Opiniontitle">
    <w:name w:val="Opinion_title"/>
    <w:basedOn w:val="Normal"/>
    <w:next w:val="Normal"/>
    <w:qFormat/>
    <w:rsid w:val="00987C1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OpinionNo">
    <w:name w:val="Opinion_No"/>
    <w:basedOn w:val="ResNo"/>
    <w:next w:val="Opiniontitle"/>
    <w:qFormat/>
    <w:rsid w:val="00987C1F"/>
    <w:rPr>
      <w:bCs/>
      <w:lang w:val="fr-CH"/>
    </w:rPr>
  </w:style>
  <w:style w:type="paragraph" w:customStyle="1" w:styleId="Opinionref">
    <w:name w:val="Opinion_ref"/>
    <w:basedOn w:val="Annexref"/>
    <w:next w:val="Opiniontitle"/>
    <w:qFormat/>
    <w:rsid w:val="00987C1F"/>
    <w:rPr>
      <w:i/>
      <w:iCs/>
      <w:sz w:val="22"/>
      <w:szCs w:val="22"/>
      <w:lang w:val="fr-CH"/>
    </w:rPr>
  </w:style>
  <w:style w:type="paragraph" w:customStyle="1" w:styleId="Recref">
    <w:name w:val="Rec_ref"/>
    <w:basedOn w:val="Resref"/>
    <w:qFormat/>
    <w:rsid w:val="00813B79"/>
    <w:rPr>
      <w:lang w:val="en-GB"/>
    </w:rPr>
  </w:style>
  <w:style w:type="paragraph" w:customStyle="1" w:styleId="HeadingSummary">
    <w:name w:val="HeadingSummary"/>
    <w:basedOn w:val="Headingb"/>
    <w:qFormat/>
    <w:rsid w:val="00444030"/>
  </w:style>
  <w:style w:type="character" w:styleId="PlaceholderText">
    <w:name w:val="Placeholder Text"/>
    <w:basedOn w:val="DefaultParagraphFont"/>
    <w:uiPriority w:val="99"/>
    <w:semiHidden/>
    <w:rsid w:val="00E11197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95767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57670"/>
    <w:rPr>
      <w:rFonts w:ascii="Segoe UI" w:hAnsi="Segoe UI" w:cs="Segoe UI"/>
      <w:sz w:val="18"/>
      <w:szCs w:val="18"/>
      <w:lang w:val="en-GB" w:eastAsia="en-US"/>
    </w:rPr>
  </w:style>
  <w:style w:type="character" w:customStyle="1" w:styleId="href">
    <w:name w:val="href"/>
    <w:basedOn w:val="DefaultParagraphFont"/>
    <w:uiPriority w:val="99"/>
    <w:rsid w:val="00381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6754">
          <w:marLeft w:val="75"/>
          <w:marRight w:val="7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9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16652">
                  <w:marLeft w:val="0"/>
                  <w:marRight w:val="105"/>
                  <w:marTop w:val="0"/>
                  <w:marBottom w:val="0"/>
                  <w:divBdr>
                    <w:top w:val="single" w:sz="6" w:space="2" w:color="BBBBBB"/>
                    <w:left w:val="single" w:sz="6" w:space="2" w:color="BBBBBB"/>
                    <w:bottom w:val="single" w:sz="6" w:space="2" w:color="BBBBBB"/>
                    <w:right w:val="single" w:sz="6" w:space="2" w:color="BBBBBB"/>
                  </w:divBdr>
                </w:div>
              </w:divsChild>
            </w:div>
          </w:divsChild>
        </w:div>
      </w:divsChild>
    </w:div>
    <w:div w:id="3408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6151">
          <w:marLeft w:val="75"/>
          <w:marRight w:val="7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8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666707">
                  <w:marLeft w:val="0"/>
                  <w:marRight w:val="105"/>
                  <w:marTop w:val="0"/>
                  <w:marBottom w:val="0"/>
                  <w:divBdr>
                    <w:top w:val="single" w:sz="6" w:space="2" w:color="BBBBBB"/>
                    <w:left w:val="single" w:sz="6" w:space="2" w:color="BBBBBB"/>
                    <w:bottom w:val="single" w:sz="6" w:space="2" w:color="BBBBBB"/>
                    <w:right w:val="single" w:sz="6" w:space="2" w:color="BBBBBB"/>
                  </w:divBdr>
                </w:div>
              </w:divsChild>
            </w:div>
          </w:divsChild>
        </w:div>
      </w:divsChild>
    </w:div>
    <w:div w:id="18978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EF0515E39224C1BB445B352EB311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CC6A0-6393-4EA1-964C-339330291F37}"/>
      </w:docPartPr>
      <w:docPartBody>
        <w:p w:rsidR="00F85344" w:rsidRDefault="00D83E31" w:rsidP="00D83E31">
          <w:pPr>
            <w:pStyle w:val="CEF0515E39224C1BB445B352EB3113A9"/>
          </w:pPr>
          <w:r>
            <w:rPr>
              <w:rStyle w:val="PlaceholderText"/>
            </w:rPr>
            <w:t>[Abstract]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31"/>
    <w:rsid w:val="00430751"/>
    <w:rsid w:val="007007B4"/>
    <w:rsid w:val="00832CBF"/>
    <w:rsid w:val="008B3C62"/>
    <w:rsid w:val="00B95CAC"/>
    <w:rsid w:val="00CD1303"/>
    <w:rsid w:val="00D83E31"/>
    <w:rsid w:val="00E40B4F"/>
    <w:rsid w:val="00E927AD"/>
    <w:rsid w:val="00EB6FEA"/>
    <w:rsid w:val="00F3304D"/>
    <w:rsid w:val="00F8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3E31"/>
    <w:rPr>
      <w:color w:val="808080"/>
    </w:rPr>
  </w:style>
  <w:style w:type="paragraph" w:customStyle="1" w:styleId="CEF0515E39224C1BB445B352EB3113A9">
    <w:name w:val="CEF0515E39224C1BB445B352EB3113A9"/>
    <w:rsid w:val="00D83E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4600b57-20dd-4ea3-ae1a-a0d3d7f6410e" targetNamespace="http://schemas.microsoft.com/office/2006/metadata/properties" ma:root="true" ma:fieldsID="d41af5c836d734370eb92e7ee5f83852" ns2:_="" ns3:_="">
    <xsd:import namespace="996b2e75-67fd-4955-a3b0-5ab9934cb50b"/>
    <xsd:import namespace="34600b57-20dd-4ea3-ae1a-a0d3d7f6410e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00b57-20dd-4ea3-ae1a-a0d3d7f6410e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34600b57-20dd-4ea3-ae1a-a0d3d7f6410e">Documents Proposals Manager (DPM)</DPM_x0020_Author>
    <DPM_x0020_File_x0020_name xmlns="34600b57-20dd-4ea3-ae1a-a0d3d7f6410e">T13-WTSA.16-C-0045!A3!MSW-F</DPM_x0020_File_x0020_name>
    <DPM_x0020_Version xmlns="34600b57-20dd-4ea3-ae1a-a0d3d7f6410e">DPM_v2016.6.30.1_prod</DPM_x0020_Vers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4600b57-20dd-4ea3-ae1a-a0d3d7f641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34600b57-20dd-4ea3-ae1a-a0d3d7f6410e"/>
    <ds:schemaRef ds:uri="996b2e75-67fd-4955-a3b0-5ab9934cb50b"/>
  </ds:schemaRefs>
</ds:datastoreItem>
</file>

<file path=customXml/itemProps3.xml><?xml version="1.0" encoding="utf-8"?>
<ds:datastoreItem xmlns:ds="http://schemas.openxmlformats.org/officeDocument/2006/customXml" ds:itemID="{BBCCFC36-19A3-401E-A68F-5FA053B39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525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T13-WTSA.16-C-0045!A3!MSW-F</vt:lpstr>
    </vt:vector>
  </TitlesOfParts>
  <Manager>General Secretariat - Pool</Manager>
  <Company>International Telecommunication Union (ITU)</Company>
  <LinksUpToDate>false</LinksUpToDate>
  <CharactersWithSpaces>3630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T13-WTSA.16-C-0045!A3!MSW-F</dc:title>
  <dc:subject>World Telecommunication Standardization Assembly</dc:subject>
  <dc:creator>Documents Proposals Manager (DPM)</dc:creator>
  <cp:keywords>DPM_v2016.6.30.1_prod</cp:keywords>
  <dc:description>Template used by DPM and CPI for the WTSA-16</dc:description>
  <cp:lastModifiedBy>Clark, Robert</cp:lastModifiedBy>
  <cp:revision>9</cp:revision>
  <cp:lastPrinted>2016-07-05T12:24:00Z</cp:lastPrinted>
  <dcterms:created xsi:type="dcterms:W3CDTF">2016-07-05T11:45:00Z</dcterms:created>
  <dcterms:modified xsi:type="dcterms:W3CDTF">2016-07-19T09:33:00Z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