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4F1DF1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4F1DF1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4F1DF1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4F1DF1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12" w:rsidRPr="00E07379" w:rsidTr="00163D12">
        <w:trPr>
          <w:cantSplit/>
          <w:trHeight w:val="20"/>
          <w:jc w:val="right"/>
        </w:trPr>
        <w:tc>
          <w:tcPr>
            <w:tcW w:w="3891" w:type="pct"/>
            <w:gridSpan w:val="3"/>
            <w:tcBorders>
              <w:bottom w:val="single" w:sz="12" w:space="0" w:color="auto"/>
            </w:tcBorders>
          </w:tcPr>
          <w:p w:rsidR="00163D12" w:rsidRPr="00163D12" w:rsidRDefault="00163D12" w:rsidP="004F1DF1">
            <w:pPr>
              <w:rPr>
                <w:b/>
                <w:bCs/>
                <w:sz w:val="30"/>
                <w:rtl/>
                <w:lang w:bidi="ar-EG"/>
              </w:rPr>
            </w:pPr>
            <w:r w:rsidRPr="00163D12">
              <w:rPr>
                <w:rFonts w:hint="cs"/>
                <w:b/>
                <w:bCs/>
                <w:sz w:val="30"/>
                <w:rtl/>
                <w:lang w:bidi="ar-EG"/>
              </w:rPr>
              <w:t>الاتحاد الدولي للاتصالات</w:t>
            </w: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163D12" w:rsidRPr="0022345D" w:rsidRDefault="00163D12" w:rsidP="004F1DF1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4F1DF1">
            <w:pPr>
              <w:spacing w:before="0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4F1DF1">
            <w:pPr>
              <w:spacing w:before="0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4F1DF1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192" w:lineRule="auto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5F6621" w:rsidRDefault="0022345D" w:rsidP="00907E33">
            <w:pPr>
              <w:pStyle w:val="Adress"/>
              <w:framePr w:hSpace="0" w:wrap="auto" w:xAlign="left" w:yAlign="inline"/>
              <w:spacing w:line="192" w:lineRule="auto"/>
              <w:rPr>
                <w:rFonts w:ascii="Verdana" w:eastAsia="SimSun" w:hAnsi="Verdana"/>
                <w:rtl/>
              </w:rPr>
            </w:pPr>
            <w:r w:rsidRPr="005F6621">
              <w:rPr>
                <w:rFonts w:ascii="Verdana" w:eastAsia="SimSun" w:hAnsi="Verdana"/>
                <w:rtl/>
              </w:rPr>
              <w:t>الإضافة</w:t>
            </w:r>
            <w:r w:rsidR="00907E33">
              <w:rPr>
                <w:rFonts w:ascii="Verdana" w:eastAsia="SimSun" w:hAnsi="Verdana" w:hint="cs"/>
                <w:rtl/>
              </w:rPr>
              <w:t> </w:t>
            </w:r>
            <w:r w:rsidR="001E5584" w:rsidRPr="005F6621">
              <w:rPr>
                <w:rFonts w:ascii="Verdana" w:eastAsia="SimSun" w:hAnsi="Verdana"/>
              </w:rPr>
              <w:t>3</w:t>
            </w:r>
            <w:r w:rsidRPr="005F6621">
              <w:rPr>
                <w:rFonts w:ascii="Verdana" w:eastAsia="SimSun" w:hAnsi="Verdana"/>
              </w:rPr>
              <w:br/>
            </w:r>
            <w:r w:rsidRPr="005F6621">
              <w:rPr>
                <w:rFonts w:ascii="Verdana" w:eastAsia="SimSun" w:hAnsi="Verdana"/>
                <w:rtl/>
              </w:rPr>
              <w:t xml:space="preserve">للوثيقة </w:t>
            </w:r>
            <w:r w:rsidR="005F6621" w:rsidRPr="005F6621">
              <w:rPr>
                <w:rFonts w:ascii="Verdana" w:eastAsia="SimSun" w:hAnsi="Verdana"/>
                <w:lang w:val="en-GB"/>
              </w:rPr>
              <w:t>45-</w:t>
            </w:r>
            <w:r w:rsidR="005F6621">
              <w:rPr>
                <w:rFonts w:ascii="Verdana" w:eastAsia="SimSun" w:hAnsi="Verdana"/>
                <w:lang w:val="en-GB"/>
              </w:rPr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4F1DF1">
            <w:pPr>
              <w:pStyle w:val="Adress"/>
              <w:framePr w:hSpace="0" w:wrap="auto" w:xAlign="left" w:yAlign="inline"/>
              <w:spacing w:line="192" w:lineRule="auto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5F6621" w:rsidRDefault="0022345D" w:rsidP="004F1DF1">
            <w:pPr>
              <w:pStyle w:val="Adress"/>
              <w:framePr w:hSpace="0" w:wrap="auto" w:xAlign="left" w:yAlign="inline"/>
              <w:spacing w:line="192" w:lineRule="auto"/>
              <w:rPr>
                <w:rFonts w:ascii="Verdana" w:eastAsia="SimSun" w:hAnsi="Verdana"/>
                <w:rtl/>
              </w:rPr>
            </w:pPr>
            <w:r w:rsidRPr="005F6621">
              <w:rPr>
                <w:rFonts w:ascii="Verdana" w:eastAsia="SimSun" w:hAnsi="Verdana"/>
                <w:rtl/>
              </w:rPr>
              <w:t xml:space="preserve">يونيو </w:t>
            </w:r>
            <w:r w:rsidRPr="005F6621">
              <w:rPr>
                <w:rFonts w:ascii="Verdana" w:eastAsia="SimSun" w:hAnsi="Verdana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4F1DF1">
            <w:pPr>
              <w:pStyle w:val="Adress"/>
              <w:framePr w:hSpace="0" w:wrap="auto" w:xAlign="left" w:yAlign="inline"/>
              <w:spacing w:line="192" w:lineRule="auto"/>
            </w:pPr>
          </w:p>
        </w:tc>
        <w:tc>
          <w:tcPr>
            <w:tcW w:w="1572" w:type="pct"/>
            <w:gridSpan w:val="2"/>
            <w:vAlign w:val="center"/>
          </w:tcPr>
          <w:p w:rsidR="0022345D" w:rsidRPr="005F6621" w:rsidRDefault="0022345D" w:rsidP="004F1DF1">
            <w:pPr>
              <w:pStyle w:val="Adress"/>
              <w:framePr w:hSpace="0" w:wrap="auto" w:xAlign="left" w:yAlign="inline"/>
              <w:spacing w:line="192" w:lineRule="auto"/>
              <w:rPr>
                <w:rFonts w:ascii="Verdana" w:eastAsia="SimSun" w:hAnsi="Verdana"/>
              </w:rPr>
            </w:pPr>
            <w:r w:rsidRPr="005F6621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4F1DF1">
            <w:pPr>
              <w:spacing w:before="0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10704" w:rsidRDefault="007C1511" w:rsidP="004F1DF1">
            <w:pPr>
              <w:pStyle w:val="Source"/>
              <w:rPr>
                <w:rtl/>
              </w:rPr>
            </w:pPr>
            <w:r w:rsidRPr="00210704">
              <w:rPr>
                <w:rFonts w:hint="cs"/>
                <w:rtl/>
              </w:rPr>
              <w:t>المقترحات الأوروبية المشتركة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10704" w:rsidRDefault="00210704" w:rsidP="00F1137E">
            <w:pPr>
              <w:pStyle w:val="Title1"/>
              <w:spacing w:before="240"/>
              <w:rPr>
                <w:rtl/>
              </w:rPr>
            </w:pPr>
            <w:r w:rsidRPr="00210704">
              <w:rPr>
                <w:rtl/>
              </w:rPr>
              <w:t>ت</w:t>
            </w:r>
            <w:r w:rsidR="004F1DF1">
              <w:rPr>
                <w:rFonts w:hint="cs"/>
                <w:rtl/>
              </w:rPr>
              <w:t>‍</w:t>
            </w:r>
            <w:r w:rsidRPr="00210704">
              <w:rPr>
                <w:rtl/>
              </w:rPr>
              <w:t>حقيق استقرار</w:t>
            </w:r>
            <w:r w:rsidRPr="00210704">
              <w:rPr>
                <w:rFonts w:hint="cs"/>
                <w:rtl/>
              </w:rPr>
              <w:t xml:space="preserve"> التوصية</w:t>
            </w:r>
            <w:r w:rsidR="00F1137E">
              <w:rPr>
                <w:rFonts w:hint="eastAsia"/>
                <w:rtl/>
              </w:rPr>
              <w:t> </w:t>
            </w:r>
            <w:r w:rsidRPr="00210704">
              <w:rPr>
                <w:rFonts w:cs="Times New Roman"/>
                <w:caps/>
                <w:szCs w:val="20"/>
              </w:rPr>
              <w:t>ITU-T A.7</w:t>
            </w:r>
            <w:r w:rsidRPr="00210704">
              <w:rPr>
                <w:rFonts w:hint="cs"/>
                <w:rtl/>
              </w:rPr>
              <w:t xml:space="preserve"> بشأن الأفرقة ال</w:t>
            </w:r>
            <w:r w:rsidR="00FF3772">
              <w:rPr>
                <w:rFonts w:hint="cs"/>
                <w:rtl/>
              </w:rPr>
              <w:t>‍</w:t>
            </w:r>
            <w:r w:rsidRPr="00210704">
              <w:rPr>
                <w:rFonts w:hint="cs"/>
                <w:rtl/>
              </w:rPr>
              <w:t>متخصصة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4F1DF1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4F1DF1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1C26BB">
      <w:pPr>
        <w:spacing w:line="360" w:lineRule="auto"/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107162" w:rsidRPr="001142A4" w:rsidTr="002A20AD">
        <w:trPr>
          <w:cantSplit/>
          <w:jc w:val="right"/>
        </w:trPr>
        <w:tc>
          <w:tcPr>
            <w:tcW w:w="8506" w:type="dxa"/>
          </w:tcPr>
          <w:p w:rsidR="00107162" w:rsidRPr="00107162" w:rsidRDefault="00107162" w:rsidP="002A20AD">
            <w:pPr>
              <w:spacing w:before="0"/>
              <w:rPr>
                <w:rtl/>
                <w:lang w:bidi="ar-EG"/>
              </w:rPr>
            </w:pPr>
            <w:r w:rsidRPr="001142A4">
              <w:rPr>
                <w:rFonts w:hint="cs"/>
                <w:rtl/>
              </w:rPr>
              <w:t>يعتبر مقدمو الوثيقة أن التوصية</w:t>
            </w:r>
            <w:r>
              <w:rPr>
                <w:rFonts w:hint="eastAsia"/>
                <w:rtl/>
              </w:rPr>
              <w:t> </w:t>
            </w:r>
            <w:r w:rsidRPr="001142A4">
              <w:t>ITU-T A.7</w:t>
            </w:r>
            <w:r w:rsidRPr="001142A4">
              <w:rPr>
                <w:rFonts w:hint="cs"/>
                <w:rtl/>
              </w:rPr>
              <w:t xml:space="preserve"> وصلت إلى مرحلة النضح ولا</w:t>
            </w:r>
            <w:r w:rsidRPr="001142A4">
              <w:rPr>
                <w:rFonts w:hint="eastAsia"/>
                <w:rtl/>
              </w:rPr>
              <w:t> </w:t>
            </w:r>
            <w:r w:rsidRPr="001142A4">
              <w:rPr>
                <w:rFonts w:hint="cs"/>
                <w:rtl/>
              </w:rPr>
              <w:t>تحتاج إلى تعديلات إضافية، وبالتالي</w:t>
            </w:r>
            <w:r>
              <w:rPr>
                <w:rFonts w:hint="eastAsia"/>
                <w:rtl/>
              </w:rPr>
              <w:t> </w:t>
            </w:r>
            <w:r w:rsidRPr="001142A4">
              <w:rPr>
                <w:rFonts w:hint="cs"/>
                <w:rtl/>
              </w:rPr>
              <w:t xml:space="preserve">يقترحون إعادة تأكيد إبقاء التوصية </w:t>
            </w:r>
            <w:r w:rsidRPr="001142A4">
              <w:t>ITU-T A.7</w:t>
            </w:r>
            <w:r w:rsidRPr="001142A4">
              <w:rPr>
                <w:rFonts w:hint="cs"/>
                <w:rtl/>
              </w:rPr>
              <w:t xml:space="preserve"> </w:t>
            </w:r>
            <w:r w:rsidRPr="001142A4">
              <w:t>(2012)</w:t>
            </w:r>
            <w:r w:rsidRPr="001142A4">
              <w:rPr>
                <w:rFonts w:hint="cs"/>
                <w:rtl/>
              </w:rPr>
              <w:t xml:space="preserve"> مع تذييلها </w:t>
            </w:r>
            <w:r w:rsidRPr="001142A4">
              <w:t>I</w:t>
            </w:r>
            <w:r w:rsidRPr="001142A4">
              <w:rPr>
                <w:rFonts w:hint="cs"/>
                <w:rtl/>
              </w:rPr>
              <w:t xml:space="preserve"> دون تعديل </w:t>
            </w:r>
            <w:r w:rsidRPr="001142A4">
              <w:t>(2015/06)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058" w:type="dxa"/>
          </w:tcPr>
          <w:p w:rsidR="00107162" w:rsidRPr="001142A4" w:rsidRDefault="00107162" w:rsidP="00107162">
            <w:pPr>
              <w:spacing w:before="0"/>
              <w:rPr>
                <w:b/>
                <w:bCs/>
                <w:rtl/>
                <w:lang w:bidi="ar-EG"/>
              </w:rPr>
            </w:pPr>
            <w:r w:rsidRPr="001142A4">
              <w:rPr>
                <w:b/>
                <w:bCs/>
                <w:rtl/>
                <w:lang w:bidi="ar-EG"/>
              </w:rPr>
              <w:t>ملخص</w:t>
            </w:r>
            <w:r w:rsidRPr="001142A4">
              <w:rPr>
                <w:rFonts w:hint="cs"/>
                <w:rtl/>
              </w:rPr>
              <w:t>:</w:t>
            </w:r>
          </w:p>
        </w:tc>
      </w:tr>
    </w:tbl>
    <w:p w:rsidR="002A20AD" w:rsidRDefault="002A20AD" w:rsidP="004158D8">
      <w:pPr>
        <w:spacing w:before="0"/>
        <w:rPr>
          <w:rtl/>
          <w:lang w:bidi="ar-EG"/>
        </w:rPr>
      </w:pPr>
    </w:p>
    <w:p w:rsidR="0022345D" w:rsidRPr="005F6621" w:rsidRDefault="005F6621" w:rsidP="009A6D60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5F6621" w:rsidRPr="005F6621" w:rsidRDefault="00C46274" w:rsidP="003D6CD8">
      <w:pPr>
        <w:rPr>
          <w:rtl/>
          <w:lang w:bidi="ar-EG"/>
        </w:rPr>
      </w:pPr>
      <w:r w:rsidRPr="002D095B">
        <w:rPr>
          <w:rFonts w:hint="cs"/>
          <w:rtl/>
          <w:lang w:bidi="ar-SY"/>
        </w:rPr>
        <w:t>استعرض</w:t>
      </w:r>
      <w:r w:rsidR="00E63C2C" w:rsidRPr="002D095B">
        <w:rPr>
          <w:rFonts w:hint="cs"/>
          <w:rtl/>
          <w:lang w:bidi="ar-SY"/>
        </w:rPr>
        <w:t>ت</w:t>
      </w:r>
      <w:r w:rsidRPr="002D095B">
        <w:rPr>
          <w:rFonts w:hint="cs"/>
          <w:rtl/>
          <w:lang w:bidi="ar-SY"/>
        </w:rPr>
        <w:t xml:space="preserve"> </w:t>
      </w:r>
      <w:r w:rsidR="00E63C2C" w:rsidRPr="002D095B">
        <w:rPr>
          <w:rFonts w:hint="cs"/>
          <w:rtl/>
          <w:lang w:bidi="ar-SY"/>
        </w:rPr>
        <w:t>أوروبا</w:t>
      </w:r>
      <w:r w:rsidRPr="002D095B">
        <w:rPr>
          <w:rFonts w:hint="cs"/>
          <w:rtl/>
          <w:lang w:bidi="ar-SY"/>
        </w:rPr>
        <w:t xml:space="preserve"> أثر الأفرقة المتخصصة </w:t>
      </w:r>
      <w:r w:rsidR="004F1DF1">
        <w:rPr>
          <w:lang w:bidi="ar-SY"/>
        </w:rPr>
        <w:t>(FG)</w:t>
      </w:r>
      <w:r w:rsidR="00E63C2C" w:rsidRPr="002D095B">
        <w:rPr>
          <w:rFonts w:hint="cs"/>
          <w:rtl/>
          <w:lang w:bidi="ar-SY"/>
        </w:rPr>
        <w:t xml:space="preserve"> </w:t>
      </w:r>
      <w:r w:rsidRPr="002D095B">
        <w:rPr>
          <w:rFonts w:hint="cs"/>
          <w:rtl/>
          <w:lang w:bidi="ar-SY"/>
        </w:rPr>
        <w:t>على العمل الذي تضطلع به لجان دراسات قطاع تقييس الاتصالات</w:t>
      </w:r>
      <w:r w:rsidR="00585AD3">
        <w:rPr>
          <w:rFonts w:hint="cs"/>
          <w:rtl/>
          <w:lang w:bidi="ar-SY"/>
        </w:rPr>
        <w:t>،</w:t>
      </w:r>
      <w:r w:rsidR="002D095B" w:rsidRPr="002D095B">
        <w:rPr>
          <w:rFonts w:hint="cs"/>
          <w:rtl/>
          <w:lang w:bidi="ar-SY"/>
        </w:rPr>
        <w:t xml:space="preserve"> وعملية إنشاء الأفرقة</w:t>
      </w:r>
      <w:r w:rsidR="004F1DF1">
        <w:rPr>
          <w:rFonts w:hint="eastAsia"/>
          <w:rtl/>
          <w:lang w:bidi="ar-SY"/>
        </w:rPr>
        <w:t> </w:t>
      </w:r>
      <w:r w:rsidR="002D095B" w:rsidRPr="002D095B">
        <w:rPr>
          <w:rFonts w:hint="cs"/>
          <w:rtl/>
          <w:lang w:bidi="ar-SY"/>
        </w:rPr>
        <w:t>المتخصصة</w:t>
      </w:r>
      <w:r w:rsidRPr="002D095B">
        <w:rPr>
          <w:rFonts w:hint="cs"/>
          <w:rtl/>
          <w:lang w:bidi="ar-SY"/>
        </w:rPr>
        <w:t>.</w:t>
      </w:r>
    </w:p>
    <w:p w:rsidR="005F6621" w:rsidRPr="005F6621" w:rsidRDefault="00DB22B7" w:rsidP="009A6D60">
      <w:pPr>
        <w:pStyle w:val="Headingb"/>
        <w:rPr>
          <w:rtl/>
        </w:rPr>
      </w:pPr>
      <w:r>
        <w:rPr>
          <w:rFonts w:hint="cs"/>
          <w:rtl/>
        </w:rPr>
        <w:t>المناقشة</w:t>
      </w:r>
    </w:p>
    <w:p w:rsidR="005F6621" w:rsidRPr="00E3154C" w:rsidRDefault="00C46274" w:rsidP="009A6D60">
      <w:pPr>
        <w:rPr>
          <w:rtl/>
          <w:lang w:bidi="ar-SY"/>
        </w:rPr>
      </w:pPr>
      <w:r w:rsidRPr="00E3154C">
        <w:rPr>
          <w:rFonts w:hint="cs"/>
          <w:rtl/>
          <w:lang w:bidi="ar-SY"/>
        </w:rPr>
        <w:t>ح</w:t>
      </w:r>
      <w:r w:rsidR="0038608D" w:rsidRPr="00E3154C">
        <w:rPr>
          <w:rFonts w:hint="cs"/>
          <w:rtl/>
          <w:lang w:bidi="ar-SY"/>
        </w:rPr>
        <w:t>ُددت إمكانية إنشاء أفرقة متخصصة</w:t>
      </w:r>
      <w:r w:rsidRPr="00E3154C">
        <w:rPr>
          <w:rFonts w:hint="cs"/>
          <w:rtl/>
          <w:lang w:bidi="ar-SY"/>
        </w:rPr>
        <w:t xml:space="preserve"> على أساس استثنائي لمسائل معينة (محدودة)</w:t>
      </w:r>
      <w:r w:rsidR="0038608D" w:rsidRPr="00E3154C">
        <w:rPr>
          <w:rFonts w:hint="cs"/>
          <w:rtl/>
          <w:lang w:bidi="ar-SY"/>
        </w:rPr>
        <w:t>.</w:t>
      </w:r>
      <w:r w:rsidRPr="00E3154C">
        <w:rPr>
          <w:rFonts w:hint="cs"/>
          <w:rtl/>
          <w:lang w:bidi="ar-SY"/>
        </w:rPr>
        <w:t xml:space="preserve"> وقد وضعت عملية إنشاء الأفرقة المتخصصة من أجل تجنب الأعباء الإدارية غير الضرورية، </w:t>
      </w:r>
      <w:r w:rsidR="00585AD3" w:rsidRPr="00E3154C">
        <w:rPr>
          <w:rFonts w:hint="cs"/>
          <w:rtl/>
          <w:lang w:bidi="ar-SY"/>
        </w:rPr>
        <w:t>مع</w:t>
      </w:r>
      <w:r w:rsidRPr="00E3154C">
        <w:rPr>
          <w:rFonts w:hint="cs"/>
          <w:rtl/>
          <w:lang w:bidi="ar-SY"/>
        </w:rPr>
        <w:t xml:space="preserve"> توفير الحد الأدنى من الوقت اللازم لاتخاذ قرار </w:t>
      </w:r>
      <w:r w:rsidR="00585AD3" w:rsidRPr="00E3154C">
        <w:rPr>
          <w:rFonts w:hint="cs"/>
          <w:rtl/>
          <w:lang w:bidi="ar-SY"/>
        </w:rPr>
        <w:t>مستنير</w:t>
      </w:r>
      <w:r w:rsidRPr="00E3154C">
        <w:rPr>
          <w:rFonts w:hint="cs"/>
          <w:rtl/>
          <w:lang w:bidi="ar-SY"/>
        </w:rPr>
        <w:t xml:space="preserve"> </w:t>
      </w:r>
      <w:r w:rsidR="007A091F" w:rsidRPr="00E3154C">
        <w:rPr>
          <w:rFonts w:hint="cs"/>
          <w:rtl/>
          <w:lang w:bidi="ar-SY"/>
        </w:rPr>
        <w:t>بشأن إنشاء</w:t>
      </w:r>
      <w:r w:rsidRPr="00E3154C">
        <w:rPr>
          <w:rFonts w:hint="cs"/>
          <w:rtl/>
          <w:lang w:bidi="ar-SY"/>
        </w:rPr>
        <w:t xml:space="preserve"> فريق متخصص جديد.</w:t>
      </w:r>
      <w:r w:rsidR="00410E8C" w:rsidRPr="00E3154C">
        <w:rPr>
          <w:rFonts w:hint="cs"/>
          <w:rtl/>
          <w:lang w:bidi="ar-SY"/>
        </w:rPr>
        <w:t xml:space="preserve"> وتوخى</w:t>
      </w:r>
      <w:r w:rsidRPr="00E3154C">
        <w:rPr>
          <w:rFonts w:hint="cs"/>
          <w:rtl/>
          <w:lang w:bidi="ar-SY"/>
        </w:rPr>
        <w:t xml:space="preserve"> هذا الحد الأدنى من الأعباء تبادل </w:t>
      </w:r>
      <w:r w:rsidR="00163D12" w:rsidRPr="00E3154C">
        <w:rPr>
          <w:rFonts w:hint="cs"/>
          <w:rtl/>
          <w:lang w:bidi="ar-SY"/>
        </w:rPr>
        <w:t>مقترحات</w:t>
      </w:r>
      <w:r w:rsidRPr="00E3154C">
        <w:rPr>
          <w:rFonts w:hint="cs"/>
          <w:rtl/>
          <w:lang w:bidi="ar-SY"/>
        </w:rPr>
        <w:t xml:space="preserve"> </w:t>
      </w:r>
      <w:r w:rsidR="007A091F" w:rsidRPr="00E3154C">
        <w:rPr>
          <w:rFonts w:hint="cs"/>
          <w:rtl/>
          <w:lang w:bidi="ar-SY"/>
        </w:rPr>
        <w:t>في شكل</w:t>
      </w:r>
      <w:r w:rsidRPr="00E3154C">
        <w:rPr>
          <w:rFonts w:hint="cs"/>
          <w:rtl/>
          <w:lang w:bidi="ar-SY"/>
        </w:rPr>
        <w:t xml:space="preserve"> وثائق ومدة محددة من الوقت لل</w:t>
      </w:r>
      <w:r w:rsidR="00665C7E" w:rsidRPr="00E3154C">
        <w:rPr>
          <w:rFonts w:hint="cs"/>
          <w:rtl/>
          <w:lang w:bidi="ar-SY"/>
        </w:rPr>
        <w:t xml:space="preserve">سماح بطرح الأفكار والتشاور بين </w:t>
      </w:r>
      <w:r w:rsidRPr="00E3154C">
        <w:rPr>
          <w:rFonts w:hint="cs"/>
          <w:rtl/>
          <w:lang w:bidi="ar-SY"/>
        </w:rPr>
        <w:t xml:space="preserve">رؤساء </w:t>
      </w:r>
      <w:r w:rsidR="00410E8C" w:rsidRPr="00E3154C">
        <w:rPr>
          <w:rFonts w:hint="cs"/>
          <w:rtl/>
          <w:lang w:bidi="ar-SY"/>
        </w:rPr>
        <w:t>لجان الدراسات</w:t>
      </w:r>
      <w:r w:rsidR="00665C7E" w:rsidRPr="00E3154C">
        <w:rPr>
          <w:rFonts w:hint="cs"/>
          <w:rtl/>
          <w:lang w:bidi="ar-SY"/>
        </w:rPr>
        <w:t xml:space="preserve"> </w:t>
      </w:r>
      <w:r w:rsidR="007A091F" w:rsidRPr="00E3154C">
        <w:rPr>
          <w:rFonts w:hint="cs"/>
          <w:rtl/>
          <w:lang w:bidi="ar-SY"/>
        </w:rPr>
        <w:t>و</w:t>
      </w:r>
      <w:r w:rsidRPr="00E3154C">
        <w:rPr>
          <w:rFonts w:hint="cs"/>
          <w:rtl/>
          <w:lang w:bidi="ar-SY"/>
        </w:rPr>
        <w:t xml:space="preserve">أيضاً </w:t>
      </w:r>
      <w:r w:rsidR="007A091F" w:rsidRPr="00E3154C">
        <w:rPr>
          <w:rFonts w:hint="cs"/>
          <w:rtl/>
          <w:lang w:bidi="ar-SY"/>
        </w:rPr>
        <w:t>بين</w:t>
      </w:r>
      <w:r w:rsidRPr="00E3154C">
        <w:rPr>
          <w:rFonts w:hint="cs"/>
          <w:rtl/>
          <w:lang w:bidi="ar-SY"/>
        </w:rPr>
        <w:t xml:space="preserve"> الأعضاء ككل.</w:t>
      </w:r>
    </w:p>
    <w:p w:rsidR="005F6621" w:rsidRPr="004158D8" w:rsidRDefault="005C6666" w:rsidP="0069155D">
      <w:pPr>
        <w:rPr>
          <w:spacing w:val="-2"/>
        </w:rPr>
      </w:pPr>
      <w:r w:rsidRPr="004158D8">
        <w:rPr>
          <w:rFonts w:hint="cs"/>
          <w:spacing w:val="-2"/>
          <w:rtl/>
        </w:rPr>
        <w:t>وتصر أوروبا على</w:t>
      </w:r>
      <w:r w:rsidR="00E864B0" w:rsidRPr="004158D8">
        <w:rPr>
          <w:rFonts w:hint="cs"/>
          <w:spacing w:val="-2"/>
          <w:rtl/>
        </w:rPr>
        <w:t xml:space="preserve"> </w:t>
      </w:r>
      <w:r w:rsidRPr="004158D8">
        <w:rPr>
          <w:rFonts w:hint="cs"/>
          <w:spacing w:val="-2"/>
          <w:rtl/>
        </w:rPr>
        <w:t xml:space="preserve">أن </w:t>
      </w:r>
      <w:r w:rsidR="00E864B0" w:rsidRPr="004158D8">
        <w:rPr>
          <w:rFonts w:hint="cs"/>
          <w:spacing w:val="-2"/>
          <w:rtl/>
        </w:rPr>
        <w:t xml:space="preserve">تبقى </w:t>
      </w:r>
      <w:r w:rsidRPr="004158D8">
        <w:rPr>
          <w:rFonts w:hint="cs"/>
          <w:spacing w:val="-2"/>
          <w:rtl/>
        </w:rPr>
        <w:t>هذه الأحكام في التوصية</w:t>
      </w:r>
      <w:r w:rsidR="00BC34E6">
        <w:rPr>
          <w:rFonts w:hint="eastAsia"/>
          <w:spacing w:val="-2"/>
          <w:rtl/>
        </w:rPr>
        <w:t> </w:t>
      </w:r>
      <w:r w:rsidRPr="004158D8">
        <w:rPr>
          <w:spacing w:val="-2"/>
        </w:rPr>
        <w:t>ITU-T</w:t>
      </w:r>
      <w:r w:rsidR="00E864B0" w:rsidRPr="004158D8">
        <w:rPr>
          <w:spacing w:val="-2"/>
        </w:rPr>
        <w:t> </w:t>
      </w:r>
      <w:r w:rsidRPr="004158D8">
        <w:rPr>
          <w:spacing w:val="-2"/>
        </w:rPr>
        <w:t>A.7</w:t>
      </w:r>
      <w:r w:rsidRPr="004158D8">
        <w:rPr>
          <w:rFonts w:hint="cs"/>
          <w:spacing w:val="-2"/>
          <w:rtl/>
        </w:rPr>
        <w:t xml:space="preserve">. </w:t>
      </w:r>
      <w:r w:rsidR="00DF3612" w:rsidRPr="004158D8">
        <w:rPr>
          <w:rFonts w:hint="cs"/>
          <w:spacing w:val="-2"/>
          <w:rtl/>
        </w:rPr>
        <w:t xml:space="preserve">وسيشكل أي اقتراح </w:t>
      </w:r>
      <w:r w:rsidR="00410E8C" w:rsidRPr="004158D8">
        <w:rPr>
          <w:rFonts w:hint="cs"/>
          <w:spacing w:val="-2"/>
          <w:rtl/>
        </w:rPr>
        <w:t>ب</w:t>
      </w:r>
      <w:r w:rsidR="00DF3612" w:rsidRPr="004158D8">
        <w:rPr>
          <w:rFonts w:hint="cs"/>
          <w:spacing w:val="-2"/>
          <w:rtl/>
        </w:rPr>
        <w:t xml:space="preserve">تخفيفها، أو حتى </w:t>
      </w:r>
      <w:r w:rsidR="00410E8C" w:rsidRPr="004158D8">
        <w:rPr>
          <w:rFonts w:hint="cs"/>
          <w:spacing w:val="-2"/>
          <w:rtl/>
        </w:rPr>
        <w:t>تجنبها</w:t>
      </w:r>
      <w:r w:rsidR="00DF3612" w:rsidRPr="004158D8">
        <w:rPr>
          <w:rFonts w:hint="cs"/>
          <w:spacing w:val="-2"/>
          <w:rtl/>
        </w:rPr>
        <w:t xml:space="preserve">، مبعث قلق </w:t>
      </w:r>
      <w:r w:rsidR="000A202F" w:rsidRPr="004158D8">
        <w:rPr>
          <w:rFonts w:hint="cs"/>
          <w:spacing w:val="-2"/>
          <w:rtl/>
        </w:rPr>
        <w:t>للمؤت‍مر</w:t>
      </w:r>
      <w:r w:rsidR="00DF3612" w:rsidRPr="004158D8">
        <w:rPr>
          <w:spacing w:val="-2"/>
          <w:rtl/>
        </w:rPr>
        <w:t xml:space="preserve"> الأورو</w:t>
      </w:r>
      <w:r w:rsidR="00DF3612" w:rsidRPr="004158D8">
        <w:rPr>
          <w:rFonts w:hint="cs"/>
          <w:spacing w:val="-2"/>
          <w:rtl/>
        </w:rPr>
        <w:t xml:space="preserve">بي </w:t>
      </w:r>
      <w:r w:rsidRPr="004158D8">
        <w:rPr>
          <w:spacing w:val="-2"/>
          <w:rtl/>
        </w:rPr>
        <w:t xml:space="preserve">لإدارات </w:t>
      </w:r>
      <w:r w:rsidR="00ED0706" w:rsidRPr="004158D8">
        <w:rPr>
          <w:rFonts w:hint="cs"/>
          <w:spacing w:val="-2"/>
          <w:rtl/>
        </w:rPr>
        <w:t>البريد</w:t>
      </w:r>
      <w:r w:rsidRPr="004158D8">
        <w:rPr>
          <w:spacing w:val="-2"/>
          <w:rtl/>
        </w:rPr>
        <w:t xml:space="preserve"> والاتصالات</w:t>
      </w:r>
      <w:r w:rsidR="0069155D">
        <w:rPr>
          <w:rFonts w:hint="cs"/>
          <w:spacing w:val="-2"/>
          <w:rtl/>
        </w:rPr>
        <w:t> </w:t>
      </w:r>
      <w:r w:rsidR="00E864B0" w:rsidRPr="004158D8">
        <w:rPr>
          <w:spacing w:val="-2"/>
        </w:rPr>
        <w:t>(</w:t>
      </w:r>
      <w:r w:rsidRPr="004158D8">
        <w:rPr>
          <w:spacing w:val="-2"/>
        </w:rPr>
        <w:t>CEPT</w:t>
      </w:r>
      <w:r w:rsidR="00E864B0" w:rsidRPr="004158D8">
        <w:rPr>
          <w:spacing w:val="-2"/>
        </w:rPr>
        <w:t>)</w:t>
      </w:r>
      <w:r w:rsidR="00DF3612" w:rsidRPr="004158D8">
        <w:rPr>
          <w:rFonts w:hint="cs"/>
          <w:spacing w:val="-2"/>
          <w:rtl/>
        </w:rPr>
        <w:t xml:space="preserve"> لأن ذلك سيكون له أثر سلبي على أعمال قطاع تقييس الاتصالات وعلى</w:t>
      </w:r>
      <w:r w:rsidR="001E2773" w:rsidRPr="004158D8">
        <w:rPr>
          <w:rFonts w:hint="eastAsia"/>
          <w:spacing w:val="-2"/>
          <w:rtl/>
        </w:rPr>
        <w:t> </w:t>
      </w:r>
      <w:r w:rsidR="00DF3612" w:rsidRPr="004158D8">
        <w:rPr>
          <w:rFonts w:hint="cs"/>
          <w:spacing w:val="-2"/>
          <w:rtl/>
        </w:rPr>
        <w:t>وضعه.</w:t>
      </w:r>
    </w:p>
    <w:p w:rsidR="000C1084" w:rsidRPr="003F5878" w:rsidRDefault="0091234A" w:rsidP="00653D37">
      <w:pPr>
        <w:rPr>
          <w:rtl/>
          <w:lang w:bidi="ar-SY"/>
        </w:rPr>
      </w:pPr>
      <w:r w:rsidRPr="003F5878">
        <w:rPr>
          <w:rFonts w:hint="cs"/>
          <w:rtl/>
          <w:lang w:bidi="ar-SY"/>
        </w:rPr>
        <w:lastRenderedPageBreak/>
        <w:t xml:space="preserve">وتودّ أوروبا </w:t>
      </w:r>
      <w:r w:rsidR="002C7D2E" w:rsidRPr="003F5878">
        <w:rPr>
          <w:rFonts w:hint="cs"/>
          <w:rtl/>
          <w:lang w:bidi="ar-SY"/>
        </w:rPr>
        <w:t xml:space="preserve">أيضاً أن تذكّر بأن </w:t>
      </w:r>
      <w:r w:rsidR="003C276D" w:rsidRPr="003F5878">
        <w:rPr>
          <w:rFonts w:hint="cs"/>
          <w:rtl/>
          <w:lang w:bidi="ar-SY"/>
        </w:rPr>
        <w:t>استخدام الأفرقة المتخصصة</w:t>
      </w:r>
      <w:r w:rsidR="002C7D2E" w:rsidRPr="003F5878">
        <w:rPr>
          <w:rFonts w:hint="cs"/>
          <w:rtl/>
          <w:lang w:bidi="ar-SY"/>
        </w:rPr>
        <w:t xml:space="preserve"> </w:t>
      </w:r>
      <w:r w:rsidR="009D3E7F" w:rsidRPr="003F5878">
        <w:rPr>
          <w:rFonts w:hint="cs"/>
          <w:rtl/>
          <w:lang w:bidi="ar-SY"/>
        </w:rPr>
        <w:t>ليس حيادياً</w:t>
      </w:r>
      <w:r w:rsidR="003C276D" w:rsidRPr="003F5878">
        <w:rPr>
          <w:rFonts w:hint="cs"/>
          <w:rtl/>
          <w:lang w:bidi="ar-SY"/>
        </w:rPr>
        <w:t xml:space="preserve"> </w:t>
      </w:r>
      <w:r w:rsidR="004426B2" w:rsidRPr="003F5878">
        <w:rPr>
          <w:rFonts w:hint="cs"/>
          <w:rtl/>
          <w:lang w:bidi="ar-SY"/>
        </w:rPr>
        <w:t>فيما يتعلق بالحاجة</w:t>
      </w:r>
      <w:r w:rsidR="003C276D" w:rsidRPr="003F5878">
        <w:rPr>
          <w:rFonts w:hint="cs"/>
          <w:rtl/>
          <w:lang w:bidi="ar-SY"/>
        </w:rPr>
        <w:t xml:space="preserve"> إلى موارد محدودة في المناخ الاقتصادي العالمي الحالي. ويشكل ذلك مصدراً </w:t>
      </w:r>
      <w:r w:rsidR="00D108BC" w:rsidRPr="003F5878">
        <w:rPr>
          <w:rFonts w:hint="cs"/>
          <w:rtl/>
          <w:lang w:bidi="ar-SY"/>
        </w:rPr>
        <w:t>لعواقب</w:t>
      </w:r>
      <w:r w:rsidR="003C276D" w:rsidRPr="003F5878">
        <w:rPr>
          <w:rFonts w:hint="cs"/>
          <w:rtl/>
          <w:lang w:bidi="ar-SY"/>
        </w:rPr>
        <w:t xml:space="preserve"> كبيرة محتملة.</w:t>
      </w:r>
      <w:r w:rsidR="000C1084" w:rsidRPr="003F5878">
        <w:rPr>
          <w:rFonts w:hint="cs"/>
          <w:rtl/>
          <w:lang w:bidi="ar-SY"/>
        </w:rPr>
        <w:t xml:space="preserve"> </w:t>
      </w:r>
      <w:r w:rsidR="003C276D" w:rsidRPr="003F5878">
        <w:rPr>
          <w:rFonts w:hint="cs"/>
          <w:rtl/>
          <w:lang w:bidi="ar-SY"/>
        </w:rPr>
        <w:t xml:space="preserve">أولاً، يمكن أن تحول الأفرقة المتخصصة موارد من لجان الدراسات. </w:t>
      </w:r>
      <w:r w:rsidR="000C1084" w:rsidRPr="003F5878">
        <w:rPr>
          <w:rFonts w:hint="cs"/>
          <w:rtl/>
          <w:lang w:bidi="ar-SY"/>
        </w:rPr>
        <w:t>وثانياً،</w:t>
      </w:r>
      <w:r w:rsidR="00653D37">
        <w:rPr>
          <w:rFonts w:hint="eastAsia"/>
          <w:rtl/>
          <w:lang w:bidi="ar-SY"/>
        </w:rPr>
        <w:t> </w:t>
      </w:r>
      <w:r w:rsidR="000C1084" w:rsidRPr="003F5878">
        <w:rPr>
          <w:rFonts w:hint="cs"/>
          <w:rtl/>
          <w:lang w:bidi="ar-SY"/>
        </w:rPr>
        <w:t>قد</w:t>
      </w:r>
      <w:r w:rsidR="004426B2" w:rsidRPr="003F5878">
        <w:rPr>
          <w:rFonts w:hint="eastAsia"/>
          <w:rtl/>
          <w:lang w:bidi="ar-SY"/>
        </w:rPr>
        <w:t> </w:t>
      </w:r>
      <w:r w:rsidR="000C1084" w:rsidRPr="003F5878">
        <w:rPr>
          <w:rFonts w:hint="cs"/>
          <w:rtl/>
          <w:lang w:bidi="ar-SY"/>
        </w:rPr>
        <w:t>تضعف</w:t>
      </w:r>
      <w:r w:rsidR="000C1084" w:rsidRPr="003F5878">
        <w:rPr>
          <w:rtl/>
          <w:lang w:bidi="ar-SY"/>
        </w:rPr>
        <w:t xml:space="preserve"> الأفرقة المتخصصة دور لجان الدراسات </w:t>
      </w:r>
      <w:r w:rsidR="0045459D" w:rsidRPr="003F5878">
        <w:rPr>
          <w:rFonts w:hint="cs"/>
          <w:rtl/>
          <w:lang w:bidi="ar-SY"/>
        </w:rPr>
        <w:t>بسبب</w:t>
      </w:r>
      <w:r w:rsidR="000C1084" w:rsidRPr="003F5878">
        <w:rPr>
          <w:rtl/>
          <w:lang w:bidi="ar-SY"/>
        </w:rPr>
        <w:t xml:space="preserve"> ازدواج الجهود التي </w:t>
      </w:r>
      <w:r w:rsidR="0045459D" w:rsidRPr="003F5878">
        <w:rPr>
          <w:rFonts w:hint="cs"/>
          <w:rtl/>
          <w:lang w:bidi="ar-SY"/>
        </w:rPr>
        <w:t>كان يمكن أن تؤديها</w:t>
      </w:r>
      <w:r w:rsidR="000C1084" w:rsidRPr="003F5878">
        <w:rPr>
          <w:rtl/>
          <w:lang w:bidi="ar-SY"/>
        </w:rPr>
        <w:t xml:space="preserve"> اجتماعات </w:t>
      </w:r>
      <w:r w:rsidR="0045459D" w:rsidRPr="003F5878">
        <w:rPr>
          <w:rFonts w:hint="cs"/>
          <w:rtl/>
          <w:lang w:bidi="ar-SY"/>
        </w:rPr>
        <w:t>أفرقة المقررين</w:t>
      </w:r>
      <w:r w:rsidR="000C1084" w:rsidRPr="003F5878">
        <w:rPr>
          <w:rtl/>
          <w:lang w:bidi="ar-SY"/>
        </w:rPr>
        <w:t xml:space="preserve"> في</w:t>
      </w:r>
      <w:r w:rsidR="005E49FD" w:rsidRPr="003F5878">
        <w:rPr>
          <w:rFonts w:hint="cs"/>
          <w:rtl/>
          <w:lang w:bidi="ar-SY"/>
        </w:rPr>
        <w:t> </w:t>
      </w:r>
      <w:r w:rsidR="000C1084" w:rsidRPr="003F5878">
        <w:rPr>
          <w:rtl/>
          <w:lang w:bidi="ar-SY"/>
        </w:rPr>
        <w:t>إطار لجان الدراسات.</w:t>
      </w:r>
      <w:r w:rsidR="000C1084" w:rsidRPr="003F5878">
        <w:rPr>
          <w:rFonts w:hint="cs"/>
          <w:rtl/>
          <w:lang w:bidi="ar-SY"/>
        </w:rPr>
        <w:t xml:space="preserve"> وبالتالي، تَعتبر أوروبا أن</w:t>
      </w:r>
      <w:r w:rsidR="00410E8C" w:rsidRPr="003F5878">
        <w:rPr>
          <w:rFonts w:hint="cs"/>
          <w:rtl/>
          <w:lang w:bidi="ar-SY"/>
        </w:rPr>
        <w:t>ه ينبغي</w:t>
      </w:r>
      <w:r w:rsidR="000C1084" w:rsidRPr="003F5878">
        <w:rPr>
          <w:rFonts w:hint="cs"/>
          <w:rtl/>
          <w:lang w:bidi="ar-SY"/>
        </w:rPr>
        <w:t xml:space="preserve"> </w:t>
      </w:r>
      <w:r w:rsidR="00410E8C" w:rsidRPr="003F5878">
        <w:rPr>
          <w:rFonts w:hint="cs"/>
          <w:rtl/>
          <w:lang w:bidi="ar-SY"/>
        </w:rPr>
        <w:t>ل</w:t>
      </w:r>
      <w:r w:rsidR="000C1084" w:rsidRPr="003F5878">
        <w:rPr>
          <w:rFonts w:hint="cs"/>
          <w:rtl/>
          <w:lang w:bidi="ar-SY"/>
        </w:rPr>
        <w:t>لتوصية</w:t>
      </w:r>
      <w:r w:rsidR="00D23055">
        <w:rPr>
          <w:rFonts w:hint="eastAsia"/>
          <w:rtl/>
          <w:lang w:bidi="ar-SY"/>
        </w:rPr>
        <w:t> </w:t>
      </w:r>
      <w:r w:rsidR="000C1084" w:rsidRPr="003F5878">
        <w:t>ITU-T</w:t>
      </w:r>
      <w:r w:rsidR="00C41B93" w:rsidRPr="003F5878">
        <w:t> </w:t>
      </w:r>
      <w:r w:rsidR="000C1084" w:rsidRPr="003F5878">
        <w:t>A.7</w:t>
      </w:r>
      <w:r w:rsidR="000C1084" w:rsidRPr="003F5878">
        <w:rPr>
          <w:rFonts w:hint="cs"/>
          <w:rtl/>
          <w:lang w:bidi="ar-SY"/>
        </w:rPr>
        <w:t xml:space="preserve"> </w:t>
      </w:r>
      <w:r w:rsidR="00410E8C" w:rsidRPr="003F5878">
        <w:rPr>
          <w:rFonts w:hint="cs"/>
          <w:rtl/>
          <w:lang w:bidi="ar-SY"/>
        </w:rPr>
        <w:t xml:space="preserve">أن </w:t>
      </w:r>
      <w:r w:rsidR="00125032" w:rsidRPr="003F5878">
        <w:rPr>
          <w:rFonts w:hint="cs"/>
          <w:rtl/>
          <w:lang w:bidi="ar-SY"/>
        </w:rPr>
        <w:t>تواصل تعزيز دور لجان الدراسات في</w:t>
      </w:r>
      <w:r w:rsidR="00125032" w:rsidRPr="003F5878">
        <w:rPr>
          <w:rFonts w:hint="eastAsia"/>
          <w:rtl/>
          <w:lang w:bidi="ar-SY"/>
        </w:rPr>
        <w:t> </w:t>
      </w:r>
      <w:r w:rsidR="000C1084" w:rsidRPr="003F5878">
        <w:rPr>
          <w:rFonts w:hint="cs"/>
          <w:rtl/>
          <w:lang w:bidi="ar-SY"/>
        </w:rPr>
        <w:t xml:space="preserve">قطاع تقييس الاتصالات </w:t>
      </w:r>
      <w:r w:rsidR="00E867B1" w:rsidRPr="003F5878">
        <w:rPr>
          <w:rFonts w:hint="cs"/>
          <w:rtl/>
          <w:lang w:bidi="ar-SY"/>
        </w:rPr>
        <w:t>وما تتمتع به من خبرة متخصصة</w:t>
      </w:r>
      <w:r w:rsidR="008D7B7C" w:rsidRPr="003F5878">
        <w:rPr>
          <w:rFonts w:hint="cs"/>
          <w:rtl/>
          <w:lang w:bidi="ar-SY"/>
        </w:rPr>
        <w:t>.</w:t>
      </w:r>
    </w:p>
    <w:p w:rsidR="003C276D" w:rsidRPr="00E3154C" w:rsidRDefault="001D3E01" w:rsidP="009A6D60">
      <w:pPr>
        <w:rPr>
          <w:rtl/>
          <w:lang w:bidi="ar-SY"/>
        </w:rPr>
      </w:pPr>
      <w:r w:rsidRPr="00E3154C">
        <w:rPr>
          <w:rFonts w:hint="cs"/>
          <w:rtl/>
          <w:lang w:bidi="ar-SY"/>
        </w:rPr>
        <w:t>وفيما</w:t>
      </w:r>
      <w:r w:rsidR="005E49FD">
        <w:rPr>
          <w:rFonts w:hint="eastAsia"/>
          <w:rtl/>
          <w:lang w:bidi="ar-SY"/>
        </w:rPr>
        <w:t> </w:t>
      </w:r>
      <w:r w:rsidRPr="00E3154C">
        <w:rPr>
          <w:rFonts w:hint="cs"/>
          <w:rtl/>
          <w:lang w:bidi="ar-SY"/>
        </w:rPr>
        <w:t>يتعلق بمسألة التمويل</w:t>
      </w:r>
      <w:r w:rsidR="003C276D" w:rsidRPr="00E3154C">
        <w:rPr>
          <w:rFonts w:hint="cs"/>
          <w:rtl/>
          <w:lang w:bidi="ar-SY"/>
        </w:rPr>
        <w:t xml:space="preserve">، </w:t>
      </w:r>
      <w:r w:rsidRPr="00E3154C">
        <w:rPr>
          <w:rFonts w:hint="cs"/>
          <w:rtl/>
          <w:lang w:bidi="ar-SY"/>
        </w:rPr>
        <w:t xml:space="preserve">تؤكد أوروبا أنه ينبغي توفير التمويل </w:t>
      </w:r>
      <w:r w:rsidR="003C276D" w:rsidRPr="00E3154C">
        <w:rPr>
          <w:rFonts w:hint="cs"/>
          <w:rtl/>
          <w:lang w:bidi="ar-SY"/>
        </w:rPr>
        <w:t xml:space="preserve">من خلال اعتمادات الميزانية الحالية </w:t>
      </w:r>
      <w:r w:rsidR="00E3154C">
        <w:rPr>
          <w:rFonts w:hint="cs"/>
          <w:rtl/>
          <w:lang w:bidi="ar-SY"/>
        </w:rPr>
        <w:t>بدون التضحية بأعمال مهمة</w:t>
      </w:r>
      <w:r w:rsidR="00E3154C">
        <w:rPr>
          <w:rFonts w:hint="eastAsia"/>
          <w:rtl/>
          <w:lang w:bidi="ar-SY"/>
        </w:rPr>
        <w:t> </w:t>
      </w:r>
      <w:r w:rsidR="00E3154C">
        <w:rPr>
          <w:rFonts w:hint="cs"/>
          <w:rtl/>
          <w:lang w:bidi="ar-SY"/>
        </w:rPr>
        <w:t>جارية.</w:t>
      </w:r>
    </w:p>
    <w:p w:rsidR="005F6621" w:rsidRDefault="005F6621" w:rsidP="009A6D60">
      <w:pPr>
        <w:pStyle w:val="Headingb"/>
        <w:rPr>
          <w:rtl/>
        </w:rPr>
      </w:pPr>
      <w:r>
        <w:rPr>
          <w:rFonts w:hint="cs"/>
          <w:rtl/>
        </w:rPr>
        <w:t>المقترح</w:t>
      </w:r>
      <w:bookmarkStart w:id="0" w:name="_GoBack"/>
      <w:bookmarkEnd w:id="0"/>
    </w:p>
    <w:p w:rsidR="001D3E01" w:rsidRPr="00E3154C" w:rsidRDefault="001D3E01" w:rsidP="00A52FBA">
      <w:pPr>
        <w:rPr>
          <w:rtl/>
        </w:rPr>
      </w:pPr>
      <w:r w:rsidRPr="00E3154C">
        <w:rPr>
          <w:rFonts w:hint="cs"/>
          <w:rtl/>
        </w:rPr>
        <w:t>ل</w:t>
      </w:r>
      <w:r w:rsidR="00410E8C" w:rsidRPr="00E3154C">
        <w:rPr>
          <w:rFonts w:hint="cs"/>
          <w:rtl/>
        </w:rPr>
        <w:t>هذه ا</w:t>
      </w:r>
      <w:r w:rsidRPr="00E3154C">
        <w:rPr>
          <w:rFonts w:hint="cs"/>
          <w:rtl/>
        </w:rPr>
        <w:t>لأسباب، فإن أوروبا مقتنعة بأن التوصية</w:t>
      </w:r>
      <w:r w:rsidR="003048F9">
        <w:rPr>
          <w:rFonts w:hint="eastAsia"/>
          <w:rtl/>
        </w:rPr>
        <w:t> </w:t>
      </w:r>
      <w:r w:rsidR="00163D12" w:rsidRPr="00E3154C">
        <w:t>ITU-T</w:t>
      </w:r>
      <w:r w:rsidR="005E49FD">
        <w:t> </w:t>
      </w:r>
      <w:r w:rsidR="00163D12" w:rsidRPr="00E3154C">
        <w:t>A.7</w:t>
      </w:r>
      <w:r w:rsidRPr="00E3154C">
        <w:rPr>
          <w:rFonts w:hint="cs"/>
          <w:rtl/>
        </w:rPr>
        <w:t xml:space="preserve"> وصلت</w:t>
      </w:r>
      <w:r w:rsidR="00163D12" w:rsidRPr="00E3154C">
        <w:rPr>
          <w:rFonts w:hint="cs"/>
          <w:rtl/>
        </w:rPr>
        <w:t xml:space="preserve"> اليوم</w:t>
      </w:r>
      <w:r w:rsidRPr="00E3154C">
        <w:rPr>
          <w:rFonts w:hint="cs"/>
          <w:rtl/>
        </w:rPr>
        <w:t xml:space="preserve"> إلى مرحلة النضج ولا</w:t>
      </w:r>
      <w:r w:rsidR="00BC6E72">
        <w:rPr>
          <w:rFonts w:hint="eastAsia"/>
          <w:rtl/>
        </w:rPr>
        <w:t> </w:t>
      </w:r>
      <w:r w:rsidRPr="00E3154C">
        <w:rPr>
          <w:rFonts w:hint="cs"/>
          <w:rtl/>
        </w:rPr>
        <w:t xml:space="preserve">تحتاج إلى تعديلات إضافية، وبالتالي تقترح الحفاظ على النص المنشور في نوفمبر </w:t>
      </w:r>
      <w:r w:rsidR="00E3154C">
        <w:t>2012</w:t>
      </w:r>
      <w:r w:rsidRPr="00E3154C">
        <w:rPr>
          <w:rFonts w:hint="cs"/>
          <w:rtl/>
        </w:rPr>
        <w:t xml:space="preserve"> دون تعديل (فيما</w:t>
      </w:r>
      <w:r w:rsidR="006F024C">
        <w:rPr>
          <w:rFonts w:hint="eastAsia"/>
          <w:rtl/>
        </w:rPr>
        <w:t> </w:t>
      </w:r>
      <w:r w:rsidRPr="00E3154C">
        <w:rPr>
          <w:rFonts w:hint="cs"/>
          <w:rtl/>
        </w:rPr>
        <w:t>عدا إضافة التذييل</w:t>
      </w:r>
      <w:r w:rsidR="006F024C">
        <w:rPr>
          <w:rFonts w:hint="eastAsia"/>
          <w:rtl/>
        </w:rPr>
        <w:t> </w:t>
      </w:r>
      <w:r w:rsidRPr="00E3154C">
        <w:t>I</w:t>
      </w:r>
      <w:r w:rsidRPr="00E3154C">
        <w:rPr>
          <w:rFonts w:hint="cs"/>
          <w:rtl/>
        </w:rPr>
        <w:t xml:space="preserve"> المتفق عليه</w:t>
      </w:r>
      <w:r w:rsidR="00410E8C" w:rsidRPr="00E3154C">
        <w:rPr>
          <w:rFonts w:hint="cs"/>
          <w:rtl/>
        </w:rPr>
        <w:t>ا</w:t>
      </w:r>
      <w:r w:rsidRPr="00E3154C">
        <w:rPr>
          <w:rFonts w:hint="cs"/>
          <w:rtl/>
        </w:rPr>
        <w:t xml:space="preserve"> في اجتماع الفريق الاستشاري لتقييس الاتصالات في يونيو </w:t>
      </w:r>
      <w:r w:rsidR="00E3154C">
        <w:t>2015</w:t>
      </w:r>
      <w:r w:rsidRPr="00E3154C">
        <w:rPr>
          <w:rFonts w:hint="cs"/>
          <w:rtl/>
        </w:rPr>
        <w:t>).</w:t>
      </w:r>
    </w:p>
    <w:p w:rsidR="00316C69" w:rsidRDefault="00316C69" w:rsidP="00316C69">
      <w:pPr>
        <w:rPr>
          <w:rtl/>
        </w:rPr>
      </w:pPr>
      <w:r>
        <w:rPr>
          <w:rtl/>
        </w:rPr>
        <w:br w:type="page"/>
      </w:r>
    </w:p>
    <w:p w:rsidR="00CE1545" w:rsidRPr="005F6621" w:rsidRDefault="005072F3" w:rsidP="009A6D60">
      <w:pPr>
        <w:pStyle w:val="Proposal"/>
      </w:pPr>
      <w:r w:rsidRPr="005F6621">
        <w:rPr>
          <w:u w:val="single"/>
        </w:rPr>
        <w:lastRenderedPageBreak/>
        <w:t>NOC</w:t>
      </w:r>
      <w:r w:rsidRPr="005F6621">
        <w:tab/>
        <w:t>EUR/45A3/1</w:t>
      </w:r>
    </w:p>
    <w:p w:rsidR="005E7A2F" w:rsidRPr="005F6621" w:rsidRDefault="005072F3" w:rsidP="00953236">
      <w:pPr>
        <w:pStyle w:val="RecNo"/>
        <w:jc w:val="left"/>
        <w:rPr>
          <w:bCs/>
        </w:rPr>
      </w:pPr>
      <w:bookmarkStart w:id="1" w:name="_Toc349551656"/>
      <w:r w:rsidRPr="005F6621">
        <w:rPr>
          <w:rFonts w:hint="cs"/>
          <w:bCs/>
          <w:rtl/>
        </w:rPr>
        <w:t>التوصيـة</w:t>
      </w:r>
      <w:r w:rsidR="00953236">
        <w:rPr>
          <w:rFonts w:hint="eastAsia"/>
          <w:bCs/>
          <w:rtl/>
        </w:rPr>
        <w:t> </w:t>
      </w:r>
      <w:r w:rsidRPr="005F6621">
        <w:rPr>
          <w:bCs/>
        </w:rPr>
        <w:t>ITU-T</w:t>
      </w:r>
      <w:r w:rsidR="00953236">
        <w:rPr>
          <w:bCs/>
        </w:rPr>
        <w:t> </w:t>
      </w:r>
      <w:r w:rsidRPr="005F6621">
        <w:rPr>
          <w:bCs/>
        </w:rPr>
        <w:t>A.7</w:t>
      </w:r>
    </w:p>
    <w:p w:rsidR="00DC4BEA" w:rsidRPr="00336FDC" w:rsidRDefault="005072F3" w:rsidP="009A6D60">
      <w:pPr>
        <w:pStyle w:val="Rectitle"/>
        <w:rPr>
          <w:rtl/>
          <w:lang w:val="fr-FR" w:bidi="ar-EG"/>
        </w:rPr>
      </w:pPr>
      <w:r w:rsidRPr="00336FDC">
        <w:rPr>
          <w:rFonts w:hint="cs"/>
          <w:rtl/>
          <w:lang w:val="fr-FR" w:bidi="ar-EG"/>
        </w:rPr>
        <w:t>ال</w:t>
      </w:r>
      <w:r w:rsidRPr="00336FDC">
        <w:rPr>
          <w:rtl/>
          <w:lang w:val="fr-FR" w:bidi="ar-EG"/>
        </w:rPr>
        <w:t xml:space="preserve">أفرقة </w:t>
      </w:r>
      <w:r w:rsidRPr="00336FDC">
        <w:rPr>
          <w:rFonts w:hint="cs"/>
          <w:rtl/>
          <w:lang w:val="fr-FR" w:bidi="ar-EG"/>
        </w:rPr>
        <w:t>المتخصصة</w:t>
      </w:r>
      <w:r w:rsidRPr="00336FDC">
        <w:rPr>
          <w:rtl/>
          <w:lang w:val="fr-FR" w:bidi="ar-EG"/>
        </w:rPr>
        <w:t xml:space="preserve">: </w:t>
      </w:r>
      <w:r w:rsidRPr="00336FDC">
        <w:rPr>
          <w:rFonts w:hint="cs"/>
          <w:rtl/>
          <w:lang w:val="fr-FR" w:bidi="ar-EG"/>
        </w:rPr>
        <w:t>إنشاء الأفرقة المتخصصة وإجراءات عملها</w:t>
      </w:r>
      <w:bookmarkEnd w:id="1"/>
    </w:p>
    <w:p w:rsidR="00DC4BEA" w:rsidRPr="00336FDC" w:rsidRDefault="005072F3" w:rsidP="009A6D60">
      <w:pPr>
        <w:pStyle w:val="Recdate"/>
        <w:rPr>
          <w:rtl/>
        </w:rPr>
      </w:pPr>
      <w:r w:rsidRPr="00336FDC">
        <w:rPr>
          <w:rtl/>
        </w:rPr>
        <w:t>(</w:t>
      </w:r>
      <w:r w:rsidRPr="00336FDC">
        <w:t>2000</w:t>
      </w:r>
      <w:r w:rsidRPr="00336FDC">
        <w:rPr>
          <w:rtl/>
        </w:rPr>
        <w:t xml:space="preserve">؛ </w:t>
      </w:r>
      <w:r w:rsidRPr="00336FDC">
        <w:t>2002</w:t>
      </w:r>
      <w:r w:rsidRPr="00336FDC">
        <w:rPr>
          <w:rtl/>
        </w:rPr>
        <w:t xml:space="preserve">؛ </w:t>
      </w:r>
      <w:r w:rsidRPr="00336FDC">
        <w:t>2004</w:t>
      </w:r>
      <w:r w:rsidRPr="00336FDC">
        <w:rPr>
          <w:rtl/>
        </w:rPr>
        <w:t xml:space="preserve">؛ </w:t>
      </w:r>
      <w:r w:rsidRPr="00336FDC">
        <w:t>2006</w:t>
      </w:r>
      <w:r w:rsidRPr="00336FDC">
        <w:rPr>
          <w:rtl/>
        </w:rPr>
        <w:t xml:space="preserve">؛ </w:t>
      </w:r>
      <w:r w:rsidRPr="00336FDC">
        <w:t>2008</w:t>
      </w:r>
      <w:r w:rsidRPr="00336FDC">
        <w:rPr>
          <w:rFonts w:hint="cs"/>
          <w:rtl/>
        </w:rPr>
        <w:t xml:space="preserve">؛ </w:t>
      </w:r>
      <w:r w:rsidRPr="00336FDC">
        <w:t>2012</w:t>
      </w:r>
      <w:r w:rsidRPr="00336FDC">
        <w:rPr>
          <w:rFonts w:hint="cs"/>
          <w:rtl/>
        </w:rPr>
        <w:t xml:space="preserve">؛ </w:t>
      </w:r>
      <w:r w:rsidRPr="00336FDC">
        <w:t>2015</w:t>
      </w:r>
      <w:r w:rsidRPr="00336FDC">
        <w:rPr>
          <w:rtl/>
        </w:rPr>
        <w:t>)</w:t>
      </w:r>
      <w:r>
        <w:rPr>
          <w:rStyle w:val="FootnoteReference"/>
          <w:rtl/>
        </w:rPr>
        <w:footnoteReference w:id="1"/>
      </w:r>
    </w:p>
    <w:p w:rsidR="00DD661A" w:rsidRPr="008E16F7" w:rsidRDefault="005072F3" w:rsidP="0084436D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A66365" w:rsidRPr="008E16F7">
        <w:rPr>
          <w:rFonts w:hint="cs"/>
          <w:b w:val="0"/>
          <w:bCs w:val="0"/>
          <w:rtl/>
          <w:lang w:bidi="ar-EG"/>
        </w:rPr>
        <w:t>انظر مقدمة الوثيقة</w:t>
      </w:r>
      <w:r w:rsidR="00E731A5" w:rsidRPr="008E16F7">
        <w:rPr>
          <w:rFonts w:hint="cs"/>
          <w:b w:val="0"/>
          <w:bCs w:val="0"/>
          <w:rtl/>
          <w:lang w:bidi="ar-EG"/>
        </w:rPr>
        <w:t xml:space="preserve"> </w:t>
      </w:r>
      <w:r w:rsidR="00E731A5" w:rsidRPr="008E16F7">
        <w:rPr>
          <w:rFonts w:cs="Times New Roman"/>
          <w:b w:val="0"/>
          <w:bCs w:val="0"/>
          <w:sz w:val="24"/>
          <w:szCs w:val="20"/>
        </w:rPr>
        <w:t>45</w:t>
      </w:r>
      <w:r w:rsidR="0084436D">
        <w:rPr>
          <w:rFonts w:cs="Times New Roman"/>
          <w:b w:val="0"/>
          <w:bCs w:val="0"/>
          <w:sz w:val="24"/>
          <w:szCs w:val="20"/>
        </w:rPr>
        <w:t>(</w:t>
      </w:r>
      <w:r w:rsidR="00E731A5" w:rsidRPr="008E16F7">
        <w:rPr>
          <w:rFonts w:cs="Times New Roman"/>
          <w:b w:val="0"/>
          <w:bCs w:val="0"/>
          <w:sz w:val="24"/>
          <w:szCs w:val="20"/>
        </w:rPr>
        <w:t>Add.3</w:t>
      </w:r>
      <w:r w:rsidR="0084436D">
        <w:rPr>
          <w:rFonts w:cs="Times New Roman"/>
          <w:b w:val="0"/>
          <w:bCs w:val="0"/>
          <w:sz w:val="24"/>
          <w:szCs w:val="20"/>
        </w:rPr>
        <w:t>)</w:t>
      </w:r>
      <w:r w:rsidR="00E731A5" w:rsidRPr="008E16F7">
        <w:rPr>
          <w:rFonts w:hint="cs"/>
          <w:b w:val="0"/>
          <w:bCs w:val="0"/>
          <w:rtl/>
          <w:lang w:bidi="ar-EG"/>
        </w:rPr>
        <w:t>.</w:t>
      </w:r>
      <w:r w:rsidR="00A66365" w:rsidRPr="008E16F7">
        <w:rPr>
          <w:rFonts w:hint="cs"/>
          <w:b w:val="0"/>
          <w:bCs w:val="0"/>
          <w:rtl/>
          <w:lang w:bidi="ar-EG"/>
        </w:rPr>
        <w:t xml:space="preserve"> </w:t>
      </w:r>
      <w:r w:rsidR="00DD661A" w:rsidRPr="008E16F7">
        <w:rPr>
          <w:rFonts w:hint="cs"/>
          <w:b w:val="0"/>
          <w:bCs w:val="0"/>
          <w:rtl/>
          <w:lang w:bidi="ar-EG"/>
        </w:rPr>
        <w:t>و</w:t>
      </w:r>
      <w:r w:rsidR="00DD661A" w:rsidRPr="008E16F7">
        <w:rPr>
          <w:rFonts w:hint="cs"/>
          <w:b w:val="0"/>
          <w:bCs w:val="0"/>
          <w:rtl/>
        </w:rPr>
        <w:t xml:space="preserve">تقترح أوروبا الحفاظ على النص المنشور في نوفمبر </w:t>
      </w:r>
      <w:r w:rsidR="00DD661A" w:rsidRPr="008E16F7">
        <w:rPr>
          <w:rFonts w:hint="cs"/>
          <w:b w:val="0"/>
          <w:bCs w:val="0"/>
          <w:sz w:val="24"/>
          <w:szCs w:val="24"/>
          <w:rtl/>
        </w:rPr>
        <w:t>2012</w:t>
      </w:r>
      <w:r w:rsidR="00DD661A" w:rsidRPr="008E16F7">
        <w:rPr>
          <w:rFonts w:hint="cs"/>
          <w:b w:val="0"/>
          <w:bCs w:val="0"/>
          <w:rtl/>
        </w:rPr>
        <w:t xml:space="preserve"> دون تعديل (فيما</w:t>
      </w:r>
      <w:r w:rsidR="008E16F7">
        <w:rPr>
          <w:rFonts w:hint="eastAsia"/>
          <w:b w:val="0"/>
          <w:bCs w:val="0"/>
          <w:rtl/>
        </w:rPr>
        <w:t> </w:t>
      </w:r>
      <w:r w:rsidR="00DD661A" w:rsidRPr="008E16F7">
        <w:rPr>
          <w:rFonts w:hint="cs"/>
          <w:b w:val="0"/>
          <w:bCs w:val="0"/>
          <w:rtl/>
        </w:rPr>
        <w:t>عدا إضافة التذييل</w:t>
      </w:r>
      <w:r w:rsidR="008E16F7">
        <w:rPr>
          <w:rFonts w:hint="eastAsia"/>
          <w:b w:val="0"/>
          <w:bCs w:val="0"/>
          <w:rtl/>
        </w:rPr>
        <w:t> </w:t>
      </w:r>
      <w:r w:rsidR="00DD661A" w:rsidRPr="008E16F7">
        <w:rPr>
          <w:rFonts w:cs="Times New Roman"/>
          <w:b w:val="0"/>
          <w:bCs w:val="0"/>
          <w:sz w:val="24"/>
          <w:szCs w:val="20"/>
        </w:rPr>
        <w:t>I</w:t>
      </w:r>
      <w:r w:rsidR="00DD661A" w:rsidRPr="008E16F7">
        <w:rPr>
          <w:rFonts w:hint="cs"/>
          <w:b w:val="0"/>
          <w:bCs w:val="0"/>
          <w:rtl/>
        </w:rPr>
        <w:t xml:space="preserve"> المتفق عليها في اجتماع الفريق الاستشاري لتقييس الاتصالات في يونيو </w:t>
      </w:r>
      <w:r w:rsidR="00DD661A" w:rsidRPr="008E16F7">
        <w:rPr>
          <w:rFonts w:hint="cs"/>
          <w:b w:val="0"/>
          <w:bCs w:val="0"/>
          <w:sz w:val="24"/>
          <w:szCs w:val="24"/>
          <w:rtl/>
        </w:rPr>
        <w:t>2015</w:t>
      </w:r>
      <w:r w:rsidR="00DD661A" w:rsidRPr="008E16F7">
        <w:rPr>
          <w:rFonts w:hint="cs"/>
          <w:b w:val="0"/>
          <w:bCs w:val="0"/>
          <w:rtl/>
        </w:rPr>
        <w:t>).</w:t>
      </w:r>
    </w:p>
    <w:p w:rsidR="00A66365" w:rsidRPr="008E16F7" w:rsidRDefault="00A66365" w:rsidP="009A6D60">
      <w:pPr>
        <w:pStyle w:val="Reasons"/>
        <w:rPr>
          <w:b w:val="0"/>
          <w:bCs w:val="0"/>
          <w:rtl/>
        </w:rPr>
      </w:pPr>
    </w:p>
    <w:p w:rsidR="005F6621" w:rsidRPr="005F6621" w:rsidRDefault="005F6621" w:rsidP="009A6D6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F6621" w:rsidRPr="005F6621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CD" w:rsidRDefault="00801FCD" w:rsidP="00E07379">
      <w:pPr>
        <w:spacing w:before="0" w:line="240" w:lineRule="auto"/>
      </w:pPr>
      <w:r>
        <w:separator/>
      </w:r>
    </w:p>
  </w:endnote>
  <w:endnote w:type="continuationSeparator" w:id="0">
    <w:p w:rsidR="00801FCD" w:rsidRDefault="00801FC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F1" w:rsidRPr="00CF3BD7" w:rsidRDefault="00CF3BD7" w:rsidP="00CF3BD7">
    <w:pPr>
      <w:pStyle w:val="Footer"/>
      <w:rPr>
        <w:lang w:val="fr-CH"/>
      </w:rPr>
    </w:pPr>
    <w:r w:rsidRPr="00CF3BD7">
      <w:rPr>
        <w:lang w:val="fr-CH"/>
      </w:rPr>
      <w:t>ITU-T\CONF-T\WTSA16\000\045ADD3</w:t>
    </w:r>
    <w:r>
      <w:rPr>
        <w:lang w:val="fr-CH"/>
      </w:rPr>
      <w:t>A</w:t>
    </w:r>
    <w:r w:rsidRPr="00CF3BD7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CF3BD7" w:rsidRDefault="00CF3BD7" w:rsidP="00CF3BD7">
    <w:pPr>
      <w:pStyle w:val="Footer"/>
      <w:rPr>
        <w:lang w:val="fr-CH"/>
      </w:rPr>
    </w:pPr>
    <w:r w:rsidRPr="00CF3BD7">
      <w:rPr>
        <w:lang w:val="fr-CH"/>
      </w:rPr>
      <w:t>ITU-T\CONF-T\WTSA16\000\045ADD3A.DOC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CD" w:rsidRDefault="00801FCD" w:rsidP="00E07379">
      <w:pPr>
        <w:spacing w:before="0" w:line="240" w:lineRule="auto"/>
      </w:pPr>
      <w:r>
        <w:separator/>
      </w:r>
    </w:p>
  </w:footnote>
  <w:footnote w:type="continuationSeparator" w:id="0">
    <w:p w:rsidR="00801FCD" w:rsidRDefault="00801FCD" w:rsidP="00E07379">
      <w:pPr>
        <w:spacing w:before="0" w:line="240" w:lineRule="auto"/>
      </w:pPr>
      <w:r>
        <w:continuationSeparator/>
      </w:r>
    </w:p>
  </w:footnote>
  <w:footnote w:id="1">
    <w:p w:rsidR="0018243A" w:rsidRPr="00B411EE" w:rsidRDefault="003C276D" w:rsidP="005511C3">
      <w:pPr>
        <w:pStyle w:val="FootnoteText"/>
        <w:rPr>
          <w:lang w:val="fr-CH"/>
        </w:rPr>
      </w:pPr>
      <w:r>
        <w:rPr>
          <w:rStyle w:val="FootnoteReference"/>
        </w:rPr>
        <w:t>1</w:t>
      </w:r>
      <w:r w:rsidR="005072F3">
        <w:tab/>
      </w:r>
      <w:r w:rsidR="005072F3">
        <w:rPr>
          <w:rtl/>
        </w:rPr>
        <w:t>يشمل هذا المنشور التوصية</w:t>
      </w:r>
      <w:r w:rsidR="005511C3">
        <w:rPr>
          <w:rFonts w:hint="eastAsia"/>
          <w:rtl/>
        </w:rPr>
        <w:t> </w:t>
      </w:r>
      <w:r w:rsidR="005072F3">
        <w:t>ITU-T A.7</w:t>
      </w:r>
      <w:r w:rsidR="007B3004">
        <w:rPr>
          <w:rtl/>
        </w:rPr>
        <w:t xml:space="preserve"> </w:t>
      </w:r>
      <w:r w:rsidR="007B3004">
        <w:t>(2012)</w:t>
      </w:r>
      <w:r w:rsidR="007B3004">
        <w:rPr>
          <w:rFonts w:hint="cs"/>
          <w:rtl/>
        </w:rPr>
        <w:t xml:space="preserve"> </w:t>
      </w:r>
      <w:r w:rsidR="005072F3">
        <w:rPr>
          <w:rtl/>
        </w:rPr>
        <w:t>ويتضمن التعديل</w:t>
      </w:r>
      <w:r w:rsidR="00EC5778">
        <w:rPr>
          <w:rtl/>
        </w:rPr>
        <w:t xml:space="preserve"> </w:t>
      </w:r>
      <w:r w:rsidR="00EC5778">
        <w:rPr>
          <w:szCs w:val="16"/>
        </w:rPr>
        <w:t>1</w:t>
      </w:r>
      <w:r w:rsidR="005072F3">
        <w:rPr>
          <w:rtl/>
        </w:rPr>
        <w:t xml:space="preserve"> </w:t>
      </w:r>
      <w:r w:rsidR="00EC5778">
        <w:t>(2015)</w:t>
      </w:r>
      <w:r w:rsidR="00EC5778">
        <w:rPr>
          <w:rFonts w:hint="cs"/>
          <w:rtl/>
        </w:rPr>
        <w:t xml:space="preserve"> </w:t>
      </w:r>
      <w:r w:rsidR="005072F3">
        <w:rPr>
          <w:rtl/>
        </w:rPr>
        <w:t>لهذه التوصية.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CF3BD7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WTSA16/45(Add.3)-A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4BF0"/>
    <w:rsid w:val="00046444"/>
    <w:rsid w:val="0006023B"/>
    <w:rsid w:val="0008638B"/>
    <w:rsid w:val="00090574"/>
    <w:rsid w:val="00092FC2"/>
    <w:rsid w:val="000A1677"/>
    <w:rsid w:val="000A202F"/>
    <w:rsid w:val="000B407F"/>
    <w:rsid w:val="000C1084"/>
    <w:rsid w:val="000F0B1C"/>
    <w:rsid w:val="000F1D42"/>
    <w:rsid w:val="000F4D07"/>
    <w:rsid w:val="00102A03"/>
    <w:rsid w:val="001040A3"/>
    <w:rsid w:val="00107162"/>
    <w:rsid w:val="001142A4"/>
    <w:rsid w:val="00125032"/>
    <w:rsid w:val="00163D12"/>
    <w:rsid w:val="00173915"/>
    <w:rsid w:val="001B43AE"/>
    <w:rsid w:val="001C26BB"/>
    <w:rsid w:val="001D3E01"/>
    <w:rsid w:val="001E2773"/>
    <w:rsid w:val="001E5584"/>
    <w:rsid w:val="002065C9"/>
    <w:rsid w:val="00210704"/>
    <w:rsid w:val="0022345D"/>
    <w:rsid w:val="00225854"/>
    <w:rsid w:val="0023283D"/>
    <w:rsid w:val="00252E0C"/>
    <w:rsid w:val="00276881"/>
    <w:rsid w:val="00277277"/>
    <w:rsid w:val="002978F4"/>
    <w:rsid w:val="002A20AD"/>
    <w:rsid w:val="002B028D"/>
    <w:rsid w:val="002B0E24"/>
    <w:rsid w:val="002B435E"/>
    <w:rsid w:val="002C4DAE"/>
    <w:rsid w:val="002C7D2E"/>
    <w:rsid w:val="002D095B"/>
    <w:rsid w:val="002E6541"/>
    <w:rsid w:val="002F5560"/>
    <w:rsid w:val="0030486B"/>
    <w:rsid w:val="003048F9"/>
    <w:rsid w:val="00316C69"/>
    <w:rsid w:val="003231B9"/>
    <w:rsid w:val="003275AC"/>
    <w:rsid w:val="00333D29"/>
    <w:rsid w:val="003409F4"/>
    <w:rsid w:val="00357185"/>
    <w:rsid w:val="0038608D"/>
    <w:rsid w:val="003C276D"/>
    <w:rsid w:val="003C475F"/>
    <w:rsid w:val="003D6CD8"/>
    <w:rsid w:val="003E4132"/>
    <w:rsid w:val="003F5878"/>
    <w:rsid w:val="003F678F"/>
    <w:rsid w:val="004060BC"/>
    <w:rsid w:val="00410E8C"/>
    <w:rsid w:val="004158D8"/>
    <w:rsid w:val="0042686F"/>
    <w:rsid w:val="004367CE"/>
    <w:rsid w:val="004426B2"/>
    <w:rsid w:val="00443869"/>
    <w:rsid w:val="0045459D"/>
    <w:rsid w:val="004712C6"/>
    <w:rsid w:val="00490242"/>
    <w:rsid w:val="004965C7"/>
    <w:rsid w:val="00497703"/>
    <w:rsid w:val="004F0F06"/>
    <w:rsid w:val="004F1DF1"/>
    <w:rsid w:val="00501E0E"/>
    <w:rsid w:val="005072F3"/>
    <w:rsid w:val="005204D7"/>
    <w:rsid w:val="005511C3"/>
    <w:rsid w:val="00552BC5"/>
    <w:rsid w:val="0055516A"/>
    <w:rsid w:val="0056374C"/>
    <w:rsid w:val="0056614F"/>
    <w:rsid w:val="0057656F"/>
    <w:rsid w:val="00576731"/>
    <w:rsid w:val="00585AD3"/>
    <w:rsid w:val="0059285F"/>
    <w:rsid w:val="005A24B1"/>
    <w:rsid w:val="005B7B8A"/>
    <w:rsid w:val="005C6666"/>
    <w:rsid w:val="005D6476"/>
    <w:rsid w:val="005D6C0D"/>
    <w:rsid w:val="005E49FD"/>
    <w:rsid w:val="005E5283"/>
    <w:rsid w:val="005E58F5"/>
    <w:rsid w:val="005F6621"/>
    <w:rsid w:val="00606660"/>
    <w:rsid w:val="006157A3"/>
    <w:rsid w:val="00620E60"/>
    <w:rsid w:val="0063315A"/>
    <w:rsid w:val="00653D37"/>
    <w:rsid w:val="0065591D"/>
    <w:rsid w:val="00662C5A"/>
    <w:rsid w:val="00665C7E"/>
    <w:rsid w:val="00670AF5"/>
    <w:rsid w:val="0069155D"/>
    <w:rsid w:val="006C1556"/>
    <w:rsid w:val="006F024C"/>
    <w:rsid w:val="006F267F"/>
    <w:rsid w:val="006F63F7"/>
    <w:rsid w:val="006F6F03"/>
    <w:rsid w:val="00706D7A"/>
    <w:rsid w:val="00726AEC"/>
    <w:rsid w:val="007530CA"/>
    <w:rsid w:val="00785C33"/>
    <w:rsid w:val="0079553D"/>
    <w:rsid w:val="007A091F"/>
    <w:rsid w:val="007B01CC"/>
    <w:rsid w:val="007B3004"/>
    <w:rsid w:val="007C1511"/>
    <w:rsid w:val="007F646C"/>
    <w:rsid w:val="00801FCD"/>
    <w:rsid w:val="00803D7E"/>
    <w:rsid w:val="00803F08"/>
    <w:rsid w:val="008235CD"/>
    <w:rsid w:val="00823A07"/>
    <w:rsid w:val="00835FEC"/>
    <w:rsid w:val="0084436D"/>
    <w:rsid w:val="008513CB"/>
    <w:rsid w:val="00874D9C"/>
    <w:rsid w:val="008A1810"/>
    <w:rsid w:val="008D7B7C"/>
    <w:rsid w:val="008E16F7"/>
    <w:rsid w:val="00907E33"/>
    <w:rsid w:val="0091234A"/>
    <w:rsid w:val="00917694"/>
    <w:rsid w:val="009263CD"/>
    <w:rsid w:val="00930E6D"/>
    <w:rsid w:val="00953236"/>
    <w:rsid w:val="0095676C"/>
    <w:rsid w:val="00972CA2"/>
    <w:rsid w:val="00982B28"/>
    <w:rsid w:val="00984EA5"/>
    <w:rsid w:val="009907A8"/>
    <w:rsid w:val="00992593"/>
    <w:rsid w:val="009A6D60"/>
    <w:rsid w:val="009C17E1"/>
    <w:rsid w:val="009C35ED"/>
    <w:rsid w:val="009D3E7F"/>
    <w:rsid w:val="009F1C12"/>
    <w:rsid w:val="00A25A43"/>
    <w:rsid w:val="00A3295B"/>
    <w:rsid w:val="00A42AE5"/>
    <w:rsid w:val="00A51662"/>
    <w:rsid w:val="00A52B61"/>
    <w:rsid w:val="00A52FBA"/>
    <w:rsid w:val="00A64820"/>
    <w:rsid w:val="00A66365"/>
    <w:rsid w:val="00A71DD6"/>
    <w:rsid w:val="00A723C7"/>
    <w:rsid w:val="00A97F94"/>
    <w:rsid w:val="00AB1309"/>
    <w:rsid w:val="00AC2C52"/>
    <w:rsid w:val="00AD1503"/>
    <w:rsid w:val="00AE7244"/>
    <w:rsid w:val="00AF3FEE"/>
    <w:rsid w:val="00AF6517"/>
    <w:rsid w:val="00B02F46"/>
    <w:rsid w:val="00B2000C"/>
    <w:rsid w:val="00B20ADE"/>
    <w:rsid w:val="00B66B9A"/>
    <w:rsid w:val="00B82089"/>
    <w:rsid w:val="00B970AE"/>
    <w:rsid w:val="00BA1427"/>
    <w:rsid w:val="00BC34E6"/>
    <w:rsid w:val="00BC6E72"/>
    <w:rsid w:val="00BE29FD"/>
    <w:rsid w:val="00BE49D0"/>
    <w:rsid w:val="00BF2C38"/>
    <w:rsid w:val="00C23331"/>
    <w:rsid w:val="00C265DA"/>
    <w:rsid w:val="00C41B93"/>
    <w:rsid w:val="00C442F2"/>
    <w:rsid w:val="00C46274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D123C"/>
    <w:rsid w:val="00CD2085"/>
    <w:rsid w:val="00CE1545"/>
    <w:rsid w:val="00CE2EE1"/>
    <w:rsid w:val="00CF3BD7"/>
    <w:rsid w:val="00CF3FFD"/>
    <w:rsid w:val="00D0494C"/>
    <w:rsid w:val="00D108BC"/>
    <w:rsid w:val="00D14BEB"/>
    <w:rsid w:val="00D21C89"/>
    <w:rsid w:val="00D22C72"/>
    <w:rsid w:val="00D23055"/>
    <w:rsid w:val="00D45542"/>
    <w:rsid w:val="00D65CFD"/>
    <w:rsid w:val="00D77D0F"/>
    <w:rsid w:val="00DA1CF0"/>
    <w:rsid w:val="00DB2271"/>
    <w:rsid w:val="00DB22B7"/>
    <w:rsid w:val="00DB5659"/>
    <w:rsid w:val="00DC24B4"/>
    <w:rsid w:val="00DD661A"/>
    <w:rsid w:val="00DD7A05"/>
    <w:rsid w:val="00DF16DC"/>
    <w:rsid w:val="00DF3612"/>
    <w:rsid w:val="00DF5361"/>
    <w:rsid w:val="00E009A1"/>
    <w:rsid w:val="00E00D15"/>
    <w:rsid w:val="00E071BE"/>
    <w:rsid w:val="00E07379"/>
    <w:rsid w:val="00E14494"/>
    <w:rsid w:val="00E17033"/>
    <w:rsid w:val="00E3154C"/>
    <w:rsid w:val="00E32189"/>
    <w:rsid w:val="00E45211"/>
    <w:rsid w:val="00E46773"/>
    <w:rsid w:val="00E6325A"/>
    <w:rsid w:val="00E63C2C"/>
    <w:rsid w:val="00E731A5"/>
    <w:rsid w:val="00E7380C"/>
    <w:rsid w:val="00E74BE7"/>
    <w:rsid w:val="00E864B0"/>
    <w:rsid w:val="00E867B1"/>
    <w:rsid w:val="00E86CC9"/>
    <w:rsid w:val="00E96624"/>
    <w:rsid w:val="00EC5778"/>
    <w:rsid w:val="00ED0706"/>
    <w:rsid w:val="00F1137E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  <w:rsid w:val="00FE77FB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Recdate">
    <w:name w:val="Rec_date"/>
    <w:basedOn w:val="Normal"/>
    <w:next w:val="Normal"/>
    <w:rsid w:val="002178AC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italic" w:hAnsi="Times New Roman italic"/>
      <w:i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6a4354-6cbc-42b0-a398-dbbea72bfcd1">Documents Proposals Manager (DPM)</DPM_x0020_Author>
    <DPM_x0020_File_x0020_name xmlns="d66a4354-6cbc-42b0-a398-dbbea72bfcd1">T13-WTSA.16-C-0045!A3!MSW-A</DPM_x0020_File_x0020_name>
    <DPM_x0020_Version xmlns="d66a4354-6cbc-42b0-a398-dbbea72bfcd1">DPM_v2016.7.7.1_prod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6a4354-6cbc-42b0-a398-dbbea72bfcd1" targetNamespace="http://schemas.microsoft.com/office/2006/metadata/properties" ma:root="true" ma:fieldsID="d41af5c836d734370eb92e7ee5f83852" ns2:_="" ns3:_="">
    <xsd:import namespace="996b2e75-67fd-4955-a3b0-5ab9934cb50b"/>
    <xsd:import namespace="d66a4354-6cbc-42b0-a398-dbbea72bfcd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a4354-6cbc-42b0-a398-dbbea72bfcd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infopath/2007/PartnerControls"/>
    <ds:schemaRef ds:uri="d66a4354-6cbc-42b0-a398-dbbea72bfcd1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6a4354-6cbc-42b0-a398-dbbea72bf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9353E-1D56-4188-A237-6E156276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T13-WTSA.16-C-0045!A3!MSW-A</vt:lpstr>
    </vt:vector>
  </TitlesOfParts>
  <Company>International Telecommunication Union (ITU)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T13-WTSA.16-C-0045!A3!MSW-A</dc:title>
  <dc:subject>World Telecommunication Standardization Assembly</dc:subject>
  <dc:creator>Documents Proposals Manager (DPM)</dc:creator>
  <cp:keywords>DPM_v2016.7.7.1_prod</cp:keywords>
  <dc:description>Template used by DPM and CPI for the WTSA-16</dc:description>
  <cp:lastModifiedBy>Clark, Robert</cp:lastModifiedBy>
  <cp:revision>52</cp:revision>
  <cp:lastPrinted>2016-06-07T13:25:00Z</cp:lastPrinted>
  <dcterms:created xsi:type="dcterms:W3CDTF">2016-07-18T07:21:00Z</dcterms:created>
  <dcterms:modified xsi:type="dcterms:W3CDTF">2016-07-19T09:29:00Z</dcterms:modified>
  <cp:category>Conference document</cp:category>
</cp:coreProperties>
</file>