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EA66FC" w:rsidTr="00261604">
        <w:trPr>
          <w:cantSplit/>
        </w:trPr>
        <w:tc>
          <w:tcPr>
            <w:tcW w:w="1560" w:type="dxa"/>
          </w:tcPr>
          <w:p w:rsidR="00261604" w:rsidRPr="00EA66FC" w:rsidRDefault="00261604" w:rsidP="00261604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A66FC">
              <w:rPr>
                <w:noProof/>
                <w:lang w:val="en-US" w:eastAsia="zh-CN"/>
              </w:rPr>
              <w:drawing>
                <wp:inline distT="0" distB="0" distL="0" distR="0" wp14:anchorId="34893AFD" wp14:editId="0FA8C3E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A66FC" w:rsidRDefault="00261604" w:rsidP="00F3166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A66F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EA66F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EA66FC">
              <w:rPr>
                <w:rFonts w:ascii="Verdana" w:hAnsi="Verdana" w:cs="Arial"/>
                <w:b/>
                <w:bCs/>
                <w:sz w:val="18"/>
                <w:szCs w:val="18"/>
              </w:rPr>
              <w:t>Ясмин</w:t>
            </w:r>
            <w:r w:rsidR="00F31667" w:rsidRPr="00EA66FC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Pr="00EA66F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EA66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A66FC" w:rsidRDefault="00261604" w:rsidP="00261604">
            <w:pPr>
              <w:spacing w:line="240" w:lineRule="atLeast"/>
              <w:jc w:val="right"/>
            </w:pPr>
            <w:r w:rsidRPr="00EA66FC">
              <w:rPr>
                <w:noProof/>
                <w:lang w:val="en-US" w:eastAsia="zh-CN"/>
              </w:rPr>
              <w:drawing>
                <wp:inline distT="0" distB="0" distL="0" distR="0" wp14:anchorId="5870D733" wp14:editId="7BFCAEA5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92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A66FC" w:rsidTr="00F3166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EA66FC" w:rsidRDefault="00D15F4D" w:rsidP="004C557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EA66FC" w:rsidRDefault="00D15F4D" w:rsidP="004C557F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F31667" w:rsidRPr="00EA66FC" w:rsidTr="00F31667">
        <w:trPr>
          <w:cantSplit/>
        </w:trPr>
        <w:tc>
          <w:tcPr>
            <w:tcW w:w="6521" w:type="dxa"/>
            <w:gridSpan w:val="2"/>
          </w:tcPr>
          <w:p w:rsidR="00F31667" w:rsidRPr="00EA66FC" w:rsidRDefault="00F31667" w:rsidP="00F316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A66F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F31667" w:rsidRPr="00EA66FC" w:rsidRDefault="00F31667" w:rsidP="00F3166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A66F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 к Документу 45-R</w:t>
            </w:r>
          </w:p>
        </w:tc>
      </w:tr>
      <w:tr w:rsidR="00E11080" w:rsidRPr="00EA66FC" w:rsidTr="00F31667">
        <w:trPr>
          <w:cantSplit/>
        </w:trPr>
        <w:tc>
          <w:tcPr>
            <w:tcW w:w="6521" w:type="dxa"/>
            <w:gridSpan w:val="2"/>
          </w:tcPr>
          <w:p w:rsidR="00E11080" w:rsidRPr="00EA66FC" w:rsidRDefault="00E11080" w:rsidP="00E11080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A66FC" w:rsidRDefault="00F31667" w:rsidP="00E11080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66FC">
              <w:rPr>
                <w:rFonts w:ascii="Verdana" w:hAnsi="Verdana"/>
                <w:b/>
                <w:bCs/>
                <w:sz w:val="18"/>
                <w:szCs w:val="18"/>
              </w:rPr>
              <w:t>Июнь 2016 года</w:t>
            </w:r>
          </w:p>
        </w:tc>
      </w:tr>
      <w:tr w:rsidR="00F31667" w:rsidRPr="00EA66FC" w:rsidTr="00F31667">
        <w:trPr>
          <w:cantSplit/>
        </w:trPr>
        <w:tc>
          <w:tcPr>
            <w:tcW w:w="6521" w:type="dxa"/>
            <w:gridSpan w:val="2"/>
          </w:tcPr>
          <w:p w:rsidR="00F31667" w:rsidRPr="00EA66FC" w:rsidRDefault="00F31667" w:rsidP="00F316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F31667" w:rsidRPr="00EA66FC" w:rsidRDefault="00F31667" w:rsidP="00F3166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66F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A66FC" w:rsidTr="008F21F6">
        <w:trPr>
          <w:cantSplit/>
        </w:trPr>
        <w:tc>
          <w:tcPr>
            <w:tcW w:w="9781" w:type="dxa"/>
            <w:gridSpan w:val="4"/>
          </w:tcPr>
          <w:p w:rsidR="00E11080" w:rsidRPr="00EA66FC" w:rsidRDefault="00E11080" w:rsidP="00E11080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A66FC" w:rsidTr="00261604">
        <w:trPr>
          <w:cantSplit/>
        </w:trPr>
        <w:tc>
          <w:tcPr>
            <w:tcW w:w="9781" w:type="dxa"/>
            <w:gridSpan w:val="4"/>
          </w:tcPr>
          <w:p w:rsidR="00E11080" w:rsidRPr="00EA66FC" w:rsidRDefault="00F31667" w:rsidP="00E11080">
            <w:pPr>
              <w:pStyle w:val="Source"/>
            </w:pPr>
            <w:r w:rsidRPr="00EA66FC">
              <w:t>Общие предложения европейских стран</w:t>
            </w:r>
          </w:p>
        </w:tc>
      </w:tr>
      <w:tr w:rsidR="00E11080" w:rsidRPr="00EA66FC" w:rsidTr="00261604">
        <w:trPr>
          <w:cantSplit/>
        </w:trPr>
        <w:tc>
          <w:tcPr>
            <w:tcW w:w="9781" w:type="dxa"/>
            <w:gridSpan w:val="4"/>
          </w:tcPr>
          <w:p w:rsidR="00E11080" w:rsidRPr="00EA66FC" w:rsidRDefault="00F31667" w:rsidP="00E11080">
            <w:pPr>
              <w:pStyle w:val="Title1"/>
            </w:pPr>
            <w:r w:rsidRPr="00EA66FC">
              <w:t>принципы рассмотрения мсэ-т</w:t>
            </w:r>
          </w:p>
        </w:tc>
      </w:tr>
      <w:tr w:rsidR="00E11080" w:rsidRPr="00EA66FC" w:rsidTr="00261604">
        <w:trPr>
          <w:cantSplit/>
        </w:trPr>
        <w:tc>
          <w:tcPr>
            <w:tcW w:w="9781" w:type="dxa"/>
            <w:gridSpan w:val="4"/>
          </w:tcPr>
          <w:p w:rsidR="00E11080" w:rsidRPr="00EA66FC" w:rsidRDefault="00E11080" w:rsidP="00E11080">
            <w:pPr>
              <w:pStyle w:val="Title2"/>
            </w:pPr>
          </w:p>
        </w:tc>
      </w:tr>
      <w:tr w:rsidR="00E11080" w:rsidRPr="00EA66FC" w:rsidTr="00261604">
        <w:trPr>
          <w:cantSplit/>
        </w:trPr>
        <w:tc>
          <w:tcPr>
            <w:tcW w:w="9781" w:type="dxa"/>
            <w:gridSpan w:val="4"/>
          </w:tcPr>
          <w:p w:rsidR="00E11080" w:rsidRPr="00EA66FC" w:rsidRDefault="00E11080" w:rsidP="00E11080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A66F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A66FC" w:rsidTr="00193AD1">
        <w:trPr>
          <w:cantSplit/>
        </w:trPr>
        <w:tc>
          <w:tcPr>
            <w:tcW w:w="1560" w:type="dxa"/>
          </w:tcPr>
          <w:p w:rsidR="001434F1" w:rsidRPr="00EA66FC" w:rsidRDefault="001434F1" w:rsidP="00193AD1">
            <w:r w:rsidRPr="00EA66FC">
              <w:rPr>
                <w:b/>
                <w:bCs/>
                <w:szCs w:val="22"/>
              </w:rPr>
              <w:t>Резюме</w:t>
            </w:r>
            <w:r w:rsidRPr="00EA66F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A66FC" w:rsidRDefault="00F31667" w:rsidP="00193AD1">
                <w:r w:rsidRPr="00EA66FC">
                  <w:t>В настоящем вкладе излагаются принципы, которые следует применять при рассмотрении существующей структуры МСЭ-Т, сотрудничества между группами МСЭ-Т и с другими органами по стандартизации, а также методов работы и процедур МСЭ-Т. Конкретные предложения можно найти в других дополнительных документах к Документу 45.</w:t>
                </w:r>
              </w:p>
            </w:tc>
          </w:sdtContent>
        </w:sdt>
      </w:tr>
    </w:tbl>
    <w:p w:rsidR="0092220F" w:rsidRPr="00EA66FC" w:rsidRDefault="0092220F" w:rsidP="00935C6D"/>
    <w:p w:rsidR="0092220F" w:rsidRPr="00EA66FC" w:rsidRDefault="0092220F" w:rsidP="00935C6D">
      <w:r w:rsidRPr="00EA66FC">
        <w:br w:type="page"/>
      </w:r>
    </w:p>
    <w:p w:rsidR="00F31667" w:rsidRPr="00EA66FC" w:rsidRDefault="00EA66FC" w:rsidP="00F31667">
      <w:pPr>
        <w:pStyle w:val="Heading1"/>
        <w:rPr>
          <w:rFonts w:asciiTheme="minorHAnsi" w:hAnsiTheme="minorHAnsi"/>
          <w:lang w:val="ru-RU"/>
        </w:rPr>
      </w:pPr>
      <w:r w:rsidRPr="00EA66FC">
        <w:rPr>
          <w:lang w:val="ru-RU"/>
        </w:rPr>
        <w:lastRenderedPageBreak/>
        <w:t>1</w:t>
      </w:r>
      <w:r w:rsidRPr="00EA66FC">
        <w:rPr>
          <w:lang w:val="ru-RU"/>
        </w:rPr>
        <w:tab/>
        <w:t>Введение</w:t>
      </w:r>
    </w:p>
    <w:p w:rsidR="00F31667" w:rsidRPr="00EA66FC" w:rsidRDefault="00F31667" w:rsidP="00F31667">
      <w:r w:rsidRPr="00EA66FC">
        <w:t>Необходимо изучить, как оптимально организовать работу МСЭ-Т для создания наиболее эффективных и действенных условий:</w:t>
      </w:r>
    </w:p>
    <w:p w:rsidR="00F31667" w:rsidRPr="00EA66FC" w:rsidRDefault="00F31667" w:rsidP="00F31667">
      <w:pPr>
        <w:pStyle w:val="enumlev1"/>
      </w:pPr>
      <w:r w:rsidRPr="00EA66FC">
        <w:t>−</w:t>
      </w:r>
      <w:r w:rsidRPr="00EA66FC">
        <w:tab/>
        <w:t>в которых Сектор МСЭ-Т мог бы реализовывать свои согласованные приоритеты и проводить виды деятельности,</w:t>
      </w:r>
    </w:p>
    <w:p w:rsidR="00F31667" w:rsidRPr="00EA66FC" w:rsidRDefault="00F31667" w:rsidP="00F31667">
      <w:pPr>
        <w:pStyle w:val="enumlev1"/>
      </w:pPr>
      <w:r w:rsidRPr="00EA66FC">
        <w:t>−</w:t>
      </w:r>
      <w:r w:rsidRPr="00EA66FC">
        <w:tab/>
        <w:t>которые соответствовали бы стратегическому и финансовому планам МСЭ.</w:t>
      </w:r>
    </w:p>
    <w:p w:rsidR="00F31667" w:rsidRPr="00EA66FC" w:rsidRDefault="00F31667" w:rsidP="00F31667">
      <w:r w:rsidRPr="00EA66FC">
        <w:t>Ввиду этого в настоящем вкладе излагаются принципы, которые следует применять при рассмотрении существующей структуры МСЭ-Т, сотрудничества между группами МСЭ-Т и с другими органами по стандартизации, а также методов работы и процедур МСЭ-Т.</w:t>
      </w:r>
    </w:p>
    <w:p w:rsidR="00F31667" w:rsidRPr="00EA66FC" w:rsidRDefault="00F31667" w:rsidP="00F31667">
      <w:pPr>
        <w:rPr>
          <w:color w:val="000000"/>
        </w:rPr>
      </w:pPr>
      <w:r w:rsidRPr="00EA66FC">
        <w:t>Конкретные предложения можно найти в других дополнительных документах к Документу 45.</w:t>
      </w:r>
    </w:p>
    <w:p w:rsidR="00F31667" w:rsidRPr="00EA66FC" w:rsidRDefault="00F31667" w:rsidP="00F31667">
      <w:pPr>
        <w:pStyle w:val="Heading1"/>
        <w:rPr>
          <w:lang w:val="ru-RU"/>
        </w:rPr>
      </w:pPr>
      <w:r w:rsidRPr="00EA66FC">
        <w:rPr>
          <w:lang w:val="ru-RU"/>
        </w:rPr>
        <w:t>2</w:t>
      </w:r>
      <w:r w:rsidRPr="00EA66FC">
        <w:rPr>
          <w:lang w:val="ru-RU"/>
        </w:rPr>
        <w:tab/>
        <w:t>Концепция для МСЭ-T</w:t>
      </w:r>
    </w:p>
    <w:p w:rsidR="00F31667" w:rsidRPr="00EA66FC" w:rsidRDefault="00F31667" w:rsidP="00F31667">
      <w:r w:rsidRPr="00EA66FC">
        <w:t>Работа МСЭ-Т объединяет экспертов со всего мира для разработки международных стандартов, которые служат определяющими элементами в глобальной инфраструктуре электросвязи/ИКТ. Международные стандарты в области электросвязи/ИКТ способны положить конец дорогостоящим рыночным битвам за предпочтительные технологии и создать среду, где пользователи всего мира могли бы получать доступ к приемлемым в ценовом отношении услугам вне зависимости от технологии, посредством которой они предоставляются.</w:t>
      </w:r>
    </w:p>
    <w:p w:rsidR="00F31667" w:rsidRPr="00EA66FC" w:rsidRDefault="00F31667" w:rsidP="00F31667">
      <w:r w:rsidRPr="00EA66FC">
        <w:t>МСЭ-Т занимает особое место в мире электросвязи, поскольку в его работе участвуют эксперты как государственного, так и частного сектора. Как организация, занимающаяся разработкой стандартов, МСЭ-Т решает те же задачи, что и другие ОРС. За последние 20 лет число разрабатывающих стандарты организаций резко возросло. Благодаря повсеместному распространению и преобразующей природе электросвязи другие отрасли применяют опорные технологии и внедряют конкретные приложения. Конкуренция в разработке стандартов, которые были бы приняты рынком на глобальном уровне, изменила обстановку в сфере стандартизации – структурам, обладающим меньшими ресурсами, стало сложнее действовать. Появились новые участники, более оперативные и гибкие.</w:t>
      </w:r>
    </w:p>
    <w:p w:rsidR="00F31667" w:rsidRPr="00EA66FC" w:rsidRDefault="00F31667" w:rsidP="00F31667">
      <w:r w:rsidRPr="00EA66FC">
        <w:t>Задача МСЭ-Т состоит в том, чтобы сохранять надлежащий баланс между потребностью привлечения экспертов мирового класса по инновационным технологиям и своей ролью применительно к поддержке направлений политики и регулирования. Эксперты отрасли хотят видеть открытый для всех международный форум, который должен быть привлекательным и эффективным. В то же время не следует забывать о потребностях директивных органов, уделяя им особое внимание и организуя для них особые процессы. МСЭ-T помогает директивным органам получать пользу от наилучших имеющихся технологий и прочных связей с рыночными тенденциями, чтобы они могли обеспечивать устойчивые решения, отвечающие потребностям регулирования и при этом не сковывающие конкуренцию.</w:t>
      </w:r>
    </w:p>
    <w:p w:rsidR="00F31667" w:rsidRPr="00EA66FC" w:rsidRDefault="00F31667" w:rsidP="00F31667">
      <w:r w:rsidRPr="00EA66FC">
        <w:t>В этом контексте мы полагаем, что МСЭ-Т следует стремиться не только использовать свою основную компетенцию для разработки стандартов электросвязи, применимых на международном уровне, но и применять ее с целью обеспечения доступности основных опорных технологий для не относящихся к ИКТ секторов и приложений. Для этого мы должны реализовывать все инициативы, которые могут способствовать повышению привлекательности МСЭ-Т для экспертов. Привлекательность МСЭ-Т для правительств и предприятий зависит от нашей способности сделать исследовательские комиссии ведущей всемирной платформой для разработки технических стандартов. Выполнение этой задачи осложняется ограниченностью ресурсов, поступающих от членов МСЭ, и очевидно, что в отношении специальных знаний, опыта и ресурсов МСЭ-Т не может быть ведущей всемирной платформой по всем вопросам электросвязи/ИКТ. С учетом этого в эффективной стратегии основное внимание будет уделяться главным приоритетам и укреплению сотрудничества с другими разрабатывающими стандарты органами, с тем чтобы добиться синергии и свести к минимуму противоречия между стандартами. Необходимы дополнительные усилия для активизации этих аспектов стратегии МСЭ-Т.</w:t>
      </w:r>
    </w:p>
    <w:p w:rsidR="00F31667" w:rsidRPr="00EA66FC" w:rsidRDefault="00F31667" w:rsidP="00F31667">
      <w:pPr>
        <w:rPr>
          <w:color w:val="000000"/>
        </w:rPr>
      </w:pPr>
      <w:r w:rsidRPr="00EA66FC">
        <w:rPr>
          <w:color w:val="000000"/>
        </w:rPr>
        <w:lastRenderedPageBreak/>
        <w:t>Наряду с этим МСЭ-Т играет особую роль в отношении развивающихся стран</w:t>
      </w:r>
      <w:r w:rsidRPr="00EA66FC">
        <w:t xml:space="preserve">. Разработка стандартов способствует созданию равных условий для деятельности, которые позволяют выйти на новые рынки, в частности компаниям из развивающихся стран. Стандарты </w:t>
      </w:r>
      <w:r w:rsidRPr="00EA66FC">
        <w:rPr>
          <w:rFonts w:asciiTheme="majorBidi" w:hAnsiTheme="majorBidi" w:cstheme="majorBidi"/>
          <w:color w:val="000000"/>
          <w:szCs w:val="22"/>
        </w:rPr>
        <w:t>являются важнейшей поддержкой для развивающихся стран в построении их инфраструктуры и стимулировании экономического развития. Они могут обусловить сокращение затрат для всех: производителей, операторов и потребителей, благодаря эффекту масштаба</w:t>
      </w:r>
      <w:r w:rsidRPr="00EA66FC">
        <w:t>. В течение последнего исследовательского периода сферы деятельности МСЭ-Т и МСЭ-D частично совпадали. Несомненно, частично миссия МСЭ-Т заключается в том, чтобы обеспечить участие развивающихся стран в разработке технических стандартов, но это не должно приводить к использованию его исследовательских комиссий в целях развития</w:t>
      </w:r>
      <w:r w:rsidRPr="00EA66FC">
        <w:rPr>
          <w:color w:val="000000"/>
        </w:rPr>
        <w:t xml:space="preserve">. </w:t>
      </w:r>
    </w:p>
    <w:p w:rsidR="00F31667" w:rsidRPr="00EA66FC" w:rsidRDefault="00F31667" w:rsidP="00F31667">
      <w:pPr>
        <w:pStyle w:val="Heading1"/>
        <w:rPr>
          <w:lang w:val="ru-RU"/>
        </w:rPr>
      </w:pPr>
      <w:r w:rsidRPr="00EA66FC">
        <w:rPr>
          <w:lang w:val="ru-RU"/>
        </w:rPr>
        <w:t>3</w:t>
      </w:r>
      <w:r w:rsidRPr="00EA66FC">
        <w:rPr>
          <w:lang w:val="ru-RU"/>
        </w:rPr>
        <w:tab/>
        <w:t xml:space="preserve">Принципы </w:t>
      </w:r>
    </w:p>
    <w:p w:rsidR="00F31667" w:rsidRPr="00EA66FC" w:rsidRDefault="00F31667" w:rsidP="00F31667">
      <w:r w:rsidRPr="00EA66FC">
        <w:t>Для использования при рассмотрении жизнеспособности и соответствия существующей структуры МСЭ-Т, сотрудничества между группами МСЭ-Т и с другими органами по стандартизации, а также методов работы и процедур МСЭ-Т были разработаны следующие принципы.</w:t>
      </w:r>
    </w:p>
    <w:p w:rsidR="00F31667" w:rsidRPr="00EA66FC" w:rsidRDefault="00F31667" w:rsidP="00F31667">
      <w:r w:rsidRPr="00EA66FC">
        <w:t>Стратегические принципы:</w:t>
      </w:r>
    </w:p>
    <w:p w:rsidR="00F31667" w:rsidRPr="00EA66FC" w:rsidRDefault="00F31667" w:rsidP="00F31667">
      <w:pPr>
        <w:pStyle w:val="enumlev1"/>
      </w:pPr>
      <w:r w:rsidRPr="00EA66FC">
        <w:t>−</w:t>
      </w:r>
      <w:r w:rsidRPr="00EA66FC">
        <w:tab/>
        <w:t>сохранять ведущие позиции в основной сфере деятельности МСЭ-Т в качестве ключевой движущей силы рынка электросвязи;</w:t>
      </w:r>
    </w:p>
    <w:p w:rsidR="00F31667" w:rsidRPr="00EA66FC" w:rsidRDefault="00F31667" w:rsidP="00F31667">
      <w:pPr>
        <w:pStyle w:val="enumlev1"/>
      </w:pPr>
      <w:r w:rsidRPr="00EA66FC">
        <w:t>−</w:t>
      </w:r>
      <w:r w:rsidRPr="00EA66FC">
        <w:tab/>
        <w:t>обеспечивать готовность МСЭ-Т, в рамках его сферы компетенции и круга ведения, учитывать новые тенденции в технологиях и потребности отраслей, не относящихся к ИКТ, там, где это уместно и актуально в глобальном сообществе стандартизации;</w:t>
      </w:r>
    </w:p>
    <w:p w:rsidR="00F31667" w:rsidRPr="00EA66FC" w:rsidRDefault="00F31667" w:rsidP="00F31667">
      <w:pPr>
        <w:pStyle w:val="enumlev1"/>
      </w:pPr>
      <w:r w:rsidRPr="00EA66FC">
        <w:t>−</w:t>
      </w:r>
      <w:r w:rsidRPr="00EA66FC">
        <w:tab/>
        <w:t>укреплять сотрудничество с другими разрабатывающими стандарты органами, с тем чтобы добиться синергии и свести к минимуму противоречия между стандартами;</w:t>
      </w:r>
    </w:p>
    <w:p w:rsidR="00F31667" w:rsidRPr="00EA66FC" w:rsidRDefault="00F31667" w:rsidP="00F31667">
      <w:pPr>
        <w:pStyle w:val="enumlev1"/>
      </w:pPr>
      <w:r w:rsidRPr="00EA66FC">
        <w:t>−</w:t>
      </w:r>
      <w:r w:rsidRPr="00EA66FC">
        <w:tab/>
        <w:t xml:space="preserve">учитывать потребности развивающихся стран, обеспечивая </w:t>
      </w:r>
      <w:proofErr w:type="spellStart"/>
      <w:r w:rsidRPr="00EA66FC">
        <w:t>межсекторальную</w:t>
      </w:r>
      <w:proofErr w:type="spellEnd"/>
      <w:r w:rsidRPr="00EA66FC">
        <w:t xml:space="preserve"> координацию с деятельностью МСЭ-D для </w:t>
      </w:r>
      <w:proofErr w:type="spellStart"/>
      <w:r w:rsidRPr="00EA66FC">
        <w:t>избежания</w:t>
      </w:r>
      <w:proofErr w:type="spellEnd"/>
      <w:r w:rsidRPr="00EA66FC">
        <w:t xml:space="preserve"> дублирования в работе.</w:t>
      </w:r>
    </w:p>
    <w:p w:rsidR="00F31667" w:rsidRPr="00EA66FC" w:rsidRDefault="00F31667" w:rsidP="00F31667">
      <w:r w:rsidRPr="00EA66FC">
        <w:t>Оперативные и финансовые принципы:</w:t>
      </w:r>
    </w:p>
    <w:p w:rsidR="00F31667" w:rsidRPr="00EA66FC" w:rsidRDefault="00F31667" w:rsidP="00143609">
      <w:pPr>
        <w:pStyle w:val="enumlev1"/>
      </w:pPr>
      <w:r w:rsidRPr="00EA66FC">
        <w:t>−</w:t>
      </w:r>
      <w:r w:rsidRPr="00EA66FC">
        <w:tab/>
        <w:t xml:space="preserve">обеспечивать согласованность и/или избегать частичного дублирования работы в исследовательских комиссиях МСЭ-Т или между ними; </w:t>
      </w:r>
    </w:p>
    <w:p w:rsidR="00F31667" w:rsidRPr="00EA66FC" w:rsidRDefault="00F31667" w:rsidP="00143609">
      <w:pPr>
        <w:pStyle w:val="enumlev1"/>
      </w:pPr>
      <w:r w:rsidRPr="00EA66FC">
        <w:t>–</w:t>
      </w:r>
      <w:r w:rsidRPr="00EA66FC">
        <w:tab/>
        <w:t>повышать эффективность и оптимизировать использование специальных технических знаний в МСЭ-Т;</w:t>
      </w:r>
    </w:p>
    <w:p w:rsidR="00F31667" w:rsidRPr="00EA66FC" w:rsidRDefault="00F31667" w:rsidP="00143609">
      <w:pPr>
        <w:pStyle w:val="enumlev1"/>
      </w:pPr>
      <w:r w:rsidRPr="00EA66FC">
        <w:t>−</w:t>
      </w:r>
      <w:r w:rsidRPr="00EA66FC">
        <w:tab/>
        <w:t>сводить к минимуму общие расходы МСЭ-Т;</w:t>
      </w:r>
    </w:p>
    <w:p w:rsidR="00F31667" w:rsidRPr="00EA66FC" w:rsidRDefault="00F31667" w:rsidP="00143609">
      <w:pPr>
        <w:pStyle w:val="enumlev1"/>
      </w:pPr>
      <w:r w:rsidRPr="00EA66FC">
        <w:t>−</w:t>
      </w:r>
      <w:r w:rsidRPr="00EA66FC">
        <w:tab/>
        <w:t>уточнять характер результатов работы МСЭ-Т;</w:t>
      </w:r>
    </w:p>
    <w:p w:rsidR="00F31667" w:rsidRPr="00EA66FC" w:rsidRDefault="00F31667" w:rsidP="00143609">
      <w:pPr>
        <w:pStyle w:val="enumlev1"/>
      </w:pPr>
      <w:r w:rsidRPr="00EA66FC">
        <w:t>−</w:t>
      </w:r>
      <w:r w:rsidRPr="00EA66FC">
        <w:tab/>
        <w:t xml:space="preserve">обеспечивать надлежащий баланс между правами членов и </w:t>
      </w:r>
      <w:proofErr w:type="spellStart"/>
      <w:r w:rsidRPr="00EA66FC">
        <w:t>нечленов</w:t>
      </w:r>
      <w:proofErr w:type="spellEnd"/>
      <w:r w:rsidRPr="00EA66FC">
        <w:t xml:space="preserve"> для поддержания привлекательности членства МСЭ-Т.</w:t>
      </w:r>
    </w:p>
    <w:p w:rsidR="00F31667" w:rsidRPr="00EA66FC" w:rsidRDefault="00F31667" w:rsidP="00F31667">
      <w:pPr>
        <w:pStyle w:val="Heading1"/>
        <w:rPr>
          <w:lang w:val="ru-RU"/>
        </w:rPr>
      </w:pPr>
      <w:r w:rsidRPr="00EA66FC">
        <w:rPr>
          <w:lang w:val="ru-RU"/>
        </w:rPr>
        <w:t>4</w:t>
      </w:r>
      <w:r w:rsidRPr="00EA66FC">
        <w:rPr>
          <w:lang w:val="ru-RU"/>
        </w:rPr>
        <w:tab/>
        <w:t>Рассмотрение принципов</w:t>
      </w:r>
    </w:p>
    <w:p w:rsidR="00F31667" w:rsidRPr="00EA66FC" w:rsidRDefault="00F31667" w:rsidP="00F31667">
      <w:pPr>
        <w:pStyle w:val="Heading2"/>
        <w:rPr>
          <w:lang w:val="ru-RU"/>
        </w:rPr>
      </w:pPr>
      <w:r w:rsidRPr="00EA66FC">
        <w:rPr>
          <w:lang w:val="ru-RU"/>
        </w:rPr>
        <w:t>4.1</w:t>
      </w:r>
      <w:r w:rsidRPr="00EA66FC">
        <w:rPr>
          <w:lang w:val="ru-RU"/>
        </w:rPr>
        <w:tab/>
        <w:t>Стратегические принципы</w:t>
      </w:r>
    </w:p>
    <w:p w:rsidR="00F31667" w:rsidRPr="00EA66FC" w:rsidRDefault="00F31667" w:rsidP="00ED1BC4">
      <w:pPr>
        <w:rPr>
          <w:b/>
        </w:rPr>
      </w:pPr>
      <w:r w:rsidRPr="00EA66FC">
        <w:rPr>
          <w:b/>
        </w:rPr>
        <w:t>4.1.1</w:t>
      </w:r>
      <w:r w:rsidR="00EA66FC" w:rsidRPr="00EA66FC">
        <w:rPr>
          <w:b/>
        </w:rPr>
        <w:tab/>
      </w:r>
      <w:r w:rsidRPr="00EA66FC">
        <w:rPr>
          <w:b/>
          <w:bCs/>
        </w:rPr>
        <w:t>Сохранять ведущие позиции в основной сфере деятельности МСЭ-Т в качестве ключевой движущей силы рынка электросвязи</w:t>
      </w:r>
      <w:r w:rsidRPr="00EA66FC">
        <w:rPr>
          <w:bCs/>
        </w:rPr>
        <w:t xml:space="preserve">: </w:t>
      </w:r>
      <w:r w:rsidR="00ED1BC4" w:rsidRPr="00EA66FC">
        <w:rPr>
          <w:bCs/>
        </w:rPr>
        <w:t>О</w:t>
      </w:r>
      <w:r w:rsidRPr="00EA66FC">
        <w:rPr>
          <w:bCs/>
        </w:rPr>
        <w:t>дним из основных активов МСЭ-Т являются</w:t>
      </w:r>
      <w:r w:rsidRPr="00EA66FC">
        <w:rPr>
          <w:b/>
        </w:rPr>
        <w:t xml:space="preserve"> </w:t>
      </w:r>
      <w:r w:rsidRPr="00EA66FC">
        <w:t>его специальные знания и опыт мирового уровня, а также вклад в ряд основных областей электросвязи. Это дает прочное основание для занятия МСЭ-Т своего места в глобальном сообществе стандартизации. МСЭ-T следует делать все возможное для сохранения своих позиций, уделяя основное внимание ключевым приоритетам.</w:t>
      </w:r>
    </w:p>
    <w:p w:rsidR="00F31667" w:rsidRPr="00EA66FC" w:rsidRDefault="00F31667" w:rsidP="00ED1BC4">
      <w:r w:rsidRPr="00EA66FC">
        <w:rPr>
          <w:b/>
          <w:spacing w:val="2"/>
        </w:rPr>
        <w:t>4.1.2</w:t>
      </w:r>
      <w:r w:rsidR="00EA66FC" w:rsidRPr="00EA66FC">
        <w:rPr>
          <w:b/>
          <w:spacing w:val="2"/>
        </w:rPr>
        <w:tab/>
      </w:r>
      <w:r w:rsidRPr="00EA66FC">
        <w:rPr>
          <w:b/>
          <w:bCs/>
        </w:rPr>
        <w:t>Обеспечивать готовность МСЭ-Т, в рамках его сферы компетенции и круга ведения, учитывать новые тенденции в технологиях и потребности отраслей, не относящихся к ИКТ, там, где это уместно и актуально в глобальном сообществе стандартизации</w:t>
      </w:r>
      <w:r w:rsidRPr="00EA66FC">
        <w:rPr>
          <w:bCs/>
          <w:spacing w:val="2"/>
        </w:rPr>
        <w:t xml:space="preserve">: </w:t>
      </w:r>
      <w:r w:rsidR="00ED1BC4" w:rsidRPr="00EA66FC">
        <w:t>Ч</w:t>
      </w:r>
      <w:r w:rsidRPr="00EA66FC">
        <w:t xml:space="preserve">тобы быть одним из мировых центров стандартизации, МСЭ-Т следует обеспечить себе благоприятную </w:t>
      </w:r>
      <w:r w:rsidRPr="00EA66FC">
        <w:lastRenderedPageBreak/>
        <w:t>динамичную среду, которая нашла бы свое отражение в наилучших возможных структуре, методах работы и процедурах для разработки технических стандартов.</w:t>
      </w:r>
    </w:p>
    <w:p w:rsidR="00F31667" w:rsidRPr="00EA66FC" w:rsidRDefault="00F31667" w:rsidP="00F31667">
      <w:r w:rsidRPr="00EA66FC">
        <w:rPr>
          <w:b/>
          <w:spacing w:val="2"/>
        </w:rPr>
        <w:t>4.1.3</w:t>
      </w:r>
      <w:r w:rsidR="00EA66FC" w:rsidRPr="00EA66FC">
        <w:rPr>
          <w:b/>
          <w:spacing w:val="2"/>
        </w:rPr>
        <w:tab/>
      </w:r>
      <w:r w:rsidRPr="00EA66FC">
        <w:rPr>
          <w:b/>
          <w:bCs/>
        </w:rPr>
        <w:t>Укреплять сотрудничество с другими разрабатывающими стандарты органами, с тем чтобы добиться синергии и свести к минимуму противоречия между стандартами</w:t>
      </w:r>
      <w:r w:rsidRPr="00EA66FC">
        <w:rPr>
          <w:bCs/>
          <w:spacing w:val="2"/>
        </w:rPr>
        <w:t xml:space="preserve">: </w:t>
      </w:r>
      <w:r w:rsidRPr="00EA66FC">
        <w:t>Исследовательским комиссиям МСЭ-T необходимо сосредоточиться на ключевых областях работы, в которых они обладают признанной основной компетенцией, чтобы сохранить за собой лидирующие позиции. Такой подход позволит укрепить сотрудничество с другими ОРС, с тем чтобы добиться эффекта синергии и свести к минимуму возможные противоречия с работой и стандартами других организаций. МСЭ-T следует стремиться сотрудничать и совместно работать с другими ОРС на основе взаимного уважения. В рамках этой деятельности требуется провести рассмотрение основных сфер компетенции МСЭ-Т.</w:t>
      </w:r>
    </w:p>
    <w:p w:rsidR="00F31667" w:rsidRPr="00EA66FC" w:rsidRDefault="00F31667" w:rsidP="00ED1BC4">
      <w:r w:rsidRPr="00EA66FC">
        <w:rPr>
          <w:b/>
        </w:rPr>
        <w:t>4.1.4</w:t>
      </w:r>
      <w:r w:rsidR="00EA66FC" w:rsidRPr="00EA66FC">
        <w:rPr>
          <w:b/>
        </w:rPr>
        <w:tab/>
      </w:r>
      <w:r w:rsidRPr="00EA66FC">
        <w:rPr>
          <w:b/>
          <w:bCs/>
        </w:rPr>
        <w:t xml:space="preserve">Учитывать потребности развивающихся стран, обеспечивая </w:t>
      </w:r>
      <w:proofErr w:type="spellStart"/>
      <w:r w:rsidRPr="00EA66FC">
        <w:rPr>
          <w:b/>
          <w:bCs/>
        </w:rPr>
        <w:t>межсекторальную</w:t>
      </w:r>
      <w:proofErr w:type="spellEnd"/>
      <w:r w:rsidRPr="00EA66FC">
        <w:rPr>
          <w:b/>
          <w:bCs/>
        </w:rPr>
        <w:t xml:space="preserve"> координацию с деятельностью МСЭ-D для </w:t>
      </w:r>
      <w:proofErr w:type="spellStart"/>
      <w:r w:rsidRPr="00EA66FC">
        <w:rPr>
          <w:b/>
          <w:bCs/>
        </w:rPr>
        <w:t>избежания</w:t>
      </w:r>
      <w:proofErr w:type="spellEnd"/>
      <w:r w:rsidRPr="00EA66FC">
        <w:rPr>
          <w:b/>
          <w:bCs/>
        </w:rPr>
        <w:t xml:space="preserve"> дублирования в работе</w:t>
      </w:r>
      <w:r w:rsidRPr="00EA66FC">
        <w:rPr>
          <w:bCs/>
        </w:rPr>
        <w:t xml:space="preserve">: </w:t>
      </w:r>
      <w:r w:rsidR="00ED1BC4" w:rsidRPr="00EA66FC">
        <w:t>Ч</w:t>
      </w:r>
      <w:r w:rsidRPr="00EA66FC">
        <w:t xml:space="preserve">тобы удовлетворять запросы развивающихся стран в преодолении цифрового разрыва, МСЭ-Т и МСЭ-D следует координировать свою работу с целью </w:t>
      </w:r>
      <w:proofErr w:type="spellStart"/>
      <w:r w:rsidRPr="00EA66FC">
        <w:t>избежания</w:t>
      </w:r>
      <w:proofErr w:type="spellEnd"/>
      <w:r w:rsidRPr="00EA66FC">
        <w:t xml:space="preserve"> ее частичного дублирования, в соответствии со своими функциями, кругом ведения и обязанностями. МСЭ-T и МСЭ-D следует проанализировать свою деятельность и соответствующим образом изменить ее направленность.</w:t>
      </w:r>
    </w:p>
    <w:p w:rsidR="00F31667" w:rsidRPr="00EA66FC" w:rsidRDefault="00F31667" w:rsidP="00F31667">
      <w:pPr>
        <w:pStyle w:val="Heading2"/>
        <w:rPr>
          <w:lang w:val="ru-RU"/>
        </w:rPr>
      </w:pPr>
      <w:r w:rsidRPr="00EA66FC">
        <w:rPr>
          <w:lang w:val="ru-RU"/>
        </w:rPr>
        <w:t>4.2</w:t>
      </w:r>
      <w:r w:rsidRPr="00EA66FC">
        <w:rPr>
          <w:lang w:val="ru-RU"/>
        </w:rPr>
        <w:tab/>
        <w:t>Оперативные и финансовые принципы</w:t>
      </w:r>
    </w:p>
    <w:p w:rsidR="00F31667" w:rsidRPr="00EA66FC" w:rsidRDefault="00F31667" w:rsidP="00ED1BC4">
      <w:r w:rsidRPr="00EA66FC">
        <w:rPr>
          <w:b/>
        </w:rPr>
        <w:t xml:space="preserve">4.2.1 </w:t>
      </w:r>
      <w:r w:rsidR="002551BA">
        <w:rPr>
          <w:b/>
        </w:rPr>
        <w:tab/>
      </w:r>
      <w:r w:rsidRPr="00EA66FC">
        <w:rPr>
          <w:b/>
          <w:bCs/>
          <w:color w:val="000000"/>
        </w:rPr>
        <w:t>Обеспечивать согласованность и/или избегать частичного дублирования работы в исследовательских комиссиях МСЭ-Т или между ними</w:t>
      </w:r>
      <w:r w:rsidRPr="00EA66FC">
        <w:rPr>
          <w:color w:val="000000"/>
        </w:rPr>
        <w:t>:</w:t>
      </w:r>
      <w:r w:rsidRPr="00EA66FC">
        <w:t xml:space="preserve"> </w:t>
      </w:r>
      <w:r w:rsidR="00ED1BC4" w:rsidRPr="00EA66FC">
        <w:t>Р</w:t>
      </w:r>
      <w:r w:rsidRPr="00EA66FC">
        <w:t>абота исследовательских комиссий должна строиться таким образом, чтобы основное внимание уделялось Вопросам, которые должны быть четко определены и не должны частично дублировать какие-либо Вопросы той же исследовательской комиссии МСЭ-Т или другой исследовательской комиссии МСЭ-Т. В частности, исследовательским комиссиям МСЭ-Т следует сосредоточить свое внимание на ключевых областях работы, где они обладают основной компетенцией, признанными специальными знаниями и опытом и ответственностью (например, обладают статусом ведущей исследовательской комиссии). Следует избегать дублирования в работе исследовательских комиссий.</w:t>
      </w:r>
    </w:p>
    <w:p w:rsidR="00F31667" w:rsidRPr="00EA66FC" w:rsidRDefault="00F31667" w:rsidP="00ED1BC4">
      <w:r w:rsidRPr="00EA66FC">
        <w:rPr>
          <w:b/>
        </w:rPr>
        <w:t>4.2.2</w:t>
      </w:r>
      <w:r w:rsidR="00EA66FC" w:rsidRPr="00EA66FC">
        <w:rPr>
          <w:b/>
        </w:rPr>
        <w:tab/>
      </w:r>
      <w:r w:rsidRPr="00EA66FC">
        <w:rPr>
          <w:b/>
          <w:bCs/>
          <w:color w:val="000000"/>
        </w:rPr>
        <w:t>Повышать эффективность и оптимизировать использование специальных технических знаний в МСЭ-Т</w:t>
      </w:r>
      <w:r w:rsidRPr="00EA66FC">
        <w:rPr>
          <w:bCs/>
        </w:rPr>
        <w:t xml:space="preserve">: </w:t>
      </w:r>
      <w:r w:rsidR="00ED1BC4" w:rsidRPr="00EA66FC">
        <w:t>Е</w:t>
      </w:r>
      <w:r w:rsidRPr="00EA66FC">
        <w:t>сли принять во внимание коммерческие нагрузки, которые испытывают Члены Сектора, обеспечивающие ресурсы на добровольной основе, структура МСЭ-Т имеет решающее значение, для того чтобы ведущие эксперты работали в областях, в которых они непосредственно заинтересованы. Вследствие этого МСЭ-Т должен содействовать их участию и внесению ими вкладов в работу, а также оптимальным образом использовать специальные знания и опыт, имеющиеся у его членов.</w:t>
      </w:r>
    </w:p>
    <w:p w:rsidR="00F31667" w:rsidRPr="00EA66FC" w:rsidRDefault="00F31667" w:rsidP="00F31667">
      <w:pPr>
        <w:rPr>
          <w:b/>
        </w:rPr>
      </w:pPr>
      <w:r w:rsidRPr="00EA66FC">
        <w:t>Так, работу по темам основных опорных технологий и вертикальных приложений следует организовать таким образом, чтобы эксперт мог изучать любой конкретный опорный предмет, относящийся к его вертикальной теме. Также необходимо обеспечить привлекательность структуры исследовательских комиссий МСЭ-Т для ведущих экспертов в области стандартизации, с тем чтобы они принимали участие в соответствующих областях деятельности МСЭ-Т и его исследовательских комиссий. Для этого требуется поддержка в рамках существующих процессов, таких как заявления о взаимодействии и электронные собрания.</w:t>
      </w:r>
    </w:p>
    <w:p w:rsidR="00F31667" w:rsidRPr="00EA66FC" w:rsidRDefault="00F31667" w:rsidP="00F31667">
      <w:r w:rsidRPr="00EA66FC">
        <w:t>Наконец, структура и процессы должны способствовать и содействовать участию экспертов в разработке Рекомендаций на ранних этапах, что упрощало бы достижение широкомасштабного консенсуса и планомерное принятие окончательных решений. Так, после обсуждения на собрании исследовательской комиссии не должно быть противодействия решению делегаций утвердить Рекомендацию. Вместе с тем данный принцип вносит некоторую неопределенность в разработку технических Рекомендаций и может лишить отрасль стимулов к участию в работе МСЭ-Т. Это особенно важно в настоящее время, поскольку ресурсы, которые отрасль может выделить на стандартизацию, ограничены. Наряду с этим было бы полезнее, если бы противодействие утверждению той или иной Рекомендации отражало многосторонние интересы.</w:t>
      </w:r>
    </w:p>
    <w:p w:rsidR="00F31667" w:rsidRPr="00EA66FC" w:rsidRDefault="00F31667" w:rsidP="00ED1BC4">
      <w:r w:rsidRPr="00EA66FC">
        <w:rPr>
          <w:b/>
        </w:rPr>
        <w:lastRenderedPageBreak/>
        <w:t>4.2.3</w:t>
      </w:r>
      <w:r w:rsidR="00EA66FC" w:rsidRPr="00EA66FC">
        <w:rPr>
          <w:b/>
        </w:rPr>
        <w:tab/>
      </w:r>
      <w:r w:rsidRPr="00EA66FC">
        <w:rPr>
          <w:b/>
          <w:bCs/>
          <w:color w:val="000000"/>
        </w:rPr>
        <w:t>Сводить к минимуму общие расходы МСЭ-Т</w:t>
      </w:r>
      <w:r w:rsidRPr="00EA66FC">
        <w:rPr>
          <w:bCs/>
        </w:rPr>
        <w:t xml:space="preserve">: </w:t>
      </w:r>
      <w:r w:rsidR="00ED1BC4" w:rsidRPr="00EA66FC">
        <w:t>Н</w:t>
      </w:r>
      <w:r w:rsidRPr="00EA66FC">
        <w:t>а Полномочной конференции МСЭ в 2014 году поддержка со стороны БСЭ работы исследовательских комиссий (включая региональные собрания и оперативные группы) была названа одной из основных бюджетных проблем. Принимая во внимание бюджетные ограничения МСЭ, МСЭ-Т, как и другие Сектора МСЭ, должен будет найти способы повышения эффективности и действенности. Это даст Сектору возможность изыскать необходимую экономию оперативных расходов. Это также позволит МСЭ-Т сосредоточить ресурсы на ограниченном числе определенных приоритетов. Этот принцип будет применяться и к общему анализу процессов, в настоящее время существующих в МСЭ-Т, для повышения эффективности.</w:t>
      </w:r>
    </w:p>
    <w:p w:rsidR="00F31667" w:rsidRPr="00EA66FC" w:rsidRDefault="00F31667" w:rsidP="00F31667">
      <w:r w:rsidRPr="00EA66FC">
        <w:rPr>
          <w:b/>
        </w:rPr>
        <w:t>4.2.4</w:t>
      </w:r>
      <w:r w:rsidR="00EA66FC" w:rsidRPr="00EA66FC">
        <w:rPr>
          <w:b/>
        </w:rPr>
        <w:tab/>
      </w:r>
      <w:r w:rsidRPr="00EA66FC">
        <w:rPr>
          <w:b/>
          <w:bCs/>
          <w:color w:val="000000"/>
        </w:rPr>
        <w:t>Уточнять характер результатов работы МСЭ-Т</w:t>
      </w:r>
      <w:r w:rsidRPr="00EA66FC">
        <w:rPr>
          <w:bCs/>
        </w:rPr>
        <w:t xml:space="preserve">: </w:t>
      </w:r>
      <w:r w:rsidRPr="00EA66FC">
        <w:t>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 Некоторые из этих Рекомендаций имеют политические или регуляторные последствия и поэтому особенно важны для Государств-Членов при принятии соответствующих решений. Подавляющее большинство Рекомендаций МСЭ-Т адресованы в основном отрасли и операторам для содействия оказанию функционально совместимых услуг международной электросвязи.</w:t>
      </w:r>
    </w:p>
    <w:p w:rsidR="00F31667" w:rsidRPr="00EA66FC" w:rsidRDefault="00F31667" w:rsidP="00143609">
      <w:r w:rsidRPr="00EA66FC">
        <w:t>В соответствии с Конвенцией МСЭ все Рекомендации, независимо от того, имеют ли они регуляторные/политические последствия, обладают одинаковым статусом. Вместе с тем те, которые имеют регуляторные или политические последствия, должны утверждаться по традиционной процедуре утверждения (ТПУ), тогда как большинство Рекомендаций проходят альтернативную процедуру утверждения (АПУ).</w:t>
      </w:r>
    </w:p>
    <w:p w:rsidR="00F31667" w:rsidRPr="00EA66FC" w:rsidRDefault="00F31667" w:rsidP="00143609">
      <w:r w:rsidRPr="00EA66FC">
        <w:t>Пользователи результатов работы МСЭ-Т и те, кто их реализует, могут быть не в курсе всех подробностей конкретных рабочих процедур и процедур утверждения и поэтому могут испытывать трудности при приблизительной оценке характера результата работы и определении, для какой цели более подходит тот или иной результат работы. С учетом всего этого в каждом результате работы МСЭ-Т следует четко указывать применявшийся тип процесса утверждения, с тем чтобы избегать возможной путаницы и тем самым способствовать значимому и масштабному применению высококачественных Рекомендаций МСЭ-Т.</w:t>
      </w:r>
    </w:p>
    <w:p w:rsidR="00F31667" w:rsidRPr="00EA66FC" w:rsidRDefault="00F31667" w:rsidP="00ED1BC4">
      <w:r w:rsidRPr="00EA66FC">
        <w:rPr>
          <w:b/>
        </w:rPr>
        <w:t>4.2.5</w:t>
      </w:r>
      <w:r w:rsidR="00EA66FC" w:rsidRPr="00EA66FC">
        <w:rPr>
          <w:b/>
        </w:rPr>
        <w:tab/>
      </w:r>
      <w:r w:rsidRPr="00EA66FC">
        <w:rPr>
          <w:b/>
          <w:bCs/>
          <w:color w:val="000000"/>
        </w:rPr>
        <w:t xml:space="preserve">Обеспечивать надлежащий баланс между правами членов и </w:t>
      </w:r>
      <w:proofErr w:type="spellStart"/>
      <w:r w:rsidRPr="00EA66FC">
        <w:rPr>
          <w:b/>
          <w:bCs/>
          <w:color w:val="000000"/>
        </w:rPr>
        <w:t>нечленов</w:t>
      </w:r>
      <w:proofErr w:type="spellEnd"/>
      <w:r w:rsidRPr="00EA66FC">
        <w:rPr>
          <w:b/>
          <w:bCs/>
          <w:color w:val="000000"/>
        </w:rPr>
        <w:t xml:space="preserve"> для поддержания привлекательности членства МСЭ-Т</w:t>
      </w:r>
      <w:r w:rsidRPr="00EA66FC">
        <w:rPr>
          <w:bCs/>
        </w:rPr>
        <w:t xml:space="preserve">: </w:t>
      </w:r>
      <w:r w:rsidR="00ED1BC4" w:rsidRPr="00EA66FC">
        <w:t>Б</w:t>
      </w:r>
      <w:r w:rsidRPr="00EA66FC">
        <w:t xml:space="preserve">ыли созданы новые виды групп и формы сотрудничества, с тем чтобы дать МСЭ-Т возможность организовывать для своих членов более эффективные процессы и предоставлять им услуги более высокого качества, а также сделать деятельность МСЭ-Т открытой для </w:t>
      </w:r>
      <w:proofErr w:type="spellStart"/>
      <w:r w:rsidRPr="00EA66FC">
        <w:t>нечленов</w:t>
      </w:r>
      <w:proofErr w:type="spellEnd"/>
      <w:r w:rsidRPr="00EA66FC">
        <w:t>, которые со временем могут стать членами МСЭ.</w:t>
      </w:r>
    </w:p>
    <w:p w:rsidR="00F31667" w:rsidRPr="00EA66FC" w:rsidRDefault="00F31667" w:rsidP="00F31667">
      <w:r w:rsidRPr="00EA66FC">
        <w:t xml:space="preserve">Успех стратегии, задачей которой является привлечение в МСЭ-Т новых членов, путем открытия деятельности МСЭ-Т для </w:t>
      </w:r>
      <w:proofErr w:type="spellStart"/>
      <w:r w:rsidRPr="00EA66FC">
        <w:t>нечленов</w:t>
      </w:r>
      <w:proofErr w:type="spellEnd"/>
      <w:r w:rsidRPr="00EA66FC">
        <w:t xml:space="preserve">, обеспечен только в том случае, если это участие не используется как альтернатива членству в МСЭ. Это означает, что права, которые дает членство, должны оставаться привлекательными для членов, тогда как участвующих </w:t>
      </w:r>
      <w:proofErr w:type="spellStart"/>
      <w:r w:rsidRPr="00EA66FC">
        <w:t>нечленов</w:t>
      </w:r>
      <w:proofErr w:type="spellEnd"/>
      <w:r w:rsidRPr="00EA66FC">
        <w:t xml:space="preserve"> следует стимулировать к вступлению для оказания решающего воздействия на процесс принятия решений в МСЭ-Т и ориентацию МСЭ-Т.</w:t>
      </w:r>
    </w:p>
    <w:p w:rsidR="007F66A5" w:rsidRPr="00E61856" w:rsidRDefault="007F66A5" w:rsidP="007F66A5">
      <w:pPr>
        <w:pStyle w:val="Proposal"/>
        <w:rPr>
          <w:b/>
          <w:bCs/>
        </w:rPr>
      </w:pPr>
      <w:r w:rsidRPr="00E61856">
        <w:rPr>
          <w:b/>
          <w:bCs/>
        </w:rPr>
        <w:tab/>
        <w:t>EUR/45A1/1</w:t>
      </w:r>
    </w:p>
    <w:p w:rsidR="00F31667" w:rsidRPr="00EA66FC" w:rsidRDefault="00F31667" w:rsidP="002C7D3A">
      <w:pPr>
        <w:pStyle w:val="Headingb"/>
        <w:rPr>
          <w:bCs/>
          <w:spacing w:val="-6"/>
          <w:lang w:val="ru-RU"/>
        </w:rPr>
      </w:pPr>
      <w:r w:rsidRPr="00EA66FC">
        <w:rPr>
          <w:bCs/>
          <w:spacing w:val="-6"/>
          <w:lang w:val="ru-RU"/>
        </w:rPr>
        <w:t>Заключение и предложения для дальнейшего совершенствования деятельности</w:t>
      </w:r>
      <w:r w:rsidR="00935C6D" w:rsidRPr="00EA66FC">
        <w:rPr>
          <w:bCs/>
          <w:spacing w:val="-6"/>
          <w:lang w:val="ru-RU"/>
        </w:rPr>
        <w:t xml:space="preserve"> </w:t>
      </w:r>
      <w:r w:rsidRPr="00EA66FC">
        <w:rPr>
          <w:bCs/>
          <w:spacing w:val="-6"/>
          <w:lang w:val="ru-RU"/>
        </w:rPr>
        <w:t>МСЭ-Т для ВАСЭ</w:t>
      </w:r>
      <w:r w:rsidRPr="00EA66FC">
        <w:rPr>
          <w:bCs/>
          <w:spacing w:val="-6"/>
          <w:lang w:val="ru-RU"/>
        </w:rPr>
        <w:noBreakHyphen/>
        <w:t>16</w:t>
      </w:r>
    </w:p>
    <w:p w:rsidR="00F31667" w:rsidRPr="00EA66FC" w:rsidRDefault="00F31667" w:rsidP="00EA66FC">
      <w:r w:rsidRPr="00EA66FC">
        <w:t>Представляя свой вклад для ВАСЭ</w:t>
      </w:r>
      <w:r w:rsidRPr="00EA66FC">
        <w:noBreakHyphen/>
        <w:t xml:space="preserve">16, мы добиваемся для исследовательских комиссий МСЭ-Т и </w:t>
      </w:r>
      <w:r w:rsidRPr="00EA66FC">
        <w:rPr>
          <w:color w:val="000000"/>
        </w:rPr>
        <w:t xml:space="preserve">связанных с ними </w:t>
      </w:r>
      <w:r w:rsidRPr="00EA66FC">
        <w:t>форумов (оперативных групп, совместной координационной деятельности) такой структуры, которая использовала бы специальные знания членов, обеспечивала бы эффективный и действенный режим работы для сведения к минимуму затрат как МСЭ, так и его членов, гарантировала бы прозрачность, не допускала бы дублирования усилий в рамках МСЭ или с другими ОРС и позволяла бы ему работать совместно и в сотрудничестве с другими организациями для оказания поддержки вкладу МСЭ в разработку глобальных стандартов, тогда как МСЭ-Т следует уделять основное внимание сфере своей определенной основной компетенции.</w:t>
      </w:r>
    </w:p>
    <w:p w:rsidR="00935C6D" w:rsidRPr="00EA66FC" w:rsidRDefault="00F31667" w:rsidP="00EA66FC">
      <w:pPr>
        <w:keepNext/>
        <w:keepLines/>
      </w:pPr>
      <w:r w:rsidRPr="00EA66FC">
        <w:lastRenderedPageBreak/>
        <w:t>Мы также надеемся, что ВАСЭ сможет принять решение относительно инструментов, которые бы способствовали укреплению сотрудничества с другими ОРС (в том числе по вопросам, изложенным в Резолюции 81 ВАСЭ</w:t>
      </w:r>
      <w:r w:rsidRPr="00EA66FC">
        <w:noBreakHyphen/>
        <w:t>16), увеличивая прозрачность, эффективность, содействуя инновациям и способствуя участию соответствующих участников рынка (в том числе новых) в деятельности МСЭ</w:t>
      </w:r>
      <w:r w:rsidRPr="00EA66FC">
        <w:noBreakHyphen/>
        <w:t>Т по стандартизации (например, из областей коммунальных услуг, здравоохранения, автомобильной промышленности).</w:t>
      </w:r>
    </w:p>
    <w:p w:rsidR="00935C6D" w:rsidRPr="00EA66FC" w:rsidRDefault="00935C6D" w:rsidP="0032202E">
      <w:pPr>
        <w:pStyle w:val="Reasons"/>
      </w:pPr>
      <w:bookmarkStart w:id="0" w:name="_GoBack"/>
      <w:bookmarkEnd w:id="0"/>
    </w:p>
    <w:p w:rsidR="005E1139" w:rsidRPr="00EA66FC" w:rsidRDefault="00935C6D" w:rsidP="00935C6D">
      <w:pPr>
        <w:jc w:val="center"/>
      </w:pPr>
      <w:r w:rsidRPr="00EA66FC">
        <w:t>______________</w:t>
      </w:r>
    </w:p>
    <w:sectPr w:rsidR="005E1139" w:rsidRPr="00EA66F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67" w:rsidRDefault="00F31667">
      <w:r>
        <w:separator/>
      </w:r>
    </w:p>
  </w:endnote>
  <w:endnote w:type="continuationSeparator" w:id="0">
    <w:p w:rsidR="00F31667" w:rsidRDefault="00F3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A66FC">
      <w:rPr>
        <w:noProof/>
        <w:lang w:val="fr-FR"/>
      </w:rPr>
      <w:t>P:\RUS\ITU-T\CONF-T\WTSA16\000\045ADD01R1.docx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6A5">
      <w:rPr>
        <w:noProof/>
      </w:rPr>
      <w:t>08.07.16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66FC">
      <w:rPr>
        <w:noProof/>
      </w:rPr>
      <w:t>07.07.16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61604" w:rsidRDefault="00110910" w:rsidP="00EA66FC">
    <w:pPr>
      <w:pStyle w:val="Footer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A66FC">
      <w:rPr>
        <w:lang w:val="fr-FR"/>
      </w:rPr>
      <w:t>P:\RUS\ITU-T\CONF-T\WTSA16\000\045ADD01R1.docx</w:t>
    </w:r>
    <w:r>
      <w:fldChar w:fldCharType="end"/>
    </w:r>
    <w:r w:rsidRPr="003B157D">
      <w:rPr>
        <w:lang w:val="fr-CH"/>
      </w:rPr>
      <w:t xml:space="preserve"> (</w:t>
    </w:r>
    <w:r w:rsidR="00EA66FC">
      <w:rPr>
        <w:lang w:val="fr-CH"/>
      </w:rPr>
      <w:t>401509</w:t>
    </w:r>
    <w:r w:rsidRPr="003B157D">
      <w:rPr>
        <w:lang w:val="fr-CH"/>
      </w:rPr>
      <w:t>)</w:t>
    </w:r>
    <w:r w:rsidR="00567276">
      <w:rPr>
        <w:lang w:val="fr-FR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7F66A5">
      <w:t>08.07.16</w:t>
    </w:r>
    <w:r w:rsidR="00567276">
      <w:fldChar w:fldCharType="end"/>
    </w:r>
    <w:r w:rsidR="00567276">
      <w:rPr>
        <w:lang w:val="fr-FR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EA66FC">
      <w:t>07.07.16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Default="00F31667" w:rsidP="00EA66F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A66FC">
      <w:rPr>
        <w:lang w:val="fr-FR"/>
      </w:rPr>
      <w:t>P:\RUS\ITU-T\CONF-T\WTSA16\000\045ADD01R1.docx</w:t>
    </w:r>
    <w:r>
      <w:fldChar w:fldCharType="end"/>
    </w:r>
    <w:r w:rsidRPr="003B157D">
      <w:rPr>
        <w:lang w:val="fr-CH"/>
      </w:rPr>
      <w:t xml:space="preserve"> (</w:t>
    </w:r>
    <w:r w:rsidR="00EA66FC">
      <w:rPr>
        <w:lang w:val="fr-CH"/>
      </w:rPr>
      <w:t>401509</w:t>
    </w:r>
    <w:r w:rsidRPr="003B157D">
      <w:rPr>
        <w:lang w:val="fr-CH"/>
      </w:rPr>
      <w:t>)</w:t>
    </w:r>
    <w:r w:rsidR="00E11080">
      <w:rPr>
        <w:lang w:val="fr-FR"/>
      </w:rPr>
      <w:tab/>
    </w:r>
    <w:r w:rsidR="00E11080">
      <w:fldChar w:fldCharType="begin"/>
    </w:r>
    <w:r w:rsidR="00E11080">
      <w:instrText xml:space="preserve"> SAVEDATE \@ DD.MM.YY </w:instrText>
    </w:r>
    <w:r w:rsidR="00E11080">
      <w:fldChar w:fldCharType="separate"/>
    </w:r>
    <w:r w:rsidR="007F66A5">
      <w:t>08.07.16</w:t>
    </w:r>
    <w:r w:rsidR="00E11080">
      <w:fldChar w:fldCharType="end"/>
    </w:r>
    <w:r w:rsidR="00E11080">
      <w:rPr>
        <w:lang w:val="fr-FR"/>
      </w:rPr>
      <w:tab/>
    </w:r>
    <w:r w:rsidR="00E11080">
      <w:fldChar w:fldCharType="begin"/>
    </w:r>
    <w:r w:rsidR="00E11080">
      <w:instrText xml:space="preserve"> PRINTDATE \@ DD.MM.YY </w:instrText>
    </w:r>
    <w:r w:rsidR="00E11080">
      <w:fldChar w:fldCharType="separate"/>
    </w:r>
    <w:r w:rsidR="00EA66FC">
      <w:t>07.07.16</w:t>
    </w:r>
    <w:r w:rsidR="00E110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67" w:rsidRDefault="00F31667">
      <w:r>
        <w:rPr>
          <w:b/>
        </w:rPr>
        <w:t>_______________</w:t>
      </w:r>
    </w:p>
  </w:footnote>
  <w:footnote w:type="continuationSeparator" w:id="0">
    <w:p w:rsidR="00F31667" w:rsidRDefault="00F3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66A5">
      <w:rPr>
        <w:noProof/>
      </w:rPr>
      <w:t>6</w:t>
    </w:r>
    <w:r>
      <w:fldChar w:fldCharType="end"/>
    </w:r>
  </w:p>
  <w:p w:rsidR="00E11080" w:rsidRPr="00F31667" w:rsidRDefault="00EA66FC" w:rsidP="00F31667">
    <w:pPr>
      <w:pStyle w:val="Header"/>
      <w:rPr>
        <w:lang w:val="fr-CH"/>
      </w:rPr>
    </w:pPr>
    <w:r>
      <w:rPr>
        <w:lang w:val="fr-CH"/>
      </w:rPr>
      <w:t>WTSA</w:t>
    </w:r>
    <w:r w:rsidR="00F31667" w:rsidRPr="00E71956">
      <w:rPr>
        <w:lang w:val="fr-CH"/>
      </w:rPr>
      <w:t>16/45(Add.</w:t>
    </w:r>
    <w:r w:rsidR="00F31667">
      <w:rPr>
        <w:lang w:val="fr-CH"/>
      </w:rPr>
      <w:t>1)</w:t>
    </w:r>
    <w:r w:rsidR="00F31667" w:rsidRPr="00E71956">
      <w:rPr>
        <w:lang w:val="fr-CH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FB2D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769B8"/>
    <w:rsid w:val="000A0EF3"/>
    <w:rsid w:val="000A6C0E"/>
    <w:rsid w:val="000D63A2"/>
    <w:rsid w:val="000F33D8"/>
    <w:rsid w:val="000F39B4"/>
    <w:rsid w:val="00110910"/>
    <w:rsid w:val="00113D0B"/>
    <w:rsid w:val="00117069"/>
    <w:rsid w:val="00117EF2"/>
    <w:rsid w:val="001226EC"/>
    <w:rsid w:val="00123B68"/>
    <w:rsid w:val="00124C09"/>
    <w:rsid w:val="00126F2E"/>
    <w:rsid w:val="001434F1"/>
    <w:rsid w:val="00143609"/>
    <w:rsid w:val="001521AE"/>
    <w:rsid w:val="00155C24"/>
    <w:rsid w:val="001A5585"/>
    <w:rsid w:val="001E5FB4"/>
    <w:rsid w:val="00202CA0"/>
    <w:rsid w:val="00213317"/>
    <w:rsid w:val="0022157E"/>
    <w:rsid w:val="00230582"/>
    <w:rsid w:val="00237D09"/>
    <w:rsid w:val="002449AA"/>
    <w:rsid w:val="00245A1F"/>
    <w:rsid w:val="002551BA"/>
    <w:rsid w:val="00261604"/>
    <w:rsid w:val="00290C74"/>
    <w:rsid w:val="002A2D3F"/>
    <w:rsid w:val="002C7D3A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20DD7"/>
    <w:rsid w:val="0062556C"/>
    <w:rsid w:val="00645B64"/>
    <w:rsid w:val="00657DE0"/>
    <w:rsid w:val="00665A95"/>
    <w:rsid w:val="00687F81"/>
    <w:rsid w:val="00692C06"/>
    <w:rsid w:val="006A6E9B"/>
    <w:rsid w:val="007036B6"/>
    <w:rsid w:val="00730A90"/>
    <w:rsid w:val="00763F4F"/>
    <w:rsid w:val="00775720"/>
    <w:rsid w:val="007A08B5"/>
    <w:rsid w:val="007D0998"/>
    <w:rsid w:val="007F66A5"/>
    <w:rsid w:val="00811633"/>
    <w:rsid w:val="00812452"/>
    <w:rsid w:val="00846FC0"/>
    <w:rsid w:val="00872232"/>
    <w:rsid w:val="00872FC8"/>
    <w:rsid w:val="008B07D5"/>
    <w:rsid w:val="008B43F2"/>
    <w:rsid w:val="008C3257"/>
    <w:rsid w:val="009119CC"/>
    <w:rsid w:val="00917C0A"/>
    <w:rsid w:val="0092220F"/>
    <w:rsid w:val="00935C6D"/>
    <w:rsid w:val="00941A02"/>
    <w:rsid w:val="0097126C"/>
    <w:rsid w:val="009825E6"/>
    <w:rsid w:val="009860A5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468A6"/>
    <w:rsid w:val="00B53202"/>
    <w:rsid w:val="00B74600"/>
    <w:rsid w:val="00B74D17"/>
    <w:rsid w:val="00BA13A4"/>
    <w:rsid w:val="00BA1AA1"/>
    <w:rsid w:val="00BA35DC"/>
    <w:rsid w:val="00BC5313"/>
    <w:rsid w:val="00C20466"/>
    <w:rsid w:val="00C30A6E"/>
    <w:rsid w:val="00C324A8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5155F"/>
    <w:rsid w:val="00E976C1"/>
    <w:rsid w:val="00EA66FC"/>
    <w:rsid w:val="00EB6BCD"/>
    <w:rsid w:val="00EC1AE7"/>
    <w:rsid w:val="00ED1BC4"/>
    <w:rsid w:val="00EE1364"/>
    <w:rsid w:val="00EF7176"/>
    <w:rsid w:val="00F17CA4"/>
    <w:rsid w:val="00F31667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Appdef">
    <w:name w:val="App_def"/>
    <w:basedOn w:val="DefaultParagraphFont"/>
    <w:rsid w:val="00F3166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31667"/>
    <w:rPr>
      <w:rFonts w:cs="Times New Roman"/>
    </w:rPr>
  </w:style>
  <w:style w:type="paragraph" w:customStyle="1" w:styleId="ApptoAnnex">
    <w:name w:val="App_to_Annex"/>
    <w:basedOn w:val="AppendixNo"/>
    <w:qFormat/>
    <w:rsid w:val="00F31667"/>
    <w:pPr>
      <w:tabs>
        <w:tab w:val="clear" w:pos="1134"/>
        <w:tab w:val="clear" w:pos="1871"/>
        <w:tab w:val="clear" w:pos="2268"/>
        <w:tab w:val="left" w:pos="794"/>
      </w:tabs>
    </w:pPr>
    <w:rPr>
      <w:lang w:val="en-GB"/>
    </w:rPr>
  </w:style>
  <w:style w:type="character" w:customStyle="1" w:styleId="Artdef">
    <w:name w:val="Art_def"/>
    <w:basedOn w:val="DefaultParagraphFont"/>
    <w:rsid w:val="00F3166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1667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F3166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F3166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F31667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F31667"/>
    <w:rPr>
      <w:rFonts w:ascii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31667"/>
    <w:pPr>
      <w:tabs>
        <w:tab w:val="clear" w:pos="1134"/>
        <w:tab w:val="clear" w:pos="1871"/>
        <w:tab w:val="clear" w:pos="2268"/>
        <w:tab w:val="left" w:pos="794"/>
      </w:tabs>
      <w:jc w:val="center"/>
    </w:pPr>
    <w:rPr>
      <w:b/>
      <w:bCs/>
      <w:sz w:val="26"/>
      <w:szCs w:val="28"/>
      <w:lang w:val="en-GB"/>
    </w:rPr>
  </w:style>
  <w:style w:type="paragraph" w:customStyle="1" w:styleId="FooterQP">
    <w:name w:val="Footer_QP"/>
    <w:basedOn w:val="Normal"/>
    <w:rsid w:val="00F31667"/>
    <w:pPr>
      <w:tabs>
        <w:tab w:val="clear" w:pos="1134"/>
        <w:tab w:val="clear" w:pos="1871"/>
        <w:tab w:val="clear" w:pos="2268"/>
        <w:tab w:val="left" w:pos="794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31667"/>
    <w:pPr>
      <w:tabs>
        <w:tab w:val="clear" w:pos="1134"/>
        <w:tab w:val="clear" w:pos="1871"/>
        <w:tab w:val="clear" w:pos="2268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Index1">
    <w:name w:val="index 1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</w:pPr>
  </w:style>
  <w:style w:type="paragraph" w:styleId="Index2">
    <w:name w:val="index 2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ind w:left="283"/>
    </w:pPr>
  </w:style>
  <w:style w:type="paragraph" w:styleId="Index3">
    <w:name w:val="index 3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ind w:left="566"/>
    </w:pPr>
  </w:style>
  <w:style w:type="paragraph" w:styleId="Index4">
    <w:name w:val="index 4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ind w:left="849"/>
    </w:pPr>
  </w:style>
  <w:style w:type="paragraph" w:styleId="Index5">
    <w:name w:val="index 5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ind w:left="1132"/>
    </w:pPr>
  </w:style>
  <w:style w:type="paragraph" w:styleId="Index6">
    <w:name w:val="index 6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ind w:left="1415"/>
    </w:pPr>
  </w:style>
  <w:style w:type="paragraph" w:styleId="Index7">
    <w:name w:val="index 7"/>
    <w:basedOn w:val="Normal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ind w:left="1698"/>
    </w:pPr>
  </w:style>
  <w:style w:type="paragraph" w:styleId="IndexHeading">
    <w:name w:val="index heading"/>
    <w:basedOn w:val="Normal"/>
    <w:next w:val="Index1"/>
    <w:rsid w:val="00F31667"/>
    <w:pPr>
      <w:tabs>
        <w:tab w:val="clear" w:pos="1134"/>
        <w:tab w:val="clear" w:pos="1871"/>
        <w:tab w:val="clear" w:pos="2268"/>
        <w:tab w:val="left" w:pos="794"/>
      </w:tabs>
    </w:pPr>
  </w:style>
  <w:style w:type="character" w:styleId="LineNumber">
    <w:name w:val="line number"/>
    <w:basedOn w:val="DefaultParagraphFont"/>
    <w:rsid w:val="00F31667"/>
    <w:rPr>
      <w:rFonts w:cs="Times New Roman"/>
    </w:rPr>
  </w:style>
  <w:style w:type="paragraph" w:customStyle="1" w:styleId="Repdate">
    <w:name w:val="Rep_date"/>
    <w:basedOn w:val="Recdate"/>
    <w:next w:val="Normalaftertitle"/>
    <w:rsid w:val="00F31667"/>
    <w:pPr>
      <w:tabs>
        <w:tab w:val="clear" w:pos="1134"/>
        <w:tab w:val="clear" w:pos="1871"/>
        <w:tab w:val="clear" w:pos="2268"/>
        <w:tab w:val="left" w:pos="794"/>
      </w:tabs>
      <w:jc w:val="right"/>
    </w:pPr>
    <w:rPr>
      <w:rFonts w:cs="Times New Roman"/>
      <w:bCs w:val="0"/>
      <w:i w:val="0"/>
    </w:rPr>
  </w:style>
  <w:style w:type="paragraph" w:customStyle="1" w:styleId="RepNo">
    <w:name w:val="Rep_No"/>
    <w:basedOn w:val="RecNo"/>
    <w:next w:val="Normal"/>
    <w:rsid w:val="00F31667"/>
    <w:pPr>
      <w:tabs>
        <w:tab w:val="clear" w:pos="1134"/>
        <w:tab w:val="clear" w:pos="1871"/>
        <w:tab w:val="clear" w:pos="2268"/>
        <w:tab w:val="left" w:pos="794"/>
      </w:tabs>
      <w:jc w:val="center"/>
    </w:pPr>
    <w:rPr>
      <w:rFonts w:ascii="Times New Roman" w:hAnsi="Times New Roman" w:cs="Times New Roman"/>
      <w:b w:val="0"/>
      <w:caps/>
    </w:rPr>
  </w:style>
  <w:style w:type="paragraph" w:customStyle="1" w:styleId="Repref">
    <w:name w:val="Rep_ref"/>
    <w:basedOn w:val="Recref"/>
    <w:next w:val="Repdate"/>
    <w:rsid w:val="00F31667"/>
    <w:pPr>
      <w:tabs>
        <w:tab w:val="clear" w:pos="1134"/>
        <w:tab w:val="clear" w:pos="1871"/>
        <w:tab w:val="clear" w:pos="2268"/>
        <w:tab w:val="left" w:pos="794"/>
      </w:tabs>
    </w:pPr>
    <w:rPr>
      <w:rFonts w:cs="Times New Roman"/>
      <w:bCs w:val="0"/>
      <w:i w:val="0"/>
      <w:sz w:val="24"/>
    </w:rPr>
  </w:style>
  <w:style w:type="paragraph" w:customStyle="1" w:styleId="Reptitle">
    <w:name w:val="Rep_title"/>
    <w:basedOn w:val="Rectitle"/>
    <w:next w:val="Repref"/>
    <w:rsid w:val="00F31667"/>
    <w:pPr>
      <w:tabs>
        <w:tab w:val="clear" w:pos="1134"/>
        <w:tab w:val="clear" w:pos="1871"/>
        <w:tab w:val="clear" w:pos="2268"/>
        <w:tab w:val="left" w:pos="794"/>
      </w:tabs>
    </w:pPr>
    <w:rPr>
      <w:rFonts w:cs="Times New Roman"/>
      <w:bCs w:val="0"/>
    </w:rPr>
  </w:style>
  <w:style w:type="paragraph" w:customStyle="1" w:styleId="Subsection1">
    <w:name w:val="Subsection_1"/>
    <w:basedOn w:val="Section1"/>
    <w:next w:val="Section1"/>
    <w:qFormat/>
    <w:rsid w:val="00F31667"/>
    <w:pPr>
      <w:tabs>
        <w:tab w:val="clear" w:pos="1134"/>
        <w:tab w:val="clear" w:pos="1871"/>
        <w:tab w:val="clear" w:pos="2268"/>
        <w:tab w:val="left" w:pos="794"/>
      </w:tabs>
    </w:pPr>
    <w:rPr>
      <w:lang w:val="en-GB"/>
    </w:rPr>
  </w:style>
  <w:style w:type="table" w:styleId="TableGrid">
    <w:name w:val="Table Grid"/>
    <w:basedOn w:val="TableNormal"/>
    <w:rsid w:val="00F3166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link w:val="TableTextS5Char"/>
    <w:rsid w:val="00F3166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794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3166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3166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</w:tabs>
    </w:pPr>
    <w:rPr>
      <w:lang w:val="fr-FR"/>
    </w:rPr>
  </w:style>
  <w:style w:type="paragraph" w:customStyle="1" w:styleId="AppArttitle">
    <w:name w:val="App_Art_title"/>
    <w:basedOn w:val="Arttitle"/>
    <w:next w:val="Normalaftertitle"/>
    <w:qFormat/>
    <w:rsid w:val="00F31667"/>
  </w:style>
  <w:style w:type="paragraph" w:customStyle="1" w:styleId="AppArtNo">
    <w:name w:val="App_Art_No"/>
    <w:basedOn w:val="ArtNo"/>
    <w:next w:val="AppArttitle"/>
    <w:qFormat/>
    <w:rsid w:val="00F31667"/>
  </w:style>
  <w:style w:type="paragraph" w:styleId="ListBullet">
    <w:name w:val="List Bullet"/>
    <w:basedOn w:val="Normal"/>
    <w:unhideWhenUsed/>
    <w:rsid w:val="00F31667"/>
    <w:pPr>
      <w:numPr>
        <w:numId w:val="3"/>
      </w:numPr>
      <w:tabs>
        <w:tab w:val="clear" w:pos="1134"/>
        <w:tab w:val="clear" w:pos="1871"/>
        <w:tab w:val="clear" w:pos="2268"/>
        <w:tab w:val="left" w:pos="794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05E19"/>
    <w:rsid w:val="004A45EA"/>
    <w:rsid w:val="006C0398"/>
    <w:rsid w:val="006D0370"/>
    <w:rsid w:val="008F6CE7"/>
    <w:rsid w:val="00954280"/>
    <w:rsid w:val="00C87FE3"/>
    <w:rsid w:val="00D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2013</Words>
  <Characters>14006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Chamova, Alisa</dc:creator>
  <dc:description>Template used by DPM and CPI for the WTSA-16</dc:description>
  <cp:lastModifiedBy>Murphy, Margaret</cp:lastModifiedBy>
  <cp:revision>6</cp:revision>
  <cp:lastPrinted>2016-07-07T14:06:00Z</cp:lastPrinted>
  <dcterms:created xsi:type="dcterms:W3CDTF">2016-07-07T13:56:00Z</dcterms:created>
  <dcterms:modified xsi:type="dcterms:W3CDTF">2016-10-17T13:56:00Z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