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7A3456" w:rsidRDefault="0022345D" w:rsidP="007A3456">
            <w:pPr>
              <w:pStyle w:val="Committee"/>
              <w:framePr w:hSpace="0" w:wrap="auto" w:hAnchor="text" w:yAlign="inline"/>
              <w:tabs>
                <w:tab w:val="clear" w:pos="1871"/>
                <w:tab w:val="clear" w:pos="2268"/>
                <w:tab w:val="left" w:pos="1614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7A3456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7A3456" w:rsidRDefault="0022345D" w:rsidP="007A3456">
            <w:pPr>
              <w:pStyle w:val="Adress"/>
              <w:framePr w:hSpace="0" w:wrap="auto" w:xAlign="left" w:yAlign="inline"/>
              <w:rPr>
                <w:rtl/>
              </w:rPr>
            </w:pPr>
            <w:r w:rsidRPr="007A3456">
              <w:rPr>
                <w:rtl/>
              </w:rPr>
              <w:t xml:space="preserve">الإضافة </w:t>
            </w:r>
            <w:r w:rsidRPr="007A3456">
              <w:t>11</w:t>
            </w:r>
            <w:r w:rsidRPr="007A3456">
              <w:br/>
            </w:r>
            <w:r w:rsidRPr="007A3456">
              <w:rPr>
                <w:rtl/>
              </w:rPr>
              <w:t xml:space="preserve">للوثيقة </w:t>
            </w:r>
            <w:r w:rsidRPr="007A3456">
              <w:t>44-</w:t>
            </w:r>
            <w:r w:rsidR="007A3456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7A3456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7A3456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7A3456">
              <w:rPr>
                <w:rFonts w:eastAsia="SimSun"/>
              </w:rPr>
              <w:t>3</w:t>
            </w:r>
            <w:r w:rsidRPr="007A3456">
              <w:rPr>
                <w:rFonts w:eastAsia="SimSun"/>
                <w:rtl/>
              </w:rPr>
              <w:t xml:space="preserve"> أكتوبر </w:t>
            </w:r>
            <w:r w:rsidRPr="007A3456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7A3456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7A3456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A3456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أعضاء جماعة آسيا والمحيط الهادئ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E02F6F" w:rsidP="00B97BBF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 لإلغاء القرار</w:t>
            </w:r>
            <w:r w:rsidR="00C3470E">
              <w:rPr>
                <w:rFonts w:hint="eastAsia"/>
                <w:rtl/>
              </w:rPr>
              <w:t> </w:t>
            </w:r>
            <w:r w:rsidR="00AE2BB6" w:rsidRPr="00366F5E">
              <w:t>38</w:t>
            </w:r>
            <w:r w:rsidR="00B97BBF">
              <w:rPr>
                <w:rFonts w:hint="cs"/>
                <w:rtl/>
              </w:rPr>
              <w:t xml:space="preserve"> للجمعية العالمية لتقييس الاتصالات لعام </w:t>
            </w:r>
            <w:r w:rsidR="00B97BBF">
              <w:t>2012</w:t>
            </w:r>
            <w:r w:rsidR="00C3470E">
              <w:rPr>
                <w:rFonts w:hint="eastAsia"/>
                <w:rtl/>
              </w:rPr>
              <w:t> </w:t>
            </w:r>
            <w:r w:rsidR="00AE2BB6">
              <w:rPr>
                <w:rFonts w:hint="cs"/>
                <w:rtl/>
              </w:rPr>
              <w:t>-</w:t>
            </w:r>
            <w:r w:rsidR="00B97BBF">
              <w:rPr>
                <w:rFonts w:hint="cs"/>
                <w:rtl/>
              </w:rPr>
              <w:t xml:space="preserve"> </w:t>
            </w:r>
            <w:r w:rsidR="007A3456" w:rsidRPr="007A3456">
              <w:rPr>
                <w:rFonts w:hint="cs"/>
                <w:rtl/>
              </w:rPr>
              <w:t>التنسيق فيما</w:t>
            </w:r>
            <w:r w:rsidR="00C3470E">
              <w:rPr>
                <w:rFonts w:hint="eastAsia"/>
                <w:rtl/>
              </w:rPr>
              <w:t> </w:t>
            </w:r>
            <w:r w:rsidR="007A3456" w:rsidRPr="007A3456">
              <w:rPr>
                <w:rFonts w:hint="cs"/>
                <w:rtl/>
              </w:rPr>
              <w:t>بين القطاعات ا</w:t>
            </w:r>
            <w:r w:rsidR="00C3470E">
              <w:rPr>
                <w:rFonts w:hint="cs"/>
                <w:rtl/>
              </w:rPr>
              <w:t>لثلاثة</w:t>
            </w:r>
            <w:r w:rsidR="00B97BBF">
              <w:rPr>
                <w:rFonts w:hint="cs"/>
                <w:rtl/>
              </w:rPr>
              <w:t xml:space="preserve"> </w:t>
            </w:r>
            <w:r w:rsidR="00C3470E">
              <w:rPr>
                <w:rFonts w:hint="cs"/>
                <w:rtl/>
              </w:rPr>
              <w:t>للاتحاد الدولي للاتصالات</w:t>
            </w:r>
            <w:r w:rsidR="009834C9">
              <w:rPr>
                <w:rtl/>
              </w:rPr>
              <w:br/>
            </w:r>
            <w:r w:rsidR="007A3456" w:rsidRPr="007A3456">
              <w:rPr>
                <w:rFonts w:hint="cs"/>
                <w:rtl/>
              </w:rPr>
              <w:t>في الأنشطة المتعلقة بالاتصالات المتنقلة الدولية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6F700A"/>
        </w:tc>
      </w:tr>
    </w:tbl>
    <w:p w:rsidR="006F700A" w:rsidRDefault="006F700A" w:rsidP="006F700A"/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C3470E">
        <w:trPr>
          <w:cantSplit/>
          <w:jc w:val="right"/>
        </w:trPr>
        <w:sdt>
          <w:sdtPr>
            <w:rPr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506" w:type="dxa"/>
              </w:tcPr>
              <w:p w:rsidR="006157A3" w:rsidRPr="00984EA5" w:rsidRDefault="00EE0036" w:rsidP="00C3470E">
                <w:r>
                  <w:rPr>
                    <w:rFonts w:hint="cs"/>
                    <w:rtl/>
                  </w:rPr>
                  <w:t>تقترح إدارات جماعة آسيا والمحيط الهادئ للاتصالات في</w:t>
                </w:r>
                <w:r w:rsidR="00C3470E">
                  <w:rPr>
                    <w:rFonts w:hint="eastAsia"/>
                    <w:rtl/>
                  </w:rPr>
                  <w:t> </w:t>
                </w:r>
                <w:r>
                  <w:rPr>
                    <w:rFonts w:hint="cs"/>
                    <w:rtl/>
                  </w:rPr>
                  <w:t>هذه الوثيقة إلغاء القرار</w:t>
                </w:r>
                <w:r w:rsidR="00C3470E">
                  <w:rPr>
                    <w:rFonts w:hint="eastAsia"/>
                    <w:rtl/>
                  </w:rPr>
                  <w:t> </w:t>
                </w:r>
                <w:r>
                  <w:t>38</w:t>
                </w:r>
                <w:r w:rsidR="00C3470E">
                  <w:rPr>
                    <w:rFonts w:hint="cs"/>
                    <w:rtl/>
                  </w:rPr>
                  <w:t>.</w:t>
                </w:r>
              </w:p>
            </w:tc>
          </w:sdtContent>
        </w:sdt>
        <w:tc>
          <w:tcPr>
            <w:tcW w:w="1058" w:type="dxa"/>
          </w:tcPr>
          <w:p w:rsidR="006157A3" w:rsidRPr="00E70E87" w:rsidRDefault="006157A3" w:rsidP="006F700A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="006F700A">
              <w:rPr>
                <w:rFonts w:hint="cs"/>
                <w:rtl/>
              </w:rPr>
              <w:t>:</w:t>
            </w:r>
          </w:p>
        </w:tc>
      </w:tr>
    </w:tbl>
    <w:p w:rsidR="0022345D" w:rsidRDefault="007A3456" w:rsidP="00C3470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7A3456" w:rsidRDefault="00844C58" w:rsidP="007F1684">
      <w:pPr>
        <w:rPr>
          <w:rtl/>
        </w:rPr>
      </w:pPr>
      <w:r>
        <w:rPr>
          <w:rFonts w:hint="cs"/>
          <w:rtl/>
        </w:rPr>
        <w:t>من خلال مناقشة أعمال جماعة آسيا والمحيط الهادئ للاتصالات التحضيرية للجمعية العالمية لتقييس الاتصالات لعام</w:t>
      </w:r>
      <w:r w:rsidR="00C3470E">
        <w:rPr>
          <w:rFonts w:hint="eastAsia"/>
          <w:rtl/>
        </w:rPr>
        <w:t> </w:t>
      </w:r>
      <w:r>
        <w:t>2016</w:t>
      </w:r>
      <w:r w:rsidR="00C3470E">
        <w:rPr>
          <w:rFonts w:hint="eastAsia"/>
          <w:rtl/>
        </w:rPr>
        <w:t> </w:t>
      </w:r>
      <w:r w:rsidR="00C3470E">
        <w:t>(</w:t>
      </w:r>
      <w:r w:rsidRPr="00366F5E">
        <w:t>WTSA-16</w:t>
      </w:r>
      <w:r w:rsidR="00C3470E">
        <w:t>)</w:t>
      </w:r>
      <w:r w:rsidR="005E2C7E">
        <w:rPr>
          <w:rFonts w:hint="cs"/>
          <w:rtl/>
        </w:rPr>
        <w:t>، اتفقت البلدان الأعضاء في</w:t>
      </w:r>
      <w:r w:rsidR="00C3470E">
        <w:rPr>
          <w:rFonts w:hint="eastAsia"/>
          <w:rtl/>
        </w:rPr>
        <w:t> </w:t>
      </w:r>
      <w:r w:rsidR="005E2C7E">
        <w:rPr>
          <w:rFonts w:hint="cs"/>
          <w:rtl/>
        </w:rPr>
        <w:t xml:space="preserve">الجماعة على اقتراح </w:t>
      </w:r>
      <w:r w:rsidR="007F1684">
        <w:rPr>
          <w:rFonts w:hint="cs"/>
          <w:rtl/>
        </w:rPr>
        <w:t>"</w:t>
      </w:r>
      <w:r w:rsidR="005E2C7E">
        <w:rPr>
          <w:rFonts w:hint="cs"/>
          <w:rtl/>
        </w:rPr>
        <w:t>قرار جديد بشأن الاتصالات المتنقلة الدولية</w:t>
      </w:r>
      <w:r w:rsidR="007F1684">
        <w:rPr>
          <w:rFonts w:hint="cs"/>
          <w:rtl/>
        </w:rPr>
        <w:t>-</w:t>
      </w:r>
      <w:r w:rsidR="005E2C7E">
        <w:t>2020</w:t>
      </w:r>
      <w:r w:rsidR="007F1684">
        <w:rPr>
          <w:rFonts w:hint="cs"/>
          <w:rtl/>
        </w:rPr>
        <w:t>"</w:t>
      </w:r>
      <w:r w:rsidR="00485F99">
        <w:rPr>
          <w:rFonts w:hint="cs"/>
          <w:rtl/>
        </w:rPr>
        <w:t xml:space="preserve"> من أجل تعزي</w:t>
      </w:r>
      <w:r w:rsidR="00DF02DE">
        <w:rPr>
          <w:rFonts w:hint="cs"/>
          <w:rtl/>
        </w:rPr>
        <w:t xml:space="preserve">ز أنشطة </w:t>
      </w:r>
      <w:r w:rsidR="0088430A">
        <w:rPr>
          <w:rFonts w:hint="cs"/>
          <w:rtl/>
        </w:rPr>
        <w:t>ال</w:t>
      </w:r>
      <w:r w:rsidR="00485F99">
        <w:rPr>
          <w:rFonts w:hint="cs"/>
          <w:rtl/>
        </w:rPr>
        <w:t xml:space="preserve">تقييس </w:t>
      </w:r>
      <w:r w:rsidR="0088430A">
        <w:rPr>
          <w:rFonts w:hint="cs"/>
          <w:rtl/>
        </w:rPr>
        <w:t>المتعلقة ب</w:t>
      </w:r>
      <w:r w:rsidR="00DF02DE">
        <w:rPr>
          <w:rFonts w:hint="cs"/>
          <w:rtl/>
        </w:rPr>
        <w:t>هذه الاتصالات والتعجيل</w:t>
      </w:r>
      <w:r w:rsidR="00485F99">
        <w:rPr>
          <w:rFonts w:hint="cs"/>
          <w:rtl/>
        </w:rPr>
        <w:t xml:space="preserve"> </w:t>
      </w:r>
      <w:r w:rsidR="00DA592D">
        <w:rPr>
          <w:rFonts w:hint="cs"/>
          <w:rtl/>
        </w:rPr>
        <w:t>بها</w:t>
      </w:r>
      <w:r w:rsidR="00DF02DE">
        <w:rPr>
          <w:rFonts w:hint="cs"/>
          <w:rtl/>
        </w:rPr>
        <w:t>.</w:t>
      </w:r>
    </w:p>
    <w:p w:rsidR="007A3456" w:rsidRDefault="00DF02DE" w:rsidP="00C3470E">
      <w:pPr>
        <w:rPr>
          <w:rtl/>
        </w:rPr>
      </w:pPr>
      <w:r>
        <w:rPr>
          <w:rFonts w:hint="cs"/>
          <w:rtl/>
        </w:rPr>
        <w:t>وأقر</w:t>
      </w:r>
      <w:r w:rsidR="00C3470E">
        <w:rPr>
          <w:rFonts w:hint="cs"/>
          <w:rtl/>
        </w:rPr>
        <w:t>ّ</w:t>
      </w:r>
      <w:r>
        <w:rPr>
          <w:rFonts w:hint="cs"/>
          <w:rtl/>
        </w:rPr>
        <w:t xml:space="preserve">ت </w:t>
      </w:r>
      <w:r w:rsidR="006A2ED1">
        <w:rPr>
          <w:rFonts w:hint="cs"/>
          <w:rtl/>
        </w:rPr>
        <w:t xml:space="preserve">هذه </w:t>
      </w:r>
      <w:r>
        <w:rPr>
          <w:rFonts w:hint="cs"/>
          <w:rtl/>
        </w:rPr>
        <w:t xml:space="preserve">البلدان </w:t>
      </w:r>
      <w:r w:rsidR="006A2ED1">
        <w:rPr>
          <w:rFonts w:hint="cs"/>
          <w:rtl/>
        </w:rPr>
        <w:t>أيضاً بأن القرار</w:t>
      </w:r>
      <w:r w:rsidR="00C3470E">
        <w:rPr>
          <w:rFonts w:hint="eastAsia"/>
          <w:rtl/>
        </w:rPr>
        <w:t> </w:t>
      </w:r>
      <w:r w:rsidR="006A2ED1" w:rsidRPr="00366F5E">
        <w:t>38</w:t>
      </w:r>
      <w:r w:rsidR="006A2ED1">
        <w:rPr>
          <w:rFonts w:hint="cs"/>
          <w:rtl/>
        </w:rPr>
        <w:t xml:space="preserve"> </w:t>
      </w:r>
      <w:r w:rsidR="00A45B5E">
        <w:rPr>
          <w:rFonts w:hint="cs"/>
          <w:rtl/>
        </w:rPr>
        <w:t>الحالي ل</w:t>
      </w:r>
      <w:r w:rsidR="006A2ED1">
        <w:rPr>
          <w:rFonts w:hint="cs"/>
          <w:rtl/>
        </w:rPr>
        <w:t>لجمعية العالمية لتقيي</w:t>
      </w:r>
      <w:r w:rsidR="0088430A">
        <w:rPr>
          <w:rFonts w:hint="cs"/>
          <w:rtl/>
        </w:rPr>
        <w:t>س</w:t>
      </w:r>
      <w:r w:rsidR="006A2ED1">
        <w:rPr>
          <w:rFonts w:hint="cs"/>
          <w:rtl/>
        </w:rPr>
        <w:t xml:space="preserve"> الاتصالات </w:t>
      </w:r>
      <w:r w:rsidR="00513CBB">
        <w:rPr>
          <w:rFonts w:hint="cs"/>
          <w:rtl/>
        </w:rPr>
        <w:t xml:space="preserve">قد نُفِّذ </w:t>
      </w:r>
      <w:r w:rsidR="00F53F02">
        <w:rPr>
          <w:rFonts w:hint="cs"/>
          <w:rtl/>
        </w:rPr>
        <w:t>بالكامل</w:t>
      </w:r>
      <w:r w:rsidR="00A45B5E">
        <w:rPr>
          <w:rFonts w:hint="cs"/>
          <w:rtl/>
        </w:rPr>
        <w:t xml:space="preserve">، وبأن </w:t>
      </w:r>
      <w:r w:rsidR="004945C2">
        <w:rPr>
          <w:rFonts w:hint="cs"/>
          <w:rtl/>
        </w:rPr>
        <w:t xml:space="preserve">من الممكن تحسين </w:t>
      </w:r>
      <w:r w:rsidR="00A45B5E">
        <w:rPr>
          <w:rFonts w:hint="cs"/>
          <w:rtl/>
        </w:rPr>
        <w:t>القرار</w:t>
      </w:r>
      <w:r w:rsidR="00C3470E">
        <w:rPr>
          <w:rFonts w:hint="eastAsia"/>
          <w:rtl/>
        </w:rPr>
        <w:t> </w:t>
      </w:r>
      <w:r w:rsidR="00A45B5E" w:rsidRPr="00366F5E">
        <w:t>57</w:t>
      </w:r>
      <w:r w:rsidR="00A45B5E">
        <w:rPr>
          <w:rFonts w:hint="cs"/>
          <w:rtl/>
        </w:rPr>
        <w:t xml:space="preserve"> للجمعية </w:t>
      </w:r>
      <w:r w:rsidR="004945C2">
        <w:rPr>
          <w:rFonts w:hint="cs"/>
          <w:rtl/>
        </w:rPr>
        <w:t>لتضمينه المحتوى الرئيسي للقرار</w:t>
      </w:r>
      <w:r w:rsidR="00C3470E">
        <w:rPr>
          <w:rFonts w:hint="eastAsia"/>
          <w:rtl/>
        </w:rPr>
        <w:t> </w:t>
      </w:r>
      <w:r w:rsidR="004945C2" w:rsidRPr="00366F5E">
        <w:t>38</w:t>
      </w:r>
      <w:r w:rsidR="00C3470E">
        <w:rPr>
          <w:rFonts w:hint="cs"/>
          <w:rtl/>
        </w:rPr>
        <w:t xml:space="preserve"> الذي يتعين بالتالي إلغاؤه.</w:t>
      </w:r>
    </w:p>
    <w:p w:rsidR="007A3456" w:rsidRDefault="00C3470E" w:rsidP="007A3456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E35B7A" w:rsidRDefault="00A7157B" w:rsidP="00C3470E">
      <w:pPr>
        <w:rPr>
          <w:rtl/>
        </w:rPr>
      </w:pPr>
      <w:r>
        <w:rPr>
          <w:rFonts w:hint="cs"/>
          <w:rtl/>
        </w:rPr>
        <w:t>تود إدارات أعضاء جماعة آسيا والمحيط الهادئ للاتصالات أن تقترح إلغاء القرار</w:t>
      </w:r>
      <w:r w:rsidR="00C3470E">
        <w:rPr>
          <w:rFonts w:hint="eastAsia"/>
          <w:rtl/>
        </w:rPr>
        <w:t> </w:t>
      </w:r>
      <w:r w:rsidRPr="00366F5E">
        <w:t>38</w:t>
      </w:r>
      <w:r>
        <w:rPr>
          <w:rFonts w:hint="cs"/>
          <w:rtl/>
        </w:rPr>
        <w:t xml:space="preserve"> </w:t>
      </w:r>
      <w:r w:rsidR="00B5288C">
        <w:rPr>
          <w:rFonts w:hint="cs"/>
          <w:rtl/>
        </w:rPr>
        <w:t>(المراجَع في</w:t>
      </w:r>
      <w:r w:rsidR="00C3470E">
        <w:rPr>
          <w:rFonts w:hint="eastAsia"/>
          <w:rtl/>
        </w:rPr>
        <w:t> </w:t>
      </w:r>
      <w:r w:rsidR="00B5288C">
        <w:rPr>
          <w:rFonts w:hint="cs"/>
          <w:rtl/>
        </w:rPr>
        <w:t>دبي،</w:t>
      </w:r>
      <w:r w:rsidR="00C3470E">
        <w:rPr>
          <w:rFonts w:hint="eastAsia"/>
          <w:rtl/>
        </w:rPr>
        <w:t> </w:t>
      </w:r>
      <w:r w:rsidR="00B5288C" w:rsidRPr="00366F5E">
        <w:t>2012</w:t>
      </w:r>
      <w:r w:rsidR="00B5288C">
        <w:rPr>
          <w:rFonts w:hint="cs"/>
          <w:rtl/>
        </w:rPr>
        <w:t xml:space="preserve">) </w:t>
      </w:r>
      <w:r>
        <w:rPr>
          <w:rFonts w:hint="cs"/>
          <w:rtl/>
        </w:rPr>
        <w:t>للجمعية العالمية لتقييس الاتصالات لعام</w:t>
      </w:r>
      <w:r w:rsidR="00C3470E">
        <w:rPr>
          <w:rFonts w:hint="eastAsia"/>
          <w:rtl/>
        </w:rPr>
        <w:t> </w:t>
      </w:r>
      <w:r w:rsidR="00B5288C" w:rsidRPr="00366F5E">
        <w:t>2012</w:t>
      </w:r>
      <w:r w:rsidR="00B5288C">
        <w:rPr>
          <w:rFonts w:hint="cs"/>
          <w:rtl/>
        </w:rPr>
        <w:t>.</w:t>
      </w:r>
    </w:p>
    <w:p w:rsidR="00366B86" w:rsidRDefault="00366B86" w:rsidP="00AF3DE6">
      <w:pPr>
        <w:rPr>
          <w:rtl/>
        </w:rPr>
      </w:pPr>
      <w:r>
        <w:rPr>
          <w:rtl/>
        </w:rPr>
        <w:br w:type="page"/>
      </w:r>
    </w:p>
    <w:p w:rsidR="00345853" w:rsidRPr="00C3470E" w:rsidRDefault="00080A0E" w:rsidP="00C3470E">
      <w:pPr>
        <w:pStyle w:val="Proposal"/>
      </w:pPr>
      <w:r>
        <w:lastRenderedPageBreak/>
        <w:t>SUP</w:t>
      </w:r>
      <w:r>
        <w:tab/>
        <w:t>APT/44A11/1</w:t>
      </w:r>
    </w:p>
    <w:p w:rsidR="00973933" w:rsidRPr="00202209" w:rsidRDefault="00080A0E" w:rsidP="007A3456">
      <w:pPr>
        <w:pStyle w:val="ResNo"/>
        <w:rPr>
          <w:rtl/>
        </w:rPr>
      </w:pPr>
      <w:bookmarkStart w:id="0" w:name="_Toc219795434"/>
      <w:bookmarkStart w:id="1" w:name="_Toc349551571"/>
      <w:r w:rsidRPr="00202209">
        <w:rPr>
          <w:rFonts w:hint="cs"/>
          <w:rtl/>
        </w:rPr>
        <w:t>ال</w:t>
      </w:r>
      <w:r w:rsidRPr="00202209">
        <w:rPr>
          <w:rtl/>
        </w:rPr>
        <w:t>ق</w:t>
      </w:r>
      <w:r w:rsidRPr="00202209">
        <w:rPr>
          <w:rFonts w:hint="cs"/>
          <w:rtl/>
        </w:rPr>
        <w:t>ـ</w:t>
      </w:r>
      <w:r w:rsidRPr="00202209">
        <w:rPr>
          <w:rtl/>
        </w:rPr>
        <w:t xml:space="preserve">رار </w:t>
      </w:r>
      <w:r w:rsidRPr="003B381D">
        <w:rPr>
          <w:rStyle w:val="href"/>
        </w:rPr>
        <w:t>38</w:t>
      </w:r>
      <w:bookmarkEnd w:id="0"/>
      <w:r w:rsidRPr="00917C6D">
        <w:rPr>
          <w:rFonts w:hint="cs"/>
          <w:rtl/>
        </w:rPr>
        <w:t xml:space="preserve"> (المراجَع في دبي، </w:t>
      </w:r>
      <w:r w:rsidRPr="00917C6D">
        <w:t>2012</w:t>
      </w:r>
      <w:r w:rsidRPr="00917C6D">
        <w:rPr>
          <w:rFonts w:hint="cs"/>
          <w:rtl/>
        </w:rPr>
        <w:t>)</w:t>
      </w:r>
      <w:bookmarkEnd w:id="1"/>
    </w:p>
    <w:p w:rsidR="00973933" w:rsidRPr="00D750B9" w:rsidRDefault="00080A0E" w:rsidP="00973933">
      <w:pPr>
        <w:pStyle w:val="Restitle"/>
        <w:rPr>
          <w:rtl/>
        </w:rPr>
      </w:pPr>
      <w:bookmarkStart w:id="2" w:name="_Toc219803532"/>
      <w:bookmarkStart w:id="3" w:name="_Toc349551572"/>
      <w:r w:rsidRPr="00D750B9">
        <w:rPr>
          <w:rFonts w:hint="cs"/>
          <w:rtl/>
        </w:rPr>
        <w:t xml:space="preserve">التنسيق فيما بين </w:t>
      </w:r>
      <w:r>
        <w:rPr>
          <w:rFonts w:hint="cs"/>
          <w:rtl/>
        </w:rPr>
        <w:t>القطاعات الثلاثة للاتحاد الدولي للاتصالات</w:t>
      </w:r>
      <w:r>
        <w:rPr>
          <w:rFonts w:hint="cs"/>
          <w:rtl/>
        </w:rPr>
        <w:br/>
      </w:r>
      <w:r w:rsidRPr="00D750B9">
        <w:rPr>
          <w:rFonts w:hint="cs"/>
          <w:rtl/>
        </w:rPr>
        <w:t>في الأنشطة المتعلقة بالاتصالات المتنقلة الدولية</w:t>
      </w:r>
      <w:bookmarkEnd w:id="2"/>
      <w:bookmarkEnd w:id="3"/>
    </w:p>
    <w:p w:rsidR="00973933" w:rsidRPr="00BD7975" w:rsidRDefault="00080A0E" w:rsidP="00973933">
      <w:pPr>
        <w:pStyle w:val="Resref"/>
        <w:rPr>
          <w:iCs/>
          <w:rtl/>
        </w:rPr>
      </w:pPr>
      <w:r w:rsidRPr="00BD7975">
        <w:rPr>
          <w:rFonts w:hint="cs"/>
          <w:iCs/>
          <w:rtl/>
        </w:rPr>
        <w:t xml:space="preserve">(مونتريال، </w:t>
      </w:r>
      <w:r w:rsidRPr="00BD7975">
        <w:rPr>
          <w:iCs/>
        </w:rPr>
        <w:t>2000</w:t>
      </w:r>
      <w:r w:rsidRPr="00BD7975">
        <w:rPr>
          <w:rFonts w:hint="cs"/>
          <w:iCs/>
          <w:rtl/>
        </w:rPr>
        <w:t xml:space="preserve">؛ فلوريانوبوليس، </w:t>
      </w:r>
      <w:r w:rsidRPr="00BD7975">
        <w:rPr>
          <w:iCs/>
        </w:rPr>
        <w:t>2004</w:t>
      </w:r>
      <w:r w:rsidRPr="00BD7975">
        <w:rPr>
          <w:rFonts w:hint="cs"/>
          <w:iCs/>
          <w:rtl/>
        </w:rPr>
        <w:t xml:space="preserve">؛ جوهانسبرغ، </w:t>
      </w:r>
      <w:r w:rsidRPr="00BD7975">
        <w:rPr>
          <w:iCs/>
        </w:rPr>
        <w:t>2008</w:t>
      </w:r>
      <w:r w:rsidRPr="00BD7975">
        <w:rPr>
          <w:rFonts w:hint="cs"/>
          <w:iCs/>
          <w:rtl/>
        </w:rPr>
        <w:t xml:space="preserve">؛ دبي، </w:t>
      </w:r>
      <w:r w:rsidRPr="00BD7975">
        <w:rPr>
          <w:rFonts w:asciiTheme="majorBidi" w:hAnsiTheme="majorBidi" w:cstheme="majorBidi"/>
          <w:iCs/>
        </w:rPr>
        <w:t>2012</w:t>
      </w:r>
      <w:r w:rsidRPr="00BD7975">
        <w:rPr>
          <w:rFonts w:hint="cs"/>
          <w:iCs/>
          <w:rtl/>
        </w:rPr>
        <w:t>)</w:t>
      </w:r>
    </w:p>
    <w:p w:rsidR="00973933" w:rsidRPr="007A3456" w:rsidRDefault="00080A0E" w:rsidP="007A3456">
      <w:pPr>
        <w:pStyle w:val="Normalaftertitle"/>
        <w:rPr>
          <w:szCs w:val="22"/>
          <w:rtl/>
        </w:rPr>
      </w:pPr>
      <w:r w:rsidRPr="00D750B9">
        <w:rPr>
          <w:rFonts w:hint="cs"/>
          <w:rtl/>
        </w:rPr>
        <w:t xml:space="preserve">إن الجمعية العالمية لتقييس الاتصالات (دبي، </w:t>
      </w:r>
      <w:r w:rsidRPr="00D750B9">
        <w:t>2012</w:t>
      </w:r>
      <w:r w:rsidRPr="00D750B9">
        <w:rPr>
          <w:rFonts w:hint="cs"/>
          <w:rtl/>
        </w:rPr>
        <w:t>)</w:t>
      </w:r>
      <w:r w:rsidR="00B5288C">
        <w:rPr>
          <w:rFonts w:hint="cs"/>
          <w:rtl/>
        </w:rPr>
        <w:t>،</w:t>
      </w:r>
    </w:p>
    <w:p w:rsidR="00E35B7A" w:rsidRDefault="00080A0E" w:rsidP="009834C9">
      <w:pPr>
        <w:pStyle w:val="Reasons"/>
        <w:rPr>
          <w:b w:val="0"/>
          <w:bCs w:val="0"/>
          <w:rtl/>
        </w:rPr>
      </w:pPr>
      <w:bookmarkStart w:id="4" w:name="_GoBack"/>
      <w:bookmarkEnd w:id="4"/>
      <w:r>
        <w:rPr>
          <w:rtl/>
        </w:rPr>
        <w:t>الأسباب:</w:t>
      </w:r>
      <w:r>
        <w:tab/>
      </w:r>
      <w:r w:rsidR="00B5288C" w:rsidRPr="00F53F02">
        <w:rPr>
          <w:rFonts w:hint="cs"/>
          <w:b w:val="0"/>
          <w:bCs w:val="0"/>
          <w:rtl/>
        </w:rPr>
        <w:t xml:space="preserve">انظر المقدمة والمقترح في </w:t>
      </w:r>
      <w:r w:rsidR="00937B6A" w:rsidRPr="00F53F02">
        <w:rPr>
          <w:rFonts w:hint="cs"/>
          <w:b w:val="0"/>
          <w:bCs w:val="0"/>
          <w:rtl/>
        </w:rPr>
        <w:t>الإضافة</w:t>
      </w:r>
      <w:r w:rsidR="00E35B7A">
        <w:rPr>
          <w:rFonts w:hint="eastAsia"/>
          <w:b w:val="0"/>
          <w:bCs w:val="0"/>
          <w:rtl/>
        </w:rPr>
        <w:t> </w:t>
      </w:r>
      <w:r w:rsidR="00937B6A" w:rsidRPr="00F53F02">
        <w:rPr>
          <w:b w:val="0"/>
          <w:bCs w:val="0"/>
        </w:rPr>
        <w:t>11</w:t>
      </w:r>
      <w:r w:rsidR="00937B6A" w:rsidRPr="00F53F02">
        <w:rPr>
          <w:rFonts w:hint="cs"/>
          <w:b w:val="0"/>
          <w:bCs w:val="0"/>
          <w:rtl/>
        </w:rPr>
        <w:t xml:space="preserve"> ل</w:t>
      </w:r>
      <w:r w:rsidR="00B5288C" w:rsidRPr="00F53F02">
        <w:rPr>
          <w:rFonts w:hint="cs"/>
          <w:b w:val="0"/>
          <w:bCs w:val="0"/>
          <w:rtl/>
        </w:rPr>
        <w:t>لوثيقة</w:t>
      </w:r>
      <w:r w:rsidR="00E35B7A">
        <w:rPr>
          <w:rFonts w:hint="eastAsia"/>
          <w:b w:val="0"/>
          <w:bCs w:val="0"/>
          <w:rtl/>
        </w:rPr>
        <w:t> </w:t>
      </w:r>
      <w:r w:rsidR="00B5288C" w:rsidRPr="00F53F02">
        <w:rPr>
          <w:b w:val="0"/>
          <w:bCs w:val="0"/>
        </w:rPr>
        <w:t>44</w:t>
      </w:r>
      <w:r w:rsidR="00937B6A" w:rsidRPr="00F53F02">
        <w:rPr>
          <w:rFonts w:hint="cs"/>
          <w:b w:val="0"/>
          <w:bCs w:val="0"/>
          <w:rtl/>
        </w:rPr>
        <w:t>.</w:t>
      </w:r>
    </w:p>
    <w:p w:rsidR="003373DF" w:rsidRPr="003373DF" w:rsidRDefault="003373DF" w:rsidP="003373DF">
      <w:pPr>
        <w:pStyle w:val="Reasons"/>
        <w:rPr>
          <w:rtl/>
        </w:rPr>
      </w:pPr>
    </w:p>
    <w:p w:rsidR="00E35B7A" w:rsidRPr="00E35B7A" w:rsidRDefault="00E35B7A" w:rsidP="00E35B7A">
      <w:pPr>
        <w:spacing w:before="600"/>
        <w:jc w:val="center"/>
      </w:pPr>
      <w:r>
        <w:rPr>
          <w:rFonts w:hint="cs"/>
          <w:rtl/>
        </w:rPr>
        <w:t>___________</w:t>
      </w:r>
    </w:p>
    <w:sectPr w:rsidR="00E35B7A" w:rsidRPr="00E35B7A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7A3456" w:rsidRDefault="00E07379" w:rsidP="003373DF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7A3456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3373DF">
      <w:rPr>
        <w:rFonts w:cs="Times New Roman"/>
        <w:noProof/>
        <w:sz w:val="16"/>
        <w:szCs w:val="16"/>
        <w:lang w:val="fr-CH"/>
      </w:rPr>
      <w:t>P:\ARA\ITU-T\CONF-T\WTSA16\000\044ADD11A.docx</w:t>
    </w:r>
    <w:r w:rsidRPr="00E07379">
      <w:rPr>
        <w:rFonts w:cs="Times New Roman"/>
        <w:sz w:val="16"/>
        <w:szCs w:val="16"/>
      </w:rPr>
      <w:fldChar w:fldCharType="end"/>
    </w:r>
    <w:r w:rsidR="003373DF">
      <w:rPr>
        <w:rFonts w:cs="Times New Roman" w:hint="eastAsia"/>
        <w:sz w:val="16"/>
        <w:szCs w:val="16"/>
        <w:lang w:val="fr-CH"/>
      </w:rPr>
      <w:t>   </w:t>
    </w:r>
    <w:r w:rsidR="007A3456" w:rsidRPr="007A3456">
      <w:rPr>
        <w:rFonts w:cs="Times New Roman"/>
        <w:sz w:val="16"/>
        <w:szCs w:val="16"/>
        <w:lang w:val="fr-CH"/>
      </w:rPr>
      <w:t>(405900)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7A3456" w:rsidRDefault="0022345D" w:rsidP="003373DF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7A3456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3373DF">
      <w:rPr>
        <w:noProof/>
        <w:szCs w:val="12"/>
        <w:lang w:val="fr-CH"/>
      </w:rPr>
      <w:t>P:\ARA\ITU-T\CONF-T\WTSA16\000\044ADD11A.docx</w:t>
    </w:r>
    <w:r w:rsidRPr="0022345D">
      <w:rPr>
        <w:szCs w:val="12"/>
      </w:rPr>
      <w:fldChar w:fldCharType="end"/>
    </w:r>
    <w:r w:rsidR="003373DF">
      <w:rPr>
        <w:rFonts w:hint="eastAsia"/>
        <w:szCs w:val="12"/>
        <w:rtl/>
        <w:lang w:val="fr-CH"/>
      </w:rPr>
      <w:t> </w:t>
    </w:r>
    <w:r w:rsidR="003373DF">
      <w:rPr>
        <w:rFonts w:hint="cs"/>
        <w:szCs w:val="12"/>
        <w:rtl/>
        <w:lang w:val="fr-CH"/>
      </w:rPr>
      <w:t>  </w:t>
    </w:r>
    <w:r w:rsidR="007A3456" w:rsidRPr="007A3456">
      <w:rPr>
        <w:szCs w:val="12"/>
        <w:lang w:val="fr-CH"/>
      </w:rPr>
      <w:t>(405900)</w:t>
    </w:r>
  </w:p>
  <w:p w:rsidR="00E07379" w:rsidRPr="007A3456" w:rsidRDefault="00E07379" w:rsidP="00E07379">
    <w:pPr>
      <w:spacing w:before="0"/>
      <w:rPr>
        <w:rFonts w:hint="cs"/>
        <w:sz w:val="2"/>
        <w:szCs w:val="2"/>
        <w:lang w:val="fr-CH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3373DF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WTSA16/44(Add.11)-A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80A0E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78F4"/>
    <w:rsid w:val="002B028D"/>
    <w:rsid w:val="002B435E"/>
    <w:rsid w:val="002C4DAE"/>
    <w:rsid w:val="002E6541"/>
    <w:rsid w:val="002F5560"/>
    <w:rsid w:val="0030486B"/>
    <w:rsid w:val="00306A6B"/>
    <w:rsid w:val="003231B9"/>
    <w:rsid w:val="003275AC"/>
    <w:rsid w:val="00333D29"/>
    <w:rsid w:val="003373DF"/>
    <w:rsid w:val="003409F4"/>
    <w:rsid w:val="00345853"/>
    <w:rsid w:val="00357185"/>
    <w:rsid w:val="00366B86"/>
    <w:rsid w:val="003C475F"/>
    <w:rsid w:val="003E4132"/>
    <w:rsid w:val="003F678F"/>
    <w:rsid w:val="0042686F"/>
    <w:rsid w:val="004367CE"/>
    <w:rsid w:val="00443869"/>
    <w:rsid w:val="004712C6"/>
    <w:rsid w:val="00485F99"/>
    <w:rsid w:val="004945C2"/>
    <w:rsid w:val="00497703"/>
    <w:rsid w:val="004F0F06"/>
    <w:rsid w:val="00501E0E"/>
    <w:rsid w:val="00513CBB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2C7E"/>
    <w:rsid w:val="005E5283"/>
    <w:rsid w:val="005E58F5"/>
    <w:rsid w:val="005F4DE5"/>
    <w:rsid w:val="00606660"/>
    <w:rsid w:val="006157A3"/>
    <w:rsid w:val="00620E60"/>
    <w:rsid w:val="0062125E"/>
    <w:rsid w:val="0063315A"/>
    <w:rsid w:val="0065591D"/>
    <w:rsid w:val="00662C5A"/>
    <w:rsid w:val="00670AF5"/>
    <w:rsid w:val="006A2ED1"/>
    <w:rsid w:val="006C1556"/>
    <w:rsid w:val="006F267F"/>
    <w:rsid w:val="006F63F7"/>
    <w:rsid w:val="006F6F03"/>
    <w:rsid w:val="006F700A"/>
    <w:rsid w:val="00706D7A"/>
    <w:rsid w:val="00726AEC"/>
    <w:rsid w:val="007530CA"/>
    <w:rsid w:val="0079553D"/>
    <w:rsid w:val="007A3456"/>
    <w:rsid w:val="007B01CC"/>
    <w:rsid w:val="007F1684"/>
    <w:rsid w:val="007F646C"/>
    <w:rsid w:val="00801FCD"/>
    <w:rsid w:val="00803D7E"/>
    <w:rsid w:val="00803F08"/>
    <w:rsid w:val="008235CD"/>
    <w:rsid w:val="00823A07"/>
    <w:rsid w:val="00835FEC"/>
    <w:rsid w:val="00844C58"/>
    <w:rsid w:val="008513CB"/>
    <w:rsid w:val="00874D9C"/>
    <w:rsid w:val="0088430A"/>
    <w:rsid w:val="008A1810"/>
    <w:rsid w:val="00917694"/>
    <w:rsid w:val="009263CD"/>
    <w:rsid w:val="00930E6D"/>
    <w:rsid w:val="00937B6A"/>
    <w:rsid w:val="00972CA2"/>
    <w:rsid w:val="00982AEC"/>
    <w:rsid w:val="00982B28"/>
    <w:rsid w:val="009834C9"/>
    <w:rsid w:val="00984EA5"/>
    <w:rsid w:val="00992593"/>
    <w:rsid w:val="009C17E1"/>
    <w:rsid w:val="009C35ED"/>
    <w:rsid w:val="009F1C12"/>
    <w:rsid w:val="00A25A43"/>
    <w:rsid w:val="00A3295B"/>
    <w:rsid w:val="00A42AE5"/>
    <w:rsid w:val="00A45B5E"/>
    <w:rsid w:val="00A52B61"/>
    <w:rsid w:val="00A64820"/>
    <w:rsid w:val="00A7157B"/>
    <w:rsid w:val="00A71DD6"/>
    <w:rsid w:val="00A723C7"/>
    <w:rsid w:val="00A80E11"/>
    <w:rsid w:val="00A97F94"/>
    <w:rsid w:val="00AB1309"/>
    <w:rsid w:val="00AC2C52"/>
    <w:rsid w:val="00AD1503"/>
    <w:rsid w:val="00AE2BB6"/>
    <w:rsid w:val="00AE7244"/>
    <w:rsid w:val="00AF3DE6"/>
    <w:rsid w:val="00AF3FEE"/>
    <w:rsid w:val="00B02F46"/>
    <w:rsid w:val="00B2000C"/>
    <w:rsid w:val="00B20ADE"/>
    <w:rsid w:val="00B5288C"/>
    <w:rsid w:val="00B66B9A"/>
    <w:rsid w:val="00B82089"/>
    <w:rsid w:val="00B970AE"/>
    <w:rsid w:val="00B97BBF"/>
    <w:rsid w:val="00BA1427"/>
    <w:rsid w:val="00BD7975"/>
    <w:rsid w:val="00BE49D0"/>
    <w:rsid w:val="00BF2C38"/>
    <w:rsid w:val="00C23331"/>
    <w:rsid w:val="00C265DA"/>
    <w:rsid w:val="00C3470E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199E"/>
    <w:rsid w:val="00CE2EE1"/>
    <w:rsid w:val="00CF3FFD"/>
    <w:rsid w:val="00D0494C"/>
    <w:rsid w:val="00D14BEB"/>
    <w:rsid w:val="00D21C89"/>
    <w:rsid w:val="00D45542"/>
    <w:rsid w:val="00D77D0F"/>
    <w:rsid w:val="00DA1CF0"/>
    <w:rsid w:val="00DA592D"/>
    <w:rsid w:val="00DB2271"/>
    <w:rsid w:val="00DB5659"/>
    <w:rsid w:val="00DB6AF7"/>
    <w:rsid w:val="00DC24B4"/>
    <w:rsid w:val="00DD7A05"/>
    <w:rsid w:val="00DF02DE"/>
    <w:rsid w:val="00DF16DC"/>
    <w:rsid w:val="00DF5361"/>
    <w:rsid w:val="00E009A1"/>
    <w:rsid w:val="00E00D15"/>
    <w:rsid w:val="00E02F6F"/>
    <w:rsid w:val="00E071BE"/>
    <w:rsid w:val="00E07379"/>
    <w:rsid w:val="00E14494"/>
    <w:rsid w:val="00E17033"/>
    <w:rsid w:val="00E32189"/>
    <w:rsid w:val="00E35B7A"/>
    <w:rsid w:val="00E45211"/>
    <w:rsid w:val="00E7380C"/>
    <w:rsid w:val="00E74BE7"/>
    <w:rsid w:val="00E86CC9"/>
    <w:rsid w:val="00E96624"/>
    <w:rsid w:val="00EE0036"/>
    <w:rsid w:val="00F126F1"/>
    <w:rsid w:val="00F2106A"/>
    <w:rsid w:val="00F36D8B"/>
    <w:rsid w:val="00F401D0"/>
    <w:rsid w:val="00F45F2B"/>
    <w:rsid w:val="00F53F02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7b94819-42ab-40cf-8e36-e17e7031d189">Documents Proposals Manager (DPM)</DPM_x0020_Author>
    <DPM_x0020_File_x0020_name xmlns="d7b94819-42ab-40cf-8e36-e17e7031d189">T13-WTSA.16-C-0044!A11!MSW-A</DPM_x0020_File_x0020_name>
    <DPM_x0020_Version xmlns="d7b94819-42ab-40cf-8e36-e17e7031d189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7b94819-42ab-40cf-8e36-e17e7031d189" targetNamespace="http://schemas.microsoft.com/office/2006/metadata/properties" ma:root="true" ma:fieldsID="d41af5c836d734370eb92e7ee5f83852" ns2:_="" ns3:_="">
    <xsd:import namespace="996b2e75-67fd-4955-a3b0-5ab9934cb50b"/>
    <xsd:import namespace="d7b94819-42ab-40cf-8e36-e17e7031d18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4819-42ab-40cf-8e36-e17e7031d18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d7b94819-42ab-40cf-8e36-e17e7031d189"/>
    <ds:schemaRef ds:uri="996b2e75-67fd-4955-a3b0-5ab9934cb50b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7b94819-42ab-40cf-8e36-e17e7031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8D1FE-B617-4D49-9DA5-3EF1CD92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T13-WTSA.16-C-0044!A11!MSW-A</vt:lpstr>
      <vt:lpstr>T13-WTSA.16-C-0044!A11!MSW-A</vt:lpstr>
    </vt:vector>
  </TitlesOfParts>
  <Company>International Telecommunication Union (ITU)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T13-WTSA.16-C-0044!A11!MSW-A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12</cp:revision>
  <cp:lastPrinted>2016-10-19T12:32:00Z</cp:lastPrinted>
  <dcterms:created xsi:type="dcterms:W3CDTF">2016-10-19T12:19:00Z</dcterms:created>
  <dcterms:modified xsi:type="dcterms:W3CDTF">2016-10-19T18:31:00Z</dcterms:modified>
  <cp:category>Conference document</cp:category>
</cp:coreProperties>
</file>