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ook w:val="0000" w:firstRow="0" w:lastRow="0" w:firstColumn="0" w:lastColumn="0" w:noHBand="0" w:noVBand="0"/>
      </w:tblPr>
      <w:tblGrid>
        <w:gridCol w:w="1382"/>
        <w:gridCol w:w="5422"/>
        <w:gridCol w:w="567"/>
        <w:gridCol w:w="2440"/>
      </w:tblGrid>
      <w:tr w:rsidR="001D581B" w:rsidTr="00530525">
        <w:trPr>
          <w:cantSplit/>
        </w:trPr>
        <w:tc>
          <w:tcPr>
            <w:tcW w:w="1382" w:type="dxa"/>
            <w:vAlign w:val="center"/>
          </w:tcPr>
          <w:p w:rsidR="00CF1E9D" w:rsidRPr="00566A5B" w:rsidRDefault="00CF1E9D" w:rsidP="00E338F5">
            <w:pPr>
              <w:rPr>
                <w:rFonts w:ascii="Verdana" w:hAnsi="Verdana" w:cs="Times New Roman Bold"/>
                <w:b/>
                <w:bCs/>
                <w:sz w:val="22"/>
                <w:szCs w:val="22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gridSpan w:val="2"/>
            <w:vAlign w:val="center"/>
          </w:tcPr>
          <w:p w:rsidR="00CF1E9D" w:rsidRPr="009F63E2" w:rsidRDefault="001D581B" w:rsidP="00E338F5">
            <w:pPr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</w:pP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Assemblée mondiale de normalisation </w:t>
            </w:r>
            <w:r w:rsidR="00C26BA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br/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 xml:space="preserve">des télécommunications 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(</w:t>
            </w:r>
            <w:r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AMNT</w:t>
            </w:r>
            <w:r w:rsidR="00CF1E9D" w:rsidRPr="009F63E2">
              <w:rPr>
                <w:rFonts w:ascii="Verdana" w:hAnsi="Verdana" w:cs="Times New Roman Bold"/>
                <w:b/>
                <w:bCs/>
                <w:szCs w:val="24"/>
                <w:lang w:val="fr-CH"/>
              </w:rPr>
              <w:t>-16)</w:t>
            </w:r>
            <w:r w:rsidR="00CF1E9D" w:rsidRPr="009F63E2">
              <w:rPr>
                <w:rFonts w:ascii="Verdana" w:hAnsi="Verdana" w:cs="Times New Roman Bold"/>
                <w:b/>
                <w:bCs/>
                <w:sz w:val="22"/>
                <w:szCs w:val="22"/>
                <w:lang w:val="fr-CH"/>
              </w:rPr>
              <w:br/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Hammamet, 25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ct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obre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-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3 </w:t>
            </w:r>
            <w:r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n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ov</w:t>
            </w:r>
            <w:r w:rsidR="00C26BA2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>embre</w:t>
            </w:r>
            <w:r w:rsidR="00CF1E9D" w:rsidRPr="00C26BA2">
              <w:rPr>
                <w:rFonts w:ascii="Verdana" w:hAnsi="Verdana" w:cs="Times New Roman Bold"/>
                <w:b/>
                <w:bCs/>
                <w:sz w:val="18"/>
                <w:szCs w:val="18"/>
                <w:lang w:val="fr-CH"/>
              </w:rPr>
              <w:t xml:space="preserve"> 2016</w:t>
            </w:r>
          </w:p>
        </w:tc>
        <w:tc>
          <w:tcPr>
            <w:tcW w:w="2440" w:type="dxa"/>
            <w:vAlign w:val="center"/>
          </w:tcPr>
          <w:p w:rsidR="00CF1E9D" w:rsidRPr="00CF1E9D" w:rsidRDefault="00CF1E9D" w:rsidP="00E338F5">
            <w:pPr>
              <w:spacing w:before="0"/>
              <w:jc w:val="right"/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bottom w:val="single" w:sz="12" w:space="0" w:color="auto"/>
            </w:tcBorders>
          </w:tcPr>
          <w:p w:rsidR="00595780" w:rsidRDefault="00595780" w:rsidP="00E338F5">
            <w:pPr>
              <w:spacing w:before="0"/>
            </w:pPr>
          </w:p>
        </w:tc>
        <w:tc>
          <w:tcPr>
            <w:tcW w:w="3007" w:type="dxa"/>
            <w:gridSpan w:val="2"/>
            <w:tcBorders>
              <w:bottom w:val="single" w:sz="12" w:space="0" w:color="auto"/>
            </w:tcBorders>
          </w:tcPr>
          <w:p w:rsidR="00595780" w:rsidRDefault="00595780" w:rsidP="00E338F5">
            <w:pPr>
              <w:spacing w:before="0"/>
            </w:pP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  <w:tcBorders>
              <w:top w:val="single" w:sz="12" w:space="0" w:color="auto"/>
            </w:tcBorders>
          </w:tcPr>
          <w:p w:rsidR="00595780" w:rsidRDefault="00595780" w:rsidP="00E338F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Pr="002074EC" w:rsidRDefault="00595780" w:rsidP="00E338F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C26BA2" w:rsidTr="00530525">
        <w:trPr>
          <w:cantSplit/>
        </w:trPr>
        <w:tc>
          <w:tcPr>
            <w:tcW w:w="6804" w:type="dxa"/>
            <w:gridSpan w:val="2"/>
          </w:tcPr>
          <w:p w:rsidR="00C26BA2" w:rsidRDefault="00C26BA2" w:rsidP="00E338F5">
            <w:pPr>
              <w:spacing w:before="0"/>
            </w:pPr>
            <w:r w:rsidRPr="00930FFD">
              <w:rPr>
                <w:rFonts w:ascii="Verdana" w:hAnsi="Verdana"/>
                <w:b/>
                <w:sz w:val="20"/>
                <w:lang w:val="en-US"/>
              </w:rPr>
              <w:t>SÉANCE PLÉNIÈRE</w:t>
            </w:r>
          </w:p>
        </w:tc>
        <w:tc>
          <w:tcPr>
            <w:tcW w:w="3007" w:type="dxa"/>
            <w:gridSpan w:val="2"/>
          </w:tcPr>
          <w:p w:rsidR="00C26BA2" w:rsidRPr="002A6F8F" w:rsidRDefault="00C26BA2" w:rsidP="00E338F5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Addendum 10 au</w:t>
            </w:r>
            <w:r>
              <w:rPr>
                <w:rFonts w:ascii="Verdana" w:hAnsi="Verdana"/>
                <w:b/>
                <w:sz w:val="20"/>
                <w:lang w:val="en-US"/>
              </w:rPr>
              <w:br/>
              <w:t>Document 44</w:t>
            </w:r>
            <w:r w:rsidRPr="00D6112A">
              <w:rPr>
                <w:rFonts w:ascii="Verdana" w:hAnsi="Verdana"/>
                <w:b/>
                <w:sz w:val="20"/>
                <w:lang w:val="en-US"/>
              </w:rPr>
              <w:t>-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>F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E338F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E338F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3 </w:t>
            </w:r>
            <w:r w:rsidRPr="005715BE">
              <w:rPr>
                <w:rFonts w:ascii="Verdana" w:hAnsi="Verdana"/>
                <w:b/>
                <w:sz w:val="20"/>
                <w:lang w:val="fr-FR"/>
              </w:rPr>
              <w:t>octobre</w:t>
            </w: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 2016</w:t>
            </w:r>
          </w:p>
        </w:tc>
      </w:tr>
      <w:tr w:rsidR="001D581B" w:rsidTr="00530525">
        <w:trPr>
          <w:cantSplit/>
        </w:trPr>
        <w:tc>
          <w:tcPr>
            <w:tcW w:w="6804" w:type="dxa"/>
            <w:gridSpan w:val="2"/>
          </w:tcPr>
          <w:p w:rsidR="00595780" w:rsidRDefault="00595780" w:rsidP="00E338F5">
            <w:pPr>
              <w:spacing w:before="0"/>
            </w:pPr>
          </w:p>
        </w:tc>
        <w:tc>
          <w:tcPr>
            <w:tcW w:w="3007" w:type="dxa"/>
            <w:gridSpan w:val="2"/>
          </w:tcPr>
          <w:p w:rsidR="00595780" w:rsidRDefault="00C26BA2" w:rsidP="00E338F5">
            <w:pPr>
              <w:spacing w:before="0"/>
            </w:pPr>
            <w:r w:rsidRPr="002A6F8F">
              <w:rPr>
                <w:rFonts w:ascii="Verdana" w:hAnsi="Verdana"/>
                <w:b/>
                <w:sz w:val="20"/>
                <w:lang w:val="en-US"/>
              </w:rPr>
              <w:t xml:space="preserve">Original: </w:t>
            </w:r>
            <w:r w:rsidRPr="005715BE">
              <w:rPr>
                <w:rFonts w:ascii="Verdana" w:hAnsi="Verdana"/>
                <w:b/>
                <w:sz w:val="20"/>
                <w:lang w:val="fr-FR"/>
              </w:rPr>
              <w:t>anglais</w:t>
            </w:r>
          </w:p>
        </w:tc>
      </w:tr>
      <w:tr w:rsidR="000032AD" w:rsidTr="00530525">
        <w:trPr>
          <w:cantSplit/>
        </w:trPr>
        <w:tc>
          <w:tcPr>
            <w:tcW w:w="9811" w:type="dxa"/>
            <w:gridSpan w:val="4"/>
          </w:tcPr>
          <w:p w:rsidR="000032AD" w:rsidRPr="002074EC" w:rsidRDefault="000032AD" w:rsidP="00E338F5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595780" w:rsidRPr="0098225A" w:rsidTr="00530525">
        <w:trPr>
          <w:cantSplit/>
        </w:trPr>
        <w:tc>
          <w:tcPr>
            <w:tcW w:w="9811" w:type="dxa"/>
            <w:gridSpan w:val="4"/>
          </w:tcPr>
          <w:p w:rsidR="00595780" w:rsidRPr="00711253" w:rsidRDefault="00C26BA2" w:rsidP="00E338F5">
            <w:pPr>
              <w:pStyle w:val="Source"/>
              <w:rPr>
                <w:lang w:val="fr-FR"/>
              </w:rPr>
            </w:pPr>
            <w:r w:rsidRPr="00711253">
              <w:rPr>
                <w:lang w:val="fr-FR"/>
              </w:rPr>
              <w:t>Administrations des pays membres de la Télécommunauté Asie-Pacifique</w:t>
            </w:r>
          </w:p>
        </w:tc>
      </w:tr>
      <w:tr w:rsidR="00595780" w:rsidRPr="0098225A" w:rsidTr="00530525">
        <w:trPr>
          <w:cantSplit/>
        </w:trPr>
        <w:tc>
          <w:tcPr>
            <w:tcW w:w="9811" w:type="dxa"/>
            <w:gridSpan w:val="4"/>
          </w:tcPr>
          <w:p w:rsidR="00595780" w:rsidRPr="009B2540" w:rsidRDefault="009B2540" w:rsidP="0098225A">
            <w:pPr>
              <w:pStyle w:val="Title1"/>
              <w:rPr>
                <w:lang w:val="fr-CH"/>
              </w:rPr>
            </w:pPr>
            <w:r w:rsidRPr="00DD5667">
              <w:rPr>
                <w:lang w:val="fr-CH"/>
              </w:rPr>
              <w:t>Proposition de nouvelle R</w:t>
            </w:r>
            <w:r w:rsidR="0098225A">
              <w:rPr>
                <w:lang w:val="fr-CH"/>
              </w:rPr>
              <w:t>é</w:t>
            </w:r>
            <w:r w:rsidRPr="00DD5667">
              <w:rPr>
                <w:lang w:val="fr-CH"/>
              </w:rPr>
              <w:t xml:space="preserve">solution </w:t>
            </w:r>
            <w:r w:rsidR="002F0006">
              <w:rPr>
                <w:lang w:val="fr-CH"/>
              </w:rPr>
              <w:t xml:space="preserve">[APT-1] </w:t>
            </w:r>
            <w:r w:rsidR="002F0006" w:rsidRPr="002F0006">
              <w:rPr>
                <w:lang w:val="fr-CH"/>
              </w:rPr>
              <w:t>–</w:t>
            </w:r>
            <w:r w:rsidR="00166C9A">
              <w:rPr>
                <w:lang w:val="fr-CH"/>
              </w:rPr>
              <w:t xml:space="preserve"> </w:t>
            </w:r>
            <w:r w:rsidR="002F0006">
              <w:rPr>
                <w:lang w:val="fr-CH"/>
              </w:rPr>
              <w:t xml:space="preserve">ENCOURAGER </w:t>
            </w:r>
            <w:r w:rsidRPr="00DD5667">
              <w:rPr>
                <w:lang w:val="fr-CH"/>
              </w:rPr>
              <w:t>les</w:t>
            </w:r>
            <w:r w:rsidR="002F0006">
              <w:rPr>
                <w:lang w:val="fr-CH"/>
              </w:rPr>
              <w:t> TRAVAUX</w:t>
            </w:r>
            <w:r w:rsidRPr="00DD5667">
              <w:rPr>
                <w:lang w:val="fr-CH"/>
              </w:rPr>
              <w:t xml:space="preserve"> de normalisation à l</w:t>
            </w:r>
            <w:r w:rsidR="00331214">
              <w:rPr>
                <w:lang w:val="fr-CH"/>
              </w:rPr>
              <w:t>'</w:t>
            </w:r>
            <w:r w:rsidR="000F2F97">
              <w:rPr>
                <w:lang w:val="fr-CH"/>
              </w:rPr>
              <w:t>UIT</w:t>
            </w:r>
            <w:r w:rsidR="000F2F97">
              <w:rPr>
                <w:lang w:val="fr-CH"/>
              </w:rPr>
              <w:noBreakHyphen/>
              <w:t>T</w:t>
            </w:r>
            <w:r w:rsidR="007D2933">
              <w:rPr>
                <w:lang w:val="fr-CH"/>
              </w:rPr>
              <w:t xml:space="preserve"> </w:t>
            </w:r>
            <w:r w:rsidRPr="00DD5667">
              <w:rPr>
                <w:lang w:val="fr-CH"/>
              </w:rPr>
              <w:t>concernant les télécommunications mobiles internationales</w:t>
            </w:r>
            <w:r w:rsidR="007D2933">
              <w:rPr>
                <w:lang w:val="fr-CH"/>
              </w:rPr>
              <w:t xml:space="preserve"> </w:t>
            </w:r>
          </w:p>
        </w:tc>
      </w:tr>
      <w:tr w:rsidR="00595780" w:rsidRPr="0098225A" w:rsidTr="00530525">
        <w:trPr>
          <w:cantSplit/>
        </w:trPr>
        <w:tc>
          <w:tcPr>
            <w:tcW w:w="9811" w:type="dxa"/>
            <w:gridSpan w:val="4"/>
          </w:tcPr>
          <w:p w:rsidR="00595780" w:rsidRPr="009B2540" w:rsidRDefault="00595780" w:rsidP="00E338F5">
            <w:pPr>
              <w:pStyle w:val="Title2"/>
              <w:rPr>
                <w:lang w:val="fr-CH"/>
              </w:rPr>
            </w:pPr>
          </w:p>
        </w:tc>
      </w:tr>
      <w:tr w:rsidR="00C26BA2" w:rsidRPr="0098225A" w:rsidTr="00530525">
        <w:trPr>
          <w:cantSplit/>
        </w:trPr>
        <w:tc>
          <w:tcPr>
            <w:tcW w:w="9811" w:type="dxa"/>
            <w:gridSpan w:val="4"/>
          </w:tcPr>
          <w:p w:rsidR="00C26BA2" w:rsidRPr="009B2540" w:rsidRDefault="00C26BA2" w:rsidP="00E338F5">
            <w:pPr>
              <w:pStyle w:val="Agendaitem"/>
              <w:rPr>
                <w:lang w:val="fr-CH"/>
              </w:rPr>
            </w:pPr>
          </w:p>
        </w:tc>
      </w:tr>
    </w:tbl>
    <w:p w:rsidR="00E11197" w:rsidRPr="009B2540" w:rsidRDefault="00E11197" w:rsidP="00E338F5">
      <w:pPr>
        <w:rPr>
          <w:lang w:val="fr-CH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E11197" w:rsidRPr="0098225A" w:rsidTr="00711253">
        <w:trPr>
          <w:cantSplit/>
        </w:trPr>
        <w:tc>
          <w:tcPr>
            <w:tcW w:w="1912" w:type="dxa"/>
          </w:tcPr>
          <w:p w:rsidR="00E11197" w:rsidRPr="00426748" w:rsidRDefault="00E11197" w:rsidP="00E338F5">
            <w:r>
              <w:rPr>
                <w:b/>
                <w:bCs/>
              </w:rPr>
              <w:t>Résumé</w:t>
            </w:r>
            <w:r w:rsidRPr="008F7104">
              <w:rPr>
                <w:b/>
                <w:bCs/>
              </w:rPr>
              <w:t>:</w:t>
            </w:r>
          </w:p>
        </w:tc>
        <w:sdt>
          <w:sdtPr>
            <w:rPr>
              <w:lang w:val="fr-CH"/>
            </w:rPr>
            <w:alias w:val="Abstract"/>
            <w:tag w:val="Abstract"/>
            <w:id w:val="-519711057"/>
            <w:placeholder>
              <w:docPart w:val="A0E745BEEE9F419F86EEA3D133F44AB1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899" w:type="dxa"/>
              </w:tcPr>
              <w:p w:rsidR="00E11197" w:rsidRPr="009B2540" w:rsidRDefault="009B2540" w:rsidP="00C5228E">
                <w:pPr>
                  <w:rPr>
                    <w:color w:val="000000" w:themeColor="text1"/>
                    <w:lang w:val="fr-CH"/>
                  </w:rPr>
                </w:pPr>
                <w:r w:rsidRPr="009B2540">
                  <w:rPr>
                    <w:lang w:val="fr-CH"/>
                  </w:rPr>
                  <w:t xml:space="preserve">Dans le présent document, les </w:t>
                </w:r>
                <w:r w:rsidR="002F0006" w:rsidRPr="009B2540">
                  <w:rPr>
                    <w:lang w:val="fr-CH"/>
                  </w:rPr>
                  <w:t xml:space="preserve">Administrations </w:t>
                </w:r>
                <w:r w:rsidRPr="009B2540">
                  <w:rPr>
                    <w:lang w:val="fr-CH"/>
                  </w:rPr>
                  <w:t>des pays membres de la</w:t>
                </w:r>
                <w:r w:rsidR="007D2933">
                  <w:rPr>
                    <w:lang w:val="fr-CH"/>
                  </w:rPr>
                  <w:t xml:space="preserve"> </w:t>
                </w:r>
                <w:r w:rsidRPr="009B2540">
                  <w:rPr>
                    <w:lang w:val="fr-CH"/>
                  </w:rPr>
                  <w:t xml:space="preserve">Télécommunauté Asie-Pacifique soumettent une proposition de nouvelle </w:t>
                </w:r>
                <w:r w:rsidR="00DC3000" w:rsidRPr="009B2540">
                  <w:rPr>
                    <w:lang w:val="fr-CH"/>
                  </w:rPr>
                  <w:t>Résolution</w:t>
                </w:r>
                <w:r w:rsidR="000F2F97">
                  <w:rPr>
                    <w:lang w:val="fr-CH"/>
                  </w:rPr>
                  <w:t xml:space="preserve"> </w:t>
                </w:r>
                <w:r w:rsidRPr="009B2540">
                  <w:rPr>
                    <w:lang w:val="fr-CH"/>
                  </w:rPr>
                  <w:t>[APT-1]</w:t>
                </w:r>
                <w:r w:rsidR="007D2933">
                  <w:rPr>
                    <w:lang w:val="fr-CH"/>
                  </w:rPr>
                  <w:t xml:space="preserve"> </w:t>
                </w:r>
                <w:r w:rsidRPr="009B2540">
                  <w:rPr>
                    <w:lang w:val="fr-CH"/>
                  </w:rPr>
                  <w:t>int</w:t>
                </w:r>
                <w:r w:rsidR="00DC3000">
                  <w:rPr>
                    <w:lang w:val="fr-CH"/>
                  </w:rPr>
                  <w:t>itulée</w:t>
                </w:r>
                <w:r w:rsidR="003A503A">
                  <w:rPr>
                    <w:lang w:val="fr-CH"/>
                  </w:rPr>
                  <w:t xml:space="preserve"> "</w:t>
                </w:r>
                <w:r w:rsidR="00C5228E">
                  <w:rPr>
                    <w:lang w:val="fr-CH"/>
                  </w:rPr>
                  <w:t>Encourager</w:t>
                </w:r>
                <w:r w:rsidRPr="009B2540">
                  <w:rPr>
                    <w:lang w:val="fr-CH"/>
                  </w:rPr>
                  <w:t xml:space="preserve"> les </w:t>
                </w:r>
                <w:r w:rsidR="00C5228E">
                  <w:rPr>
                    <w:lang w:val="fr-CH"/>
                  </w:rPr>
                  <w:t>travaux</w:t>
                </w:r>
                <w:r w:rsidRPr="009B2540">
                  <w:rPr>
                    <w:lang w:val="fr-CH"/>
                  </w:rPr>
                  <w:t xml:space="preserve"> de normalisation à l</w:t>
                </w:r>
                <w:r w:rsidR="00331214">
                  <w:rPr>
                    <w:lang w:val="fr-CH"/>
                  </w:rPr>
                  <w:t>'</w:t>
                </w:r>
                <w:r w:rsidR="000F2F97">
                  <w:rPr>
                    <w:lang w:val="fr-CH"/>
                  </w:rPr>
                  <w:t>UIT</w:t>
                </w:r>
                <w:r w:rsidR="000F2F97">
                  <w:rPr>
                    <w:lang w:val="fr-CH"/>
                  </w:rPr>
                  <w:noBreakHyphen/>
                  <w:t>T</w:t>
                </w:r>
                <w:r w:rsidR="007D2933">
                  <w:rPr>
                    <w:lang w:val="fr-CH"/>
                  </w:rPr>
                  <w:t xml:space="preserve"> </w:t>
                </w:r>
                <w:r w:rsidRPr="009B2540">
                  <w:rPr>
                    <w:lang w:val="fr-CH"/>
                  </w:rPr>
                  <w:t xml:space="preserve">concernant les </w:t>
                </w:r>
                <w:r w:rsidR="008745F8" w:rsidRPr="009B2540">
                  <w:rPr>
                    <w:lang w:val="fr-CH"/>
                  </w:rPr>
                  <w:t xml:space="preserve">Télécommunications </w:t>
                </w:r>
                <w:r w:rsidRPr="009B2540">
                  <w:rPr>
                    <w:lang w:val="fr-CH"/>
                  </w:rPr>
                  <w:t>mobiles internationales</w:t>
                </w:r>
                <w:r w:rsidR="003A503A">
                  <w:rPr>
                    <w:lang w:val="fr-CH"/>
                  </w:rPr>
                  <w:t>"</w:t>
                </w:r>
                <w:r w:rsidR="0098225A">
                  <w:rPr>
                    <w:lang w:val="fr-CH"/>
                  </w:rPr>
                  <w:t>.</w:t>
                </w:r>
              </w:p>
            </w:tc>
          </w:sdtContent>
        </w:sdt>
      </w:tr>
    </w:tbl>
    <w:p w:rsidR="00711253" w:rsidRPr="00D92522" w:rsidRDefault="00711253" w:rsidP="00E338F5">
      <w:pPr>
        <w:pStyle w:val="Headingb"/>
        <w:rPr>
          <w:lang w:val="fr-FR"/>
        </w:rPr>
      </w:pPr>
      <w:r w:rsidRPr="00D92522">
        <w:rPr>
          <w:lang w:val="fr-FR"/>
        </w:rPr>
        <w:t>Introduction</w:t>
      </w:r>
    </w:p>
    <w:p w:rsidR="00711253" w:rsidRPr="00205EB9" w:rsidRDefault="009B2540" w:rsidP="001116E7">
      <w:pPr>
        <w:rPr>
          <w:rFonts w:ascii="Calibri" w:hAnsi="Calibri"/>
          <w:bCs/>
          <w:sz w:val="22"/>
          <w:lang w:val="fr-CH"/>
        </w:rPr>
      </w:pPr>
      <w:r w:rsidRPr="009B2540">
        <w:rPr>
          <w:lang w:val="fr-FR"/>
        </w:rPr>
        <w:t>En 2012, l</w:t>
      </w:r>
      <w:r w:rsidR="00331214">
        <w:rPr>
          <w:lang w:val="fr-FR"/>
        </w:rPr>
        <w:t>'</w:t>
      </w:r>
      <w:r w:rsidRPr="009B2540">
        <w:rPr>
          <w:lang w:val="fr-FR"/>
        </w:rPr>
        <w:t>UIT</w:t>
      </w:r>
      <w:r w:rsidR="007D2933">
        <w:rPr>
          <w:lang w:val="fr-FR"/>
        </w:rPr>
        <w:t xml:space="preserve"> </w:t>
      </w:r>
      <w:r w:rsidR="004711C9" w:rsidRPr="004711C9">
        <w:rPr>
          <w:lang w:val="fr-FR"/>
        </w:rPr>
        <w:t xml:space="preserve">a mis en place un programme sur les </w:t>
      </w:r>
      <w:hyperlink r:id="rId12" w:history="1">
        <w:r w:rsidR="004711C9" w:rsidRPr="004711C9">
          <w:rPr>
            <w:lang w:val="fr-FR"/>
          </w:rPr>
          <w:t xml:space="preserve">Télécommunications mobiles internationales </w:t>
        </w:r>
        <w:r w:rsidR="001116E7" w:rsidRPr="001116E7">
          <w:rPr>
            <w:lang w:val="fr-FR"/>
          </w:rPr>
          <w:t xml:space="preserve">à l'horizon 2020 </w:t>
        </w:r>
        <w:r w:rsidR="004711C9" w:rsidRPr="004711C9">
          <w:rPr>
            <w:lang w:val="fr-FR"/>
          </w:rPr>
          <w:t>(IMT</w:t>
        </w:r>
        <w:r w:rsidR="001116E7">
          <w:rPr>
            <w:lang w:val="fr-FR"/>
          </w:rPr>
          <w:noBreakHyphen/>
          <w:t>2020</w:t>
        </w:r>
        <w:r w:rsidR="004711C9" w:rsidRPr="004711C9">
          <w:rPr>
            <w:lang w:val="fr-FR"/>
          </w:rPr>
          <w:t>)</w:t>
        </w:r>
        <w:r w:rsidR="007D2933">
          <w:rPr>
            <w:lang w:val="fr-FR"/>
          </w:rPr>
          <w:t>,</w:t>
        </w:r>
        <w:r>
          <w:rPr>
            <w:lang w:val="fr-FR"/>
          </w:rPr>
          <w:t xml:space="preserve"> afin de faire progresser les</w:t>
        </w:r>
        <w:r w:rsidRPr="009B2540">
          <w:rPr>
            <w:color w:val="000000"/>
            <w:lang w:val="fr-CH"/>
          </w:rPr>
          <w:t xml:space="preserve"> travaux de recherche-développement à </w:t>
        </w:r>
        <w:r>
          <w:rPr>
            <w:lang w:val="fr-FR"/>
          </w:rPr>
          <w:t>l</w:t>
        </w:r>
        <w:r w:rsidR="00331214">
          <w:rPr>
            <w:lang w:val="fr-FR"/>
          </w:rPr>
          <w:t>'</w:t>
        </w:r>
        <w:r>
          <w:rPr>
            <w:lang w:val="fr-FR"/>
          </w:rPr>
          <w:t>échelle mondiale</w:t>
        </w:r>
        <w:r w:rsidR="007D2933">
          <w:rPr>
            <w:lang w:val="fr-FR"/>
          </w:rPr>
          <w:t xml:space="preserve"> </w:t>
        </w:r>
        <w:r>
          <w:rPr>
            <w:lang w:val="fr-FR"/>
          </w:rPr>
          <w:t>en ce qui concerne les IMT</w:t>
        </w:r>
        <w:r w:rsidR="007D2933">
          <w:rPr>
            <w:lang w:val="fr-FR"/>
          </w:rPr>
          <w:t xml:space="preserve">. </w:t>
        </w:r>
      </w:hyperlink>
      <w:r>
        <w:rPr>
          <w:lang w:val="fr-FR"/>
        </w:rPr>
        <w:t>L</w:t>
      </w:r>
      <w:r w:rsidR="00331214">
        <w:rPr>
          <w:lang w:val="fr-FR"/>
        </w:rPr>
        <w:t>'</w:t>
      </w:r>
      <w:r>
        <w:rPr>
          <w:lang w:val="fr-CH"/>
        </w:rPr>
        <w:t xml:space="preserve">UIT-T a confirmé que les travaux de normalisation de ce </w:t>
      </w:r>
      <w:r w:rsidR="007663E2">
        <w:rPr>
          <w:lang w:val="fr-CH"/>
        </w:rPr>
        <w:t>S</w:t>
      </w:r>
      <w:r>
        <w:rPr>
          <w:lang w:val="fr-CH"/>
        </w:rPr>
        <w:t>ecteur en 2015</w:t>
      </w:r>
      <w:r w:rsidR="007663E2">
        <w:rPr>
          <w:lang w:val="fr-CH"/>
        </w:rPr>
        <w:t xml:space="preserve"> seraient axés sur les technologies</w:t>
      </w:r>
      <w:r w:rsidR="007663E2" w:rsidRPr="009B2540">
        <w:rPr>
          <w:lang w:val="fr-CH"/>
        </w:rPr>
        <w:t xml:space="preserve"> 5G</w:t>
      </w:r>
      <w:r w:rsidR="007663E2">
        <w:rPr>
          <w:lang w:val="fr-CH"/>
        </w:rPr>
        <w:t>, les villes intelligentes et l</w:t>
      </w:r>
      <w:r w:rsidR="00331214">
        <w:rPr>
          <w:lang w:val="fr-CH"/>
        </w:rPr>
        <w:t>'</w:t>
      </w:r>
      <w:r w:rsidR="007663E2">
        <w:rPr>
          <w:lang w:val="fr-CH"/>
        </w:rPr>
        <w:t>Internet des objets et</w:t>
      </w:r>
      <w:r w:rsidR="007D2933">
        <w:rPr>
          <w:lang w:val="fr-CH"/>
        </w:rPr>
        <w:t xml:space="preserve"> </w:t>
      </w:r>
      <w:r w:rsidRPr="009B2540">
        <w:rPr>
          <w:color w:val="000000"/>
          <w:lang w:val="fr-CH"/>
        </w:rPr>
        <w:t>une infrastructure des TIC</w:t>
      </w:r>
      <w:r w:rsidRPr="009B2540">
        <w:rPr>
          <w:lang w:val="fr-CH"/>
        </w:rPr>
        <w:t xml:space="preserve"> </w:t>
      </w:r>
      <w:r>
        <w:rPr>
          <w:lang w:val="fr-CH"/>
        </w:rPr>
        <w:t>sécurisé</w:t>
      </w:r>
      <w:r w:rsidR="007663E2">
        <w:rPr>
          <w:lang w:val="fr-CH"/>
        </w:rPr>
        <w:t>e. En outre, il a été décidé de créer une plate-forme ouverte</w:t>
      </w:r>
      <w:r w:rsidR="007D2933">
        <w:rPr>
          <w:lang w:val="fr-CH"/>
        </w:rPr>
        <w:t xml:space="preserve"> </w:t>
      </w:r>
      <w:r w:rsidR="00205EB9">
        <w:rPr>
          <w:lang w:val="fr-CH"/>
        </w:rPr>
        <w:t>pour faire progresser les travaux sur les</w:t>
      </w:r>
      <w:r w:rsidR="007D2933">
        <w:rPr>
          <w:lang w:val="fr-CH"/>
        </w:rPr>
        <w:t xml:space="preserve"> 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="00711253" w:rsidRPr="00205EB9">
        <w:rPr>
          <w:lang w:val="fr-CH"/>
        </w:rPr>
        <w:t>/</w:t>
      </w:r>
      <w:r w:rsidR="00205EB9">
        <w:rPr>
          <w:lang w:val="fr-CH"/>
        </w:rPr>
        <w:t xml:space="preserve">la technologie </w:t>
      </w:r>
      <w:r w:rsidR="00711253" w:rsidRPr="00205EB9">
        <w:rPr>
          <w:lang w:val="fr-CH"/>
        </w:rPr>
        <w:t>5G</w:t>
      </w:r>
      <w:r w:rsidR="00000CFE">
        <w:rPr>
          <w:lang w:val="fr-CH"/>
        </w:rPr>
        <w:t>,</w:t>
      </w:r>
      <w:r w:rsidR="007D2933">
        <w:rPr>
          <w:lang w:val="fr-CH"/>
        </w:rPr>
        <w:t xml:space="preserve"> </w:t>
      </w:r>
      <w:r w:rsidR="00205EB9">
        <w:rPr>
          <w:lang w:val="fr-CH"/>
        </w:rPr>
        <w:t xml:space="preserve">pour ce qui est du </w:t>
      </w:r>
      <w:r w:rsidR="007663E2" w:rsidRPr="00205EB9">
        <w:rPr>
          <w:color w:val="000000"/>
          <w:lang w:val="fr-CH"/>
        </w:rPr>
        <w:t>domaine du réseau fixe</w:t>
      </w:r>
      <w:r w:rsidR="00000CFE">
        <w:rPr>
          <w:color w:val="000000"/>
          <w:lang w:val="fr-CH"/>
        </w:rPr>
        <w:t>,</w:t>
      </w:r>
      <w:r w:rsidR="007663E2" w:rsidRPr="00205EB9">
        <w:rPr>
          <w:lang w:val="fr-CH"/>
        </w:rPr>
        <w:t xml:space="preserve"> </w:t>
      </w:r>
      <w:r w:rsidR="00205EB9">
        <w:rPr>
          <w:lang w:val="fr-CH"/>
        </w:rPr>
        <w:t xml:space="preserve">lors de la </w:t>
      </w:r>
      <w:r w:rsidR="007663E2" w:rsidRPr="00205EB9">
        <w:rPr>
          <w:color w:val="000000"/>
          <w:lang w:val="fr-CH"/>
        </w:rPr>
        <w:t>réunion</w:t>
      </w:r>
      <w:r w:rsidR="007D2933">
        <w:rPr>
          <w:color w:val="000000"/>
          <w:lang w:val="fr-CH"/>
        </w:rPr>
        <w:t xml:space="preserve"> </w:t>
      </w:r>
      <w:r w:rsidR="007663E2" w:rsidRPr="00205EB9">
        <w:rPr>
          <w:color w:val="000000"/>
          <w:lang w:val="fr-CH"/>
        </w:rPr>
        <w:t>des directeurs techniques (CTO)</w:t>
      </w:r>
      <w:r w:rsidR="00205EB9">
        <w:rPr>
          <w:lang w:val="fr-CH"/>
        </w:rPr>
        <w:t>/</w:t>
      </w:r>
      <w:r w:rsidR="007663E2" w:rsidRPr="00205EB9">
        <w:rPr>
          <w:lang w:val="fr-CH"/>
        </w:rPr>
        <w:t>CJK organisée par l</w:t>
      </w:r>
      <w:r w:rsidR="00331214">
        <w:rPr>
          <w:lang w:val="fr-CH"/>
        </w:rPr>
        <w:t>'</w:t>
      </w:r>
      <w:r w:rsidRPr="00205EB9">
        <w:rPr>
          <w:lang w:val="fr-CH"/>
        </w:rPr>
        <w:t>UIT-T</w:t>
      </w:r>
      <w:r w:rsidR="00711253" w:rsidRPr="00205EB9">
        <w:rPr>
          <w:lang w:val="fr-CH"/>
        </w:rPr>
        <w:t xml:space="preserve"> </w:t>
      </w:r>
      <w:r w:rsidR="007663E2" w:rsidRPr="00205EB9">
        <w:rPr>
          <w:lang w:val="fr-CH"/>
        </w:rPr>
        <w:t>en Corée le 14 avril 2016</w:t>
      </w:r>
      <w:r w:rsidR="00CE2696">
        <w:rPr>
          <w:lang w:val="fr-CH"/>
        </w:rPr>
        <w:t xml:space="preserve">. </w:t>
      </w:r>
    </w:p>
    <w:p w:rsidR="00711253" w:rsidRPr="00F361D8" w:rsidRDefault="00205EB9" w:rsidP="00D35C5D">
      <w:pPr>
        <w:rPr>
          <w:lang w:val="fr-CH"/>
        </w:rPr>
      </w:pPr>
      <w:r w:rsidRPr="00205EB9">
        <w:rPr>
          <w:lang w:val="fr-CH"/>
        </w:rPr>
        <w:t xml:space="preserve">En </w:t>
      </w:r>
      <w:r w:rsidR="00000CFE" w:rsidRPr="00205EB9">
        <w:rPr>
          <w:lang w:val="fr-CH"/>
        </w:rPr>
        <w:t xml:space="preserve">mai </w:t>
      </w:r>
      <w:r w:rsidR="00711253" w:rsidRPr="00205EB9">
        <w:rPr>
          <w:lang w:val="fr-CH"/>
        </w:rPr>
        <w:t xml:space="preserve">2015, </w:t>
      </w:r>
      <w:r w:rsidRPr="00205EB9">
        <w:rPr>
          <w:lang w:val="fr-CH"/>
        </w:rPr>
        <w:t xml:space="preserve">la </w:t>
      </w:r>
      <w:r w:rsidR="009B2540" w:rsidRPr="00205EB9">
        <w:rPr>
          <w:lang w:val="fr-CH"/>
        </w:rPr>
        <w:t>CE</w:t>
      </w:r>
      <w:r w:rsidR="00F31B1E">
        <w:rPr>
          <w:lang w:val="fr-CH"/>
        </w:rPr>
        <w:t> </w:t>
      </w:r>
      <w:r w:rsidR="00711253" w:rsidRPr="00205EB9">
        <w:rPr>
          <w:lang w:val="fr-CH"/>
        </w:rPr>
        <w:t xml:space="preserve">13 </w:t>
      </w:r>
      <w:r w:rsidRPr="00205EB9">
        <w:rPr>
          <w:lang w:val="fr-CH"/>
        </w:rPr>
        <w:t>de l</w:t>
      </w:r>
      <w:r w:rsidR="00331214">
        <w:rPr>
          <w:lang w:val="fr-CH"/>
        </w:rPr>
        <w:t>'</w:t>
      </w:r>
      <w:r w:rsidRPr="00205EB9">
        <w:rPr>
          <w:lang w:val="fr-CH"/>
        </w:rPr>
        <w:t xml:space="preserve">UIT-T a mis sur pied le </w:t>
      </w:r>
      <w:r w:rsidRPr="00205EB9">
        <w:rPr>
          <w:color w:val="000000"/>
          <w:lang w:val="fr-CH"/>
        </w:rPr>
        <w:t xml:space="preserve">Groupe spécialisé sur les </w:t>
      </w:r>
      <w:r w:rsidR="000F2F97">
        <w:rPr>
          <w:color w:val="000000"/>
          <w:lang w:val="fr-CH"/>
        </w:rPr>
        <w:t>IMT</w:t>
      </w:r>
      <w:r w:rsidR="000F2F97">
        <w:rPr>
          <w:color w:val="000000"/>
          <w:lang w:val="fr-CH"/>
        </w:rPr>
        <w:noBreakHyphen/>
        <w:t>2020</w:t>
      </w:r>
      <w:r w:rsidRPr="00205EB9">
        <w:rPr>
          <w:color w:val="000000"/>
          <w:lang w:val="fr-CH"/>
        </w:rPr>
        <w:t xml:space="preserve"> </w:t>
      </w:r>
      <w:r>
        <w:rPr>
          <w:color w:val="000000"/>
          <w:lang w:val="fr-CH"/>
        </w:rPr>
        <w:t>(</w:t>
      </w:r>
      <w:r w:rsidR="00711253" w:rsidRPr="00205EB9">
        <w:rPr>
          <w:lang w:val="fr-CH"/>
        </w:rPr>
        <w:t>FG</w:t>
      </w:r>
      <w:r w:rsidR="00000CFE">
        <w:rPr>
          <w:lang w:val="fr-CH"/>
        </w:rPr>
        <w:t> 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>
        <w:rPr>
          <w:lang w:val="fr-CH"/>
        </w:rPr>
        <w:t>), pour faire avancer les travaux de normalisation</w:t>
      </w:r>
      <w:r w:rsidR="007D2933">
        <w:rPr>
          <w:lang w:val="fr-CH"/>
        </w:rPr>
        <w:t xml:space="preserve"> </w:t>
      </w:r>
      <w:r>
        <w:rPr>
          <w:lang w:val="fr-CH"/>
        </w:rPr>
        <w:t>à l</w:t>
      </w:r>
      <w:r w:rsidR="00331214">
        <w:rPr>
          <w:lang w:val="fr-CH"/>
        </w:rPr>
        <w:t>'</w:t>
      </w:r>
      <w:r>
        <w:rPr>
          <w:lang w:val="fr-CH"/>
        </w:rPr>
        <w:t xml:space="preserve">échelle internationale concernant les réseaux </w:t>
      </w:r>
      <w:r w:rsidR="00711253" w:rsidRPr="00205EB9">
        <w:rPr>
          <w:lang w:val="fr-CH"/>
        </w:rPr>
        <w:t xml:space="preserve">5G </w:t>
      </w:r>
      <w:r>
        <w:rPr>
          <w:lang w:val="fr-CH"/>
        </w:rPr>
        <w:t>et pour collaborer avec d</w:t>
      </w:r>
      <w:r w:rsidR="00331214">
        <w:rPr>
          <w:lang w:val="fr-CH"/>
        </w:rPr>
        <w:t>'</w:t>
      </w:r>
      <w:r>
        <w:rPr>
          <w:lang w:val="fr-CH"/>
        </w:rPr>
        <w:t>autres organisations de normalisation</w:t>
      </w:r>
      <w:r w:rsidR="00000CFE">
        <w:rPr>
          <w:lang w:val="fr-CH"/>
        </w:rPr>
        <w:t>,</w:t>
      </w:r>
      <w:r>
        <w:rPr>
          <w:lang w:val="fr-CH"/>
        </w:rPr>
        <w:t xml:space="preserve"> telles que le </w:t>
      </w:r>
      <w:r w:rsidR="00711253" w:rsidRPr="00205EB9">
        <w:rPr>
          <w:lang w:val="fr-CH"/>
        </w:rPr>
        <w:t>3GPP, etc.,</w:t>
      </w:r>
      <w:r>
        <w:rPr>
          <w:lang w:val="fr-CH"/>
        </w:rPr>
        <w:t xml:space="preserve"> afin d</w:t>
      </w:r>
      <w:r w:rsidR="00331214">
        <w:rPr>
          <w:lang w:val="fr-CH"/>
        </w:rPr>
        <w:t>'</w:t>
      </w:r>
      <w:r>
        <w:rPr>
          <w:lang w:val="fr-CH"/>
        </w:rPr>
        <w:t>éviter tout chevauchement d</w:t>
      </w:r>
      <w:r w:rsidR="00331214">
        <w:rPr>
          <w:lang w:val="fr-CH"/>
        </w:rPr>
        <w:t>'</w:t>
      </w:r>
      <w:r>
        <w:rPr>
          <w:lang w:val="fr-CH"/>
        </w:rPr>
        <w:t>activité</w:t>
      </w:r>
      <w:r w:rsidR="007D2933">
        <w:rPr>
          <w:lang w:val="fr-CH"/>
        </w:rPr>
        <w:t xml:space="preserve"> </w:t>
      </w:r>
      <w:r>
        <w:rPr>
          <w:lang w:val="fr-CH"/>
        </w:rPr>
        <w:t>et toute répétition des tâches</w:t>
      </w:r>
      <w:r w:rsidR="007D2933">
        <w:rPr>
          <w:lang w:val="fr-CH"/>
        </w:rPr>
        <w:t>.</w:t>
      </w:r>
      <w:r w:rsidR="00711253" w:rsidRPr="00205EB9">
        <w:rPr>
          <w:lang w:val="fr-CH"/>
        </w:rPr>
        <w:t xml:space="preserve"> </w:t>
      </w:r>
      <w:r w:rsidR="003846CA" w:rsidRPr="00205EB9">
        <w:rPr>
          <w:lang w:val="fr-CH"/>
        </w:rPr>
        <w:t>Le</w:t>
      </w:r>
      <w:r w:rsidR="003846CA">
        <w:rPr>
          <w:lang w:val="fr-CH"/>
        </w:rPr>
        <w:t xml:space="preserve"> </w:t>
      </w:r>
      <w:r w:rsidR="003846CA" w:rsidRPr="00205EB9">
        <w:rPr>
          <w:lang w:val="fr-CH"/>
        </w:rPr>
        <w:t xml:space="preserve">Groupe </w:t>
      </w:r>
      <w:r w:rsidRPr="00205EB9">
        <w:rPr>
          <w:lang w:val="fr-CH"/>
        </w:rPr>
        <w:t xml:space="preserve">spécialisé sur les 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Pr="00205EB9">
        <w:rPr>
          <w:lang w:val="fr-CH"/>
        </w:rPr>
        <w:t xml:space="preserve"> de l</w:t>
      </w:r>
      <w:r w:rsidR="00331214">
        <w:rPr>
          <w:lang w:val="fr-CH"/>
        </w:rPr>
        <w:t>'</w:t>
      </w:r>
      <w:r w:rsidRPr="00205EB9">
        <w:rPr>
          <w:lang w:val="fr-CH"/>
        </w:rPr>
        <w:t>UIT-T</w:t>
      </w:r>
      <w:r>
        <w:rPr>
          <w:lang w:val="fr-CH"/>
        </w:rPr>
        <w:t xml:space="preserve"> a achevé </w:t>
      </w:r>
      <w:r w:rsidRPr="00205EB9">
        <w:rPr>
          <w:color w:val="000000"/>
          <w:lang w:val="fr-CH"/>
        </w:rPr>
        <w:t>l</w:t>
      </w:r>
      <w:r w:rsidR="00331214">
        <w:rPr>
          <w:color w:val="000000"/>
          <w:lang w:val="fr-CH"/>
        </w:rPr>
        <w:t>'</w:t>
      </w:r>
      <w:r w:rsidRPr="00205EB9">
        <w:rPr>
          <w:color w:val="000000"/>
          <w:lang w:val="fr-CH"/>
        </w:rPr>
        <w:t>analyse des lacunes</w:t>
      </w:r>
      <w:r>
        <w:rPr>
          <w:color w:val="000000"/>
          <w:lang w:val="fr-CH"/>
        </w:rPr>
        <w:t xml:space="preserve"> </w:t>
      </w:r>
      <w:r w:rsidR="003846CA">
        <w:rPr>
          <w:color w:val="000000"/>
          <w:lang w:val="fr-CH"/>
        </w:rPr>
        <w:t xml:space="preserve">constatées dans les travaux de </w:t>
      </w:r>
      <w:r>
        <w:rPr>
          <w:color w:val="000000"/>
          <w:lang w:val="fr-CH"/>
        </w:rPr>
        <w:t xml:space="preserve">normalisation </w:t>
      </w:r>
      <w:r w:rsidR="003846CA">
        <w:rPr>
          <w:color w:val="000000"/>
          <w:lang w:val="fr-CH"/>
        </w:rPr>
        <w:t>sur l</w:t>
      </w:r>
      <w:r>
        <w:rPr>
          <w:color w:val="000000"/>
          <w:lang w:val="fr-CH"/>
        </w:rPr>
        <w:t>es technologies</w:t>
      </w:r>
      <w:r w:rsidR="007D2933">
        <w:rPr>
          <w:lang w:val="fr-CH"/>
        </w:rPr>
        <w:t xml:space="preserve"> </w:t>
      </w:r>
      <w:r w:rsidR="00711253" w:rsidRPr="00205EB9">
        <w:rPr>
          <w:lang w:val="fr-CH"/>
        </w:rPr>
        <w:t>5G</w:t>
      </w:r>
      <w:r>
        <w:rPr>
          <w:lang w:val="fr-CH"/>
        </w:rPr>
        <w:t xml:space="preserve"> </w:t>
      </w:r>
      <w:r w:rsidR="003846CA">
        <w:rPr>
          <w:lang w:val="fr-CH"/>
        </w:rPr>
        <w:t>menés par les</w:t>
      </w:r>
      <w:r>
        <w:rPr>
          <w:lang w:val="fr-CH"/>
        </w:rPr>
        <w:t xml:space="preserve"> organisations de normalisation concernées</w:t>
      </w:r>
      <w:r w:rsidR="003846CA">
        <w:rPr>
          <w:lang w:val="fr-CH"/>
        </w:rPr>
        <w:t>,</w:t>
      </w:r>
      <w:r>
        <w:rPr>
          <w:lang w:val="fr-CH"/>
        </w:rPr>
        <w:t xml:space="preserve"> et a également entrepris des travaux de recherche</w:t>
      </w:r>
      <w:r w:rsidR="007D2933">
        <w:rPr>
          <w:lang w:val="fr-CH"/>
        </w:rPr>
        <w:t xml:space="preserve"> </w:t>
      </w:r>
      <w:r w:rsidR="00671CFB">
        <w:rPr>
          <w:lang w:val="fr-CH"/>
        </w:rPr>
        <w:t>sur les technologies</w:t>
      </w:r>
      <w:r w:rsidR="007D2933">
        <w:rPr>
          <w:lang w:val="fr-CH"/>
        </w:rPr>
        <w:t xml:space="preserve"> </w:t>
      </w:r>
      <w:r w:rsidR="00711253" w:rsidRPr="00205EB9">
        <w:rPr>
          <w:lang w:val="fr-CH"/>
        </w:rPr>
        <w:t xml:space="preserve">5G </w:t>
      </w:r>
      <w:r w:rsidR="00671CFB">
        <w:rPr>
          <w:lang w:val="fr-CH"/>
        </w:rPr>
        <w:t>ainsi que des travaux de normalisation</w:t>
      </w:r>
      <w:r w:rsidR="007D2933">
        <w:rPr>
          <w:lang w:val="fr-CH"/>
        </w:rPr>
        <w:t xml:space="preserve"> </w:t>
      </w:r>
      <w:r w:rsidR="00671CFB" w:rsidRPr="00671CFB">
        <w:rPr>
          <w:color w:val="000000"/>
          <w:lang w:val="fr-CH"/>
        </w:rPr>
        <w:t xml:space="preserve">sur les </w:t>
      </w:r>
      <w:r w:rsidR="00671CFB">
        <w:rPr>
          <w:color w:val="000000"/>
          <w:lang w:val="fr-CH"/>
        </w:rPr>
        <w:t xml:space="preserve">techniques de réseaux pour les </w:t>
      </w:r>
      <w:r w:rsidR="00671CFB" w:rsidRPr="00671CFB">
        <w:rPr>
          <w:color w:val="000000"/>
          <w:lang w:val="fr-CH"/>
        </w:rPr>
        <w:t>éléments non radioélectrique</w:t>
      </w:r>
      <w:r w:rsidR="00671CFB">
        <w:rPr>
          <w:color w:val="000000"/>
          <w:lang w:val="fr-CH"/>
        </w:rPr>
        <w:t xml:space="preserve">s. </w:t>
      </w:r>
      <w:r w:rsidR="00671CFB" w:rsidRPr="00671CFB">
        <w:rPr>
          <w:color w:val="000000"/>
          <w:lang w:val="fr-CH"/>
        </w:rPr>
        <w:t>En outre, le</w:t>
      </w:r>
      <w:r w:rsidR="007D2933">
        <w:rPr>
          <w:lang w:val="fr-CH"/>
        </w:rPr>
        <w:t xml:space="preserve"> </w:t>
      </w:r>
      <w:r w:rsidR="003846CA" w:rsidRPr="00671CFB">
        <w:rPr>
          <w:lang w:val="fr-CH"/>
        </w:rPr>
        <w:t xml:space="preserve">Groupe </w:t>
      </w:r>
      <w:r w:rsidRPr="00671CFB">
        <w:rPr>
          <w:lang w:val="fr-CH"/>
        </w:rPr>
        <w:t xml:space="preserve">spécialisé sur les 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Pr="00671CFB">
        <w:rPr>
          <w:lang w:val="fr-CH"/>
        </w:rPr>
        <w:t xml:space="preserve"> de l</w:t>
      </w:r>
      <w:r w:rsidR="00331214">
        <w:rPr>
          <w:lang w:val="fr-CH"/>
        </w:rPr>
        <w:t>'</w:t>
      </w:r>
      <w:r w:rsidRPr="00671CFB">
        <w:rPr>
          <w:lang w:val="fr-CH"/>
        </w:rPr>
        <w:t>UIT-T</w:t>
      </w:r>
      <w:r w:rsidR="00671CFB" w:rsidRPr="00671CFB">
        <w:rPr>
          <w:lang w:val="fr-CH"/>
        </w:rPr>
        <w:t xml:space="preserve"> a</w:t>
      </w:r>
      <w:r w:rsidR="007D2933">
        <w:rPr>
          <w:lang w:val="fr-CH"/>
        </w:rPr>
        <w:t xml:space="preserve"> </w:t>
      </w:r>
      <w:r w:rsidR="005E1BB5">
        <w:rPr>
          <w:lang w:val="fr-CH"/>
        </w:rPr>
        <w:t>commencé à travailler en</w:t>
      </w:r>
      <w:r w:rsidR="00671CFB" w:rsidRPr="00671CFB">
        <w:rPr>
          <w:lang w:val="fr-CH"/>
        </w:rPr>
        <w:t xml:space="preserve"> coopération avec </w:t>
      </w:r>
      <w:r w:rsidR="00671CFB" w:rsidRPr="00671CFB">
        <w:rPr>
          <w:lang w:val="fr-CH"/>
        </w:rPr>
        <w:lastRenderedPageBreak/>
        <w:t>d</w:t>
      </w:r>
      <w:r w:rsidR="00331214">
        <w:rPr>
          <w:lang w:val="fr-CH"/>
        </w:rPr>
        <w:t>'</w:t>
      </w:r>
      <w:r w:rsidR="00671CFB" w:rsidRPr="00671CFB">
        <w:rPr>
          <w:lang w:val="fr-CH"/>
        </w:rPr>
        <w:t>autres instances internationales</w:t>
      </w:r>
      <w:r w:rsidR="007D2933">
        <w:rPr>
          <w:lang w:val="fr-CH"/>
        </w:rPr>
        <w:t xml:space="preserve"> </w:t>
      </w:r>
      <w:r w:rsidR="00BD7246">
        <w:rPr>
          <w:lang w:val="fr-CH"/>
        </w:rPr>
        <w:t>s</w:t>
      </w:r>
      <w:r w:rsidR="00331214">
        <w:rPr>
          <w:lang w:val="fr-CH"/>
        </w:rPr>
        <w:t>'</w:t>
      </w:r>
      <w:r w:rsidR="00671CFB" w:rsidRPr="00671CFB">
        <w:rPr>
          <w:lang w:val="fr-CH"/>
        </w:rPr>
        <w:t xml:space="preserve">occupant de logiciels </w:t>
      </w:r>
      <w:r w:rsidR="00BD7246">
        <w:rPr>
          <w:lang w:val="fr-CH"/>
        </w:rPr>
        <w:t xml:space="preserve">à code source </w:t>
      </w:r>
      <w:r w:rsidR="00671CFB" w:rsidRPr="00671CFB">
        <w:rPr>
          <w:lang w:val="fr-CH"/>
        </w:rPr>
        <w:t>ouvert</w:t>
      </w:r>
      <w:r w:rsidR="005E1BB5">
        <w:rPr>
          <w:lang w:val="fr-CH"/>
        </w:rPr>
        <w:t>,</w:t>
      </w:r>
      <w:r w:rsidR="007D2933">
        <w:rPr>
          <w:lang w:val="fr-CH"/>
        </w:rPr>
        <w:t xml:space="preserve"> </w:t>
      </w:r>
      <w:r w:rsidR="00671CFB">
        <w:rPr>
          <w:lang w:val="fr-CH"/>
        </w:rPr>
        <w:t>sur la mise au point et la démonstration de prototypes, notamment en ce qui concerne l</w:t>
      </w:r>
      <w:r w:rsidR="00331214">
        <w:rPr>
          <w:lang w:val="fr-CH"/>
        </w:rPr>
        <w:t>'</w:t>
      </w:r>
      <w:r w:rsidR="00671CFB">
        <w:rPr>
          <w:lang w:val="fr-CH"/>
        </w:rPr>
        <w:t>architecture des réseaux</w:t>
      </w:r>
      <w:r w:rsidR="007D2933">
        <w:rPr>
          <w:lang w:val="fr-CH"/>
        </w:rPr>
        <w:t xml:space="preserve"> </w:t>
      </w:r>
      <w:r w:rsidR="00711253" w:rsidRPr="00671CFB">
        <w:rPr>
          <w:lang w:val="fr-CH"/>
        </w:rPr>
        <w:t>5G</w:t>
      </w:r>
      <w:r w:rsidR="007D2933">
        <w:rPr>
          <w:lang w:val="fr-CH"/>
        </w:rPr>
        <w:t>,</w:t>
      </w:r>
      <w:r w:rsidR="00711253" w:rsidRPr="00671CFB">
        <w:rPr>
          <w:lang w:val="fr-CH"/>
        </w:rPr>
        <w:t xml:space="preserve"> </w:t>
      </w:r>
      <w:r w:rsidR="00671CFB" w:rsidRPr="00671CFB">
        <w:rPr>
          <w:color w:val="000000"/>
          <w:lang w:val="fr-CH"/>
        </w:rPr>
        <w:t>la logiciellisation de réseau</w:t>
      </w:r>
      <w:r w:rsidR="00671CFB">
        <w:rPr>
          <w:color w:val="000000"/>
          <w:lang w:val="fr-CH"/>
        </w:rPr>
        <w:t>,</w:t>
      </w:r>
      <w:r w:rsidR="00671CFB" w:rsidRPr="00671CFB">
        <w:rPr>
          <w:color w:val="000000"/>
          <w:lang w:val="fr-CH"/>
        </w:rPr>
        <w:t xml:space="preserve"> le découpage de réseau</w:t>
      </w:r>
      <w:r w:rsidR="00671CFB">
        <w:rPr>
          <w:color w:val="000000"/>
          <w:lang w:val="fr-CH"/>
        </w:rPr>
        <w:t>,</w:t>
      </w:r>
      <w:r w:rsidR="007D2933">
        <w:rPr>
          <w:color w:val="000000"/>
          <w:lang w:val="fr-CH"/>
        </w:rPr>
        <w:t xml:space="preserve"> </w:t>
      </w:r>
      <w:r w:rsidR="00671CFB">
        <w:rPr>
          <w:color w:val="000000"/>
          <w:lang w:val="fr-CH"/>
        </w:rPr>
        <w:t>la gestion et l</w:t>
      </w:r>
      <w:r w:rsidR="00331214">
        <w:rPr>
          <w:color w:val="000000"/>
          <w:lang w:val="fr-CH"/>
        </w:rPr>
        <w:t>'</w:t>
      </w:r>
      <w:r w:rsidR="00671CFB">
        <w:rPr>
          <w:color w:val="000000"/>
          <w:lang w:val="fr-CH"/>
        </w:rPr>
        <w:t>orchestration des réseaux,</w:t>
      </w:r>
      <w:r w:rsidR="007D2933">
        <w:rPr>
          <w:color w:val="000000"/>
          <w:lang w:val="fr-CH"/>
        </w:rPr>
        <w:t xml:space="preserve"> </w:t>
      </w:r>
      <w:r w:rsidR="00F361D8">
        <w:rPr>
          <w:lang w:val="fr-CH"/>
        </w:rPr>
        <w:t>l</w:t>
      </w:r>
      <w:r w:rsidR="00331214">
        <w:rPr>
          <w:lang w:val="fr-CH"/>
        </w:rPr>
        <w:t>'</w:t>
      </w:r>
      <w:r w:rsidR="00F361D8">
        <w:rPr>
          <w:lang w:val="fr-CH"/>
        </w:rPr>
        <w:t>évolutivité des capacités du réseau, la convergence réseaux fixes</w:t>
      </w:r>
      <w:r w:rsidR="005E1BB5">
        <w:rPr>
          <w:lang w:val="fr-CH"/>
        </w:rPr>
        <w:noBreakHyphen/>
      </w:r>
      <w:r w:rsidR="00F361D8">
        <w:rPr>
          <w:lang w:val="fr-CH"/>
        </w:rPr>
        <w:t>réseaux mobiles et d</w:t>
      </w:r>
      <w:r w:rsidR="00331214">
        <w:rPr>
          <w:lang w:val="fr-CH"/>
        </w:rPr>
        <w:t>'</w:t>
      </w:r>
      <w:r w:rsidR="00F361D8">
        <w:rPr>
          <w:lang w:val="fr-CH"/>
        </w:rPr>
        <w:t>autres techniques de réseaux telles que les techniques</w:t>
      </w:r>
      <w:r w:rsidR="007D2933">
        <w:rPr>
          <w:lang w:val="fr-CH"/>
        </w:rPr>
        <w:t xml:space="preserve"> </w:t>
      </w:r>
      <w:r w:rsidR="00711253" w:rsidRPr="00671CFB">
        <w:rPr>
          <w:lang w:val="fr-CH"/>
        </w:rPr>
        <w:t xml:space="preserve">CDN </w:t>
      </w:r>
      <w:r w:rsidR="00F361D8">
        <w:rPr>
          <w:lang w:val="fr-CH"/>
        </w:rPr>
        <w:t>(</w:t>
      </w:r>
      <w:r w:rsidR="00F361D8" w:rsidRPr="00F361D8">
        <w:rPr>
          <w:color w:val="000000"/>
          <w:lang w:val="fr-CH"/>
        </w:rPr>
        <w:t>réseaux de fourniture de contenus</w:t>
      </w:r>
      <w:r w:rsidR="00F361D8">
        <w:rPr>
          <w:color w:val="000000"/>
          <w:lang w:val="fr-CH"/>
        </w:rPr>
        <w:t>)</w:t>
      </w:r>
      <w:r w:rsidR="007D2933">
        <w:rPr>
          <w:color w:val="000000"/>
          <w:lang w:val="fr-CH"/>
        </w:rPr>
        <w:t xml:space="preserve"> </w:t>
      </w:r>
      <w:r w:rsidR="00F361D8">
        <w:rPr>
          <w:lang w:val="fr-CH"/>
        </w:rPr>
        <w:t>et</w:t>
      </w:r>
      <w:r w:rsidR="007D2933">
        <w:rPr>
          <w:lang w:val="fr-CH"/>
        </w:rPr>
        <w:t xml:space="preserve"> </w:t>
      </w:r>
      <w:r w:rsidR="00711253" w:rsidRPr="00671CFB">
        <w:rPr>
          <w:lang w:val="fr-CH"/>
        </w:rPr>
        <w:t>ICN</w:t>
      </w:r>
      <w:r w:rsidR="00F361D8">
        <w:rPr>
          <w:lang w:val="fr-CH"/>
        </w:rPr>
        <w:t xml:space="preserve"> (</w:t>
      </w:r>
      <w:r w:rsidR="00F361D8" w:rsidRPr="00F361D8">
        <w:rPr>
          <w:color w:val="000000"/>
          <w:lang w:val="fr-CH"/>
        </w:rPr>
        <w:t>réseaux centrés sur les informations</w:t>
      </w:r>
      <w:r w:rsidR="00F361D8">
        <w:rPr>
          <w:color w:val="000000"/>
          <w:lang w:val="fr-CH"/>
        </w:rPr>
        <w:t>)</w:t>
      </w:r>
      <w:r w:rsidR="00711253" w:rsidRPr="00671CFB">
        <w:rPr>
          <w:lang w:val="fr-CH"/>
        </w:rPr>
        <w:t>, etc.</w:t>
      </w:r>
      <w:r w:rsidR="007D2933">
        <w:rPr>
          <w:color w:val="000000"/>
          <w:lang w:val="fr-CH"/>
        </w:rPr>
        <w:t xml:space="preserve"> </w:t>
      </w:r>
    </w:p>
    <w:p w:rsidR="00711253" w:rsidRPr="00F361D8" w:rsidRDefault="00F361D8" w:rsidP="0098225A">
      <w:pPr>
        <w:rPr>
          <w:lang w:val="fr-CH"/>
        </w:rPr>
      </w:pPr>
      <w:r w:rsidRPr="00F361D8">
        <w:rPr>
          <w:lang w:val="fr-CH"/>
        </w:rPr>
        <w:t>L</w:t>
      </w:r>
      <w:r w:rsidR="00331214">
        <w:rPr>
          <w:lang w:val="fr-CH"/>
        </w:rPr>
        <w:t>'</w:t>
      </w:r>
      <w:r w:rsidRPr="00F361D8">
        <w:rPr>
          <w:lang w:val="fr-CH"/>
        </w:rPr>
        <w:t>utilisation des IMT</w:t>
      </w:r>
      <w:r w:rsidR="003E21EA">
        <w:rPr>
          <w:lang w:val="fr-CH"/>
        </w:rPr>
        <w:noBreakHyphen/>
      </w:r>
      <w:r w:rsidRPr="00F361D8">
        <w:rPr>
          <w:lang w:val="fr-CH"/>
        </w:rPr>
        <w:t>2020 va se généraliser à brève</w:t>
      </w:r>
      <w:r w:rsidR="007D2933">
        <w:rPr>
          <w:lang w:val="fr-CH"/>
        </w:rPr>
        <w:t xml:space="preserve"> </w:t>
      </w:r>
      <w:r w:rsidRPr="00F361D8">
        <w:rPr>
          <w:lang w:val="fr-CH"/>
        </w:rPr>
        <w:t>échéance</w:t>
      </w:r>
      <w:r w:rsidR="007D2933">
        <w:rPr>
          <w:lang w:val="fr-CH"/>
        </w:rPr>
        <w:t>,</w:t>
      </w:r>
      <w:r w:rsidRPr="00F361D8">
        <w:rPr>
          <w:lang w:val="fr-CH"/>
        </w:rPr>
        <w:t xml:space="preserve"> ce qui donnera naissance à un écosystème de l</w:t>
      </w:r>
      <w:r w:rsidR="00331214">
        <w:rPr>
          <w:lang w:val="fr-CH"/>
        </w:rPr>
        <w:t>'</w:t>
      </w:r>
      <w:r w:rsidRPr="00F361D8">
        <w:rPr>
          <w:lang w:val="fr-CH"/>
        </w:rPr>
        <w:t>information centré</w:t>
      </w:r>
      <w:r>
        <w:rPr>
          <w:lang w:val="fr-CH"/>
        </w:rPr>
        <w:t xml:space="preserve"> </w:t>
      </w:r>
      <w:r w:rsidRPr="00F361D8">
        <w:rPr>
          <w:lang w:val="fr-CH"/>
        </w:rPr>
        <w:t>sur l</w:t>
      </w:r>
      <w:r w:rsidR="00331214">
        <w:rPr>
          <w:lang w:val="fr-CH"/>
        </w:rPr>
        <w:t>'</w:t>
      </w:r>
      <w:r w:rsidRPr="00F361D8">
        <w:rPr>
          <w:lang w:val="fr-CH"/>
        </w:rPr>
        <w:t>utilisateur</w:t>
      </w:r>
      <w:r w:rsidR="007D2933">
        <w:rPr>
          <w:lang w:val="fr-CH"/>
        </w:rPr>
        <w:t xml:space="preserve"> </w:t>
      </w:r>
      <w:r w:rsidR="008619F1">
        <w:rPr>
          <w:lang w:val="fr-CH"/>
        </w:rPr>
        <w:t>qui</w:t>
      </w:r>
      <w:r>
        <w:rPr>
          <w:lang w:val="fr-CH"/>
        </w:rPr>
        <w:t xml:space="preserve"> contribuera grandement à la réalisation des</w:t>
      </w:r>
      <w:r w:rsidR="00711253" w:rsidRPr="00F361D8">
        <w:rPr>
          <w:lang w:val="fr-CH"/>
        </w:rPr>
        <w:t xml:space="preserve"> </w:t>
      </w:r>
      <w:r w:rsidRPr="00F361D8">
        <w:rPr>
          <w:color w:val="000000"/>
          <w:lang w:val="fr-CH"/>
        </w:rPr>
        <w:t>Objectifs de développement durable fixés par les Nations Unies</w:t>
      </w:r>
      <w:r w:rsidR="00711253" w:rsidRPr="00F361D8">
        <w:rPr>
          <w:lang w:val="fr-CH"/>
        </w:rPr>
        <w:t xml:space="preserve">. </w:t>
      </w:r>
      <w:r w:rsidRPr="00F361D8">
        <w:rPr>
          <w:lang w:val="fr-CH"/>
        </w:rPr>
        <w:t xml:space="preserve">Il a été reconnu que </w:t>
      </w:r>
      <w:r w:rsidR="0098225A">
        <w:rPr>
          <w:lang w:val="fr-CH"/>
        </w:rPr>
        <w:t>l'</w:t>
      </w:r>
      <w:r w:rsidRPr="00F361D8">
        <w:rPr>
          <w:lang w:val="fr-CH"/>
        </w:rPr>
        <w:t>UIT-T</w:t>
      </w:r>
      <w:r w:rsidR="007D2933">
        <w:rPr>
          <w:lang w:val="fr-CH"/>
        </w:rPr>
        <w:t xml:space="preserve"> </w:t>
      </w:r>
      <w:r w:rsidRPr="00F361D8">
        <w:rPr>
          <w:lang w:val="fr-CH"/>
        </w:rPr>
        <w:t>jouait un rôle important et utile pour</w:t>
      </w:r>
      <w:r>
        <w:rPr>
          <w:lang w:val="fr-CH"/>
        </w:rPr>
        <w:t xml:space="preserve"> faire avancer </w:t>
      </w:r>
      <w:r w:rsidRPr="00F361D8">
        <w:rPr>
          <w:lang w:val="fr-CH"/>
        </w:rPr>
        <w:t>les travaux de normalisation relatif</w:t>
      </w:r>
      <w:r>
        <w:rPr>
          <w:lang w:val="fr-CH"/>
        </w:rPr>
        <w:t>s aux prescriptions et à l</w:t>
      </w:r>
      <w:r w:rsidR="00331214">
        <w:rPr>
          <w:lang w:val="fr-CH"/>
        </w:rPr>
        <w:t>'</w:t>
      </w:r>
      <w:r>
        <w:rPr>
          <w:lang w:val="fr-CH"/>
        </w:rPr>
        <w:t>architecture des réseaux futurs</w:t>
      </w:r>
      <w:r w:rsidR="007D2933">
        <w:rPr>
          <w:lang w:val="fr-CH"/>
        </w:rPr>
        <w:t>,</w:t>
      </w:r>
      <w:r>
        <w:rPr>
          <w:lang w:val="fr-CH"/>
        </w:rPr>
        <w:t xml:space="preserve"> aux services et à la gestion des réseaux IMT, aux technologies de réseaux d</w:t>
      </w:r>
      <w:r w:rsidR="00331214">
        <w:rPr>
          <w:lang w:val="fr-CH"/>
        </w:rPr>
        <w:t>'</w:t>
      </w:r>
      <w:r>
        <w:rPr>
          <w:lang w:val="fr-CH"/>
        </w:rPr>
        <w:t>accès et de transport, à la qualité de service, à la sécurité et aux économies d</w:t>
      </w:r>
      <w:r w:rsidR="00331214">
        <w:rPr>
          <w:lang w:val="fr-CH"/>
        </w:rPr>
        <w:t>'</w:t>
      </w:r>
      <w:r>
        <w:rPr>
          <w:lang w:val="fr-CH"/>
        </w:rPr>
        <w:t>énergie, etc.</w:t>
      </w:r>
      <w:r w:rsidR="007D2933">
        <w:rPr>
          <w:lang w:val="fr-CH"/>
        </w:rPr>
        <w:t xml:space="preserve"> </w:t>
      </w:r>
    </w:p>
    <w:p w:rsidR="00711253" w:rsidRPr="00A84B27" w:rsidRDefault="00711253" w:rsidP="00E338F5">
      <w:pPr>
        <w:pStyle w:val="Headingb"/>
      </w:pPr>
      <w:r w:rsidRPr="00A84B27">
        <w:t>Propos</w:t>
      </w:r>
      <w:r w:rsidR="00D56980" w:rsidRPr="00A84B27">
        <w:t>ition</w:t>
      </w:r>
    </w:p>
    <w:p w:rsidR="00711253" w:rsidRPr="00A84B27" w:rsidRDefault="00F361D8" w:rsidP="00E338F5">
      <w:pPr>
        <w:rPr>
          <w:lang w:val="fr-CH"/>
        </w:rPr>
      </w:pPr>
      <w:r w:rsidRPr="00A84B27">
        <w:rPr>
          <w:lang w:val="fr-CH"/>
        </w:rPr>
        <w:t xml:space="preserve">Les </w:t>
      </w:r>
      <w:r w:rsidR="002F0006" w:rsidRPr="00A84B27">
        <w:rPr>
          <w:lang w:val="fr-CH"/>
        </w:rPr>
        <w:t xml:space="preserve">Administrations </w:t>
      </w:r>
      <w:r w:rsidRPr="00A84B27">
        <w:rPr>
          <w:lang w:val="fr-CH"/>
        </w:rPr>
        <w:t>des pays membres de l</w:t>
      </w:r>
      <w:r w:rsidR="00331214">
        <w:rPr>
          <w:lang w:val="fr-CH"/>
        </w:rPr>
        <w:t>'</w:t>
      </w:r>
      <w:r w:rsidR="00711253" w:rsidRPr="00A84B27">
        <w:rPr>
          <w:lang w:val="fr-CH"/>
        </w:rPr>
        <w:t xml:space="preserve">APT </w:t>
      </w:r>
      <w:r w:rsidRPr="00A84B27">
        <w:rPr>
          <w:lang w:val="fr-CH"/>
        </w:rPr>
        <w:t>proposent que soit adoptée la</w:t>
      </w:r>
      <w:r w:rsidR="007D2933">
        <w:rPr>
          <w:lang w:val="fr-CH"/>
        </w:rPr>
        <w:t xml:space="preserve"> </w:t>
      </w:r>
      <w:r w:rsidRPr="00A84B27">
        <w:rPr>
          <w:lang w:val="fr-CH"/>
        </w:rPr>
        <w:t>nouvelle Résolution</w:t>
      </w:r>
      <w:r w:rsidR="007D2933">
        <w:rPr>
          <w:lang w:val="fr-CH"/>
        </w:rPr>
        <w:t xml:space="preserve"> </w:t>
      </w:r>
      <w:r w:rsidR="00711253" w:rsidRPr="00A84B27">
        <w:rPr>
          <w:lang w:val="fr-CH"/>
        </w:rPr>
        <w:t xml:space="preserve">[APT-1] </w:t>
      </w:r>
      <w:r w:rsidR="00A84B27" w:rsidRPr="00A84B27">
        <w:rPr>
          <w:lang w:val="fr-CH"/>
        </w:rPr>
        <w:t>re</w:t>
      </w:r>
      <w:r w:rsidR="00A84B27">
        <w:rPr>
          <w:lang w:val="fr-CH"/>
        </w:rPr>
        <w:t>produite en</w:t>
      </w:r>
      <w:r w:rsidR="007D2933">
        <w:rPr>
          <w:lang w:val="fr-CH"/>
        </w:rPr>
        <w:t xml:space="preserve"> </w:t>
      </w:r>
      <w:r w:rsidR="00124DC5" w:rsidRPr="00A84B27">
        <w:rPr>
          <w:lang w:val="fr-CH"/>
        </w:rPr>
        <w:t>Annex</w:t>
      </w:r>
      <w:r w:rsidR="00124DC5">
        <w:rPr>
          <w:lang w:val="fr-CH"/>
        </w:rPr>
        <w:t>e</w:t>
      </w:r>
      <w:r w:rsidR="00C26768">
        <w:rPr>
          <w:lang w:val="fr-CH"/>
        </w:rPr>
        <w:t>,</w:t>
      </w:r>
      <w:r w:rsidR="00124DC5">
        <w:rPr>
          <w:lang w:val="fr-CH"/>
        </w:rPr>
        <w:t xml:space="preserve"> </w:t>
      </w:r>
      <w:r w:rsidR="00A84B27">
        <w:rPr>
          <w:lang w:val="fr-CH"/>
        </w:rPr>
        <w:t>pour renforcer les travaux de normalisation sur les</w:t>
      </w:r>
      <w:r w:rsidR="007D2933">
        <w:rPr>
          <w:lang w:val="fr-CH"/>
        </w:rPr>
        <w:t xml:space="preserve"> </w:t>
      </w:r>
      <w:r w:rsidR="00A84B27" w:rsidRPr="00A84B27">
        <w:rPr>
          <w:lang w:val="fr-CH"/>
        </w:rPr>
        <w:t>IMT (</w:t>
      </w:r>
      <w:r w:rsidR="00A84B27">
        <w:rPr>
          <w:lang w:val="fr-CH"/>
        </w:rPr>
        <w:t xml:space="preserve">en particulier sur les </w:t>
      </w:r>
      <w:r w:rsidR="005E1BB5">
        <w:rPr>
          <w:lang w:val="fr-CH"/>
        </w:rPr>
        <w:t>IMT</w:t>
      </w:r>
      <w:r w:rsidR="005E1BB5">
        <w:rPr>
          <w:lang w:val="fr-CH"/>
        </w:rPr>
        <w:noBreakHyphen/>
        <w:t>2020</w:t>
      </w:r>
      <w:r w:rsidR="00A84B27">
        <w:rPr>
          <w:lang w:val="fr-CH"/>
        </w:rPr>
        <w:t xml:space="preserve"> au cours de la prochaine période d</w:t>
      </w:r>
      <w:r w:rsidR="00331214">
        <w:rPr>
          <w:lang w:val="fr-CH"/>
        </w:rPr>
        <w:t>'</w:t>
      </w:r>
      <w:r w:rsidR="00A84B27">
        <w:rPr>
          <w:lang w:val="fr-CH"/>
        </w:rPr>
        <w:t>études)</w:t>
      </w:r>
      <w:r w:rsidR="007D2933">
        <w:rPr>
          <w:lang w:val="fr-CH"/>
        </w:rPr>
        <w:t>,</w:t>
      </w:r>
      <w:r w:rsidR="00A84B27">
        <w:rPr>
          <w:lang w:val="fr-CH"/>
        </w:rPr>
        <w:t xml:space="preserve"> comme indiqué dans l</w:t>
      </w:r>
      <w:r w:rsidR="00331214">
        <w:rPr>
          <w:lang w:val="fr-CH"/>
        </w:rPr>
        <w:t>'</w:t>
      </w:r>
      <w:r w:rsidR="00124DC5">
        <w:rPr>
          <w:lang w:val="fr-CH"/>
        </w:rPr>
        <w:t>A</w:t>
      </w:r>
      <w:r w:rsidR="00A84B27">
        <w:rPr>
          <w:lang w:val="fr-CH"/>
        </w:rPr>
        <w:t>nnexe, en vue</w:t>
      </w:r>
      <w:r w:rsidR="00B7792D">
        <w:rPr>
          <w:lang w:val="fr-CH"/>
        </w:rPr>
        <w:t>:</w:t>
      </w:r>
      <w:r w:rsidR="00711253" w:rsidRPr="00A84B27">
        <w:rPr>
          <w:lang w:val="fr-CH"/>
        </w:rPr>
        <w:t xml:space="preserve"> </w:t>
      </w:r>
    </w:p>
    <w:p w:rsidR="00711253" w:rsidRPr="00A84B27" w:rsidRDefault="00711253" w:rsidP="00C26768">
      <w:pPr>
        <w:pStyle w:val="enumlev1"/>
        <w:rPr>
          <w:lang w:val="fr-CH"/>
        </w:rPr>
      </w:pPr>
      <w:r w:rsidRPr="00A84B27">
        <w:rPr>
          <w:lang w:val="fr-CH"/>
        </w:rPr>
        <w:t>1)</w:t>
      </w:r>
      <w:r w:rsidRPr="00A84B27">
        <w:rPr>
          <w:lang w:val="fr-CH"/>
        </w:rPr>
        <w:tab/>
      </w:r>
      <w:r w:rsidR="00A84B27" w:rsidRPr="00A84B27">
        <w:rPr>
          <w:lang w:val="fr-CH"/>
        </w:rPr>
        <w:t xml:space="preserve">de mettre en place une stratégie de normalisation et </w:t>
      </w:r>
      <w:r w:rsidR="00A84B27">
        <w:rPr>
          <w:lang w:val="fr-CH"/>
        </w:rPr>
        <w:t>d</w:t>
      </w:r>
      <w:r w:rsidR="00331214">
        <w:rPr>
          <w:lang w:val="fr-CH"/>
        </w:rPr>
        <w:t>'</w:t>
      </w:r>
      <w:r w:rsidR="00A84B27">
        <w:rPr>
          <w:lang w:val="fr-CH"/>
        </w:rPr>
        <w:t>en</w:t>
      </w:r>
      <w:r w:rsidR="00C26768">
        <w:rPr>
          <w:lang w:val="fr-CH"/>
        </w:rPr>
        <w:t>treprendre</w:t>
      </w:r>
      <w:r w:rsidR="00A84B27">
        <w:rPr>
          <w:lang w:val="fr-CH"/>
        </w:rPr>
        <w:t xml:space="preserve"> </w:t>
      </w:r>
      <w:r w:rsidR="00A84B27" w:rsidRPr="00A84B27">
        <w:rPr>
          <w:lang w:val="fr-CH"/>
        </w:rPr>
        <w:t xml:space="preserve">des travaux de recherche </w:t>
      </w:r>
      <w:r w:rsidR="00C26768">
        <w:rPr>
          <w:lang w:val="fr-CH"/>
        </w:rPr>
        <w:t xml:space="preserve">concernant </w:t>
      </w:r>
      <w:r w:rsidR="00A84B27" w:rsidRPr="00A84B27">
        <w:rPr>
          <w:lang w:val="fr-CH"/>
        </w:rPr>
        <w:t xml:space="preserve">les </w:t>
      </w:r>
      <w:r w:rsidR="005E1BB5">
        <w:rPr>
          <w:lang w:val="fr-CH"/>
        </w:rPr>
        <w:t>IMT</w:t>
      </w:r>
      <w:r w:rsidR="005E1BB5">
        <w:rPr>
          <w:lang w:val="fr-CH"/>
        </w:rPr>
        <w:noBreakHyphen/>
        <w:t>2020</w:t>
      </w:r>
      <w:r w:rsidR="00A84B27" w:rsidRPr="00A84B27">
        <w:rPr>
          <w:lang w:val="fr-CH"/>
        </w:rPr>
        <w:t xml:space="preserve"> </w:t>
      </w:r>
      <w:r w:rsidR="00A84B27">
        <w:rPr>
          <w:lang w:val="fr-CH"/>
        </w:rPr>
        <w:t>au sein du GCNT</w:t>
      </w:r>
      <w:r w:rsidR="007D2933">
        <w:rPr>
          <w:lang w:val="fr-CH"/>
        </w:rPr>
        <w:t xml:space="preserve"> </w:t>
      </w:r>
      <w:r w:rsidR="00A84B27">
        <w:rPr>
          <w:lang w:val="fr-CH"/>
        </w:rPr>
        <w:t>de l</w:t>
      </w:r>
      <w:r w:rsidR="00331214">
        <w:rPr>
          <w:lang w:val="fr-CH"/>
        </w:rPr>
        <w:t>'</w:t>
      </w:r>
      <w:r w:rsidR="000F2F97">
        <w:rPr>
          <w:lang w:val="fr-CH"/>
        </w:rPr>
        <w:t>UIT</w:t>
      </w:r>
      <w:r w:rsidR="000F2F97">
        <w:rPr>
          <w:lang w:val="fr-CH"/>
        </w:rPr>
        <w:noBreakHyphen/>
        <w:t>T</w:t>
      </w:r>
      <w:r w:rsidR="00A84B27">
        <w:rPr>
          <w:lang w:val="fr-CH"/>
        </w:rPr>
        <w:t xml:space="preserve"> et des commissions d</w:t>
      </w:r>
      <w:r w:rsidR="00331214">
        <w:rPr>
          <w:lang w:val="fr-CH"/>
        </w:rPr>
        <w:t>'</w:t>
      </w:r>
      <w:r w:rsidR="00A84B27">
        <w:rPr>
          <w:lang w:val="fr-CH"/>
        </w:rPr>
        <w:t>études concernées pendant la prochaine période d</w:t>
      </w:r>
      <w:r w:rsidR="00331214">
        <w:rPr>
          <w:lang w:val="fr-CH"/>
        </w:rPr>
        <w:t>'</w:t>
      </w:r>
      <w:r w:rsidR="00A84B27">
        <w:rPr>
          <w:lang w:val="fr-CH"/>
        </w:rPr>
        <w:t>études</w:t>
      </w:r>
      <w:r w:rsidR="007D2933">
        <w:rPr>
          <w:lang w:val="fr-CH"/>
        </w:rPr>
        <w:t xml:space="preserve">; </w:t>
      </w:r>
    </w:p>
    <w:p w:rsidR="00711253" w:rsidRPr="00A84B27" w:rsidRDefault="00711253" w:rsidP="00C26768">
      <w:pPr>
        <w:pStyle w:val="enumlev1"/>
        <w:rPr>
          <w:lang w:val="fr-CH"/>
        </w:rPr>
      </w:pPr>
      <w:r w:rsidRPr="00A84B27">
        <w:rPr>
          <w:lang w:val="fr-CH"/>
        </w:rPr>
        <w:t>2)</w:t>
      </w:r>
      <w:r w:rsidRPr="00A84B27">
        <w:rPr>
          <w:lang w:val="fr-CH"/>
        </w:rPr>
        <w:tab/>
      </w:r>
      <w:r w:rsidR="00A84B27" w:rsidRPr="00A84B27">
        <w:rPr>
          <w:lang w:val="fr-CH"/>
        </w:rPr>
        <w:t>d</w:t>
      </w:r>
      <w:r w:rsidR="00331214">
        <w:rPr>
          <w:lang w:val="fr-CH"/>
        </w:rPr>
        <w:t>'</w:t>
      </w:r>
      <w:r w:rsidR="00A84B27" w:rsidRPr="00A84B27">
        <w:rPr>
          <w:lang w:val="fr-CH"/>
        </w:rPr>
        <w:t xml:space="preserve">encourager la collaboration </w:t>
      </w:r>
      <w:r w:rsidR="00A84B27">
        <w:rPr>
          <w:lang w:val="fr-CH"/>
        </w:rPr>
        <w:t>entre la</w:t>
      </w:r>
      <w:r w:rsidR="007D2933">
        <w:rPr>
          <w:lang w:val="fr-CH"/>
        </w:rPr>
        <w:t xml:space="preserve"> </w:t>
      </w:r>
      <w:r w:rsidR="009B2540" w:rsidRPr="00A84B27">
        <w:rPr>
          <w:lang w:val="fr-CH"/>
        </w:rPr>
        <w:t>CE</w:t>
      </w:r>
      <w:r w:rsidR="00F31B1E">
        <w:rPr>
          <w:lang w:val="fr-CH"/>
        </w:rPr>
        <w:t> </w:t>
      </w:r>
      <w:r w:rsidRPr="00A84B27">
        <w:rPr>
          <w:lang w:val="fr-CH"/>
        </w:rPr>
        <w:t>13</w:t>
      </w:r>
      <w:r w:rsidR="007D2933">
        <w:rPr>
          <w:lang w:val="fr-CH"/>
        </w:rPr>
        <w:t xml:space="preserve"> </w:t>
      </w:r>
      <w:r w:rsidR="00A84B27">
        <w:rPr>
          <w:lang w:val="fr-CH"/>
        </w:rPr>
        <w:t xml:space="preserve">et les </w:t>
      </w:r>
      <w:r w:rsidR="009B2540" w:rsidRPr="00A84B27">
        <w:rPr>
          <w:lang w:val="fr-CH"/>
        </w:rPr>
        <w:t>CE</w:t>
      </w:r>
      <w:r w:rsidR="00F31B1E">
        <w:rPr>
          <w:lang w:val="fr-CH"/>
        </w:rPr>
        <w:t> </w:t>
      </w:r>
      <w:r w:rsidRPr="00A84B27">
        <w:rPr>
          <w:lang w:val="fr-CH"/>
        </w:rPr>
        <w:t xml:space="preserve">15, </w:t>
      </w:r>
      <w:r w:rsidR="009B2540" w:rsidRPr="00A84B27">
        <w:rPr>
          <w:lang w:val="fr-CH"/>
        </w:rPr>
        <w:t>CE</w:t>
      </w:r>
      <w:r w:rsidR="00F31B1E">
        <w:rPr>
          <w:lang w:val="fr-CH"/>
        </w:rPr>
        <w:t> </w:t>
      </w:r>
      <w:r w:rsidRPr="00A84B27">
        <w:rPr>
          <w:lang w:val="fr-CH"/>
        </w:rPr>
        <w:t xml:space="preserve">11, </w:t>
      </w:r>
      <w:r w:rsidR="009B2540" w:rsidRPr="00A84B27">
        <w:rPr>
          <w:lang w:val="fr-CH"/>
        </w:rPr>
        <w:t>CE</w:t>
      </w:r>
      <w:r w:rsidR="00F31B1E">
        <w:rPr>
          <w:lang w:val="fr-CH"/>
        </w:rPr>
        <w:t> </w:t>
      </w:r>
      <w:r w:rsidRPr="00A84B27">
        <w:rPr>
          <w:lang w:val="fr-CH"/>
        </w:rPr>
        <w:t xml:space="preserve">12, </w:t>
      </w:r>
      <w:r w:rsidR="009B2540" w:rsidRPr="00A84B27">
        <w:rPr>
          <w:lang w:val="fr-CH"/>
        </w:rPr>
        <w:t>CE</w:t>
      </w:r>
      <w:r w:rsidR="00F31B1E">
        <w:rPr>
          <w:lang w:val="fr-CH"/>
        </w:rPr>
        <w:t> </w:t>
      </w:r>
      <w:r w:rsidRPr="00A84B27">
        <w:rPr>
          <w:lang w:val="fr-CH"/>
        </w:rPr>
        <w:t xml:space="preserve">17, </w:t>
      </w:r>
      <w:r w:rsidR="009B2540" w:rsidRPr="00A84B27">
        <w:rPr>
          <w:lang w:val="fr-CH"/>
        </w:rPr>
        <w:t>CE</w:t>
      </w:r>
      <w:r w:rsidR="00F31B1E">
        <w:rPr>
          <w:lang w:val="fr-CH"/>
        </w:rPr>
        <w:t> </w:t>
      </w:r>
      <w:r w:rsidRPr="00A84B27">
        <w:rPr>
          <w:lang w:val="fr-CH"/>
        </w:rPr>
        <w:t>20, etc.,</w:t>
      </w:r>
      <w:r w:rsidR="00A84B27">
        <w:rPr>
          <w:lang w:val="fr-CH"/>
        </w:rPr>
        <w:t xml:space="preserve"> afin de p</w:t>
      </w:r>
      <w:r w:rsidR="00C26768">
        <w:rPr>
          <w:lang w:val="fr-CH"/>
        </w:rPr>
        <w:t xml:space="preserve">arvenir </w:t>
      </w:r>
      <w:r w:rsidR="00E80469">
        <w:rPr>
          <w:lang w:val="fr-CH"/>
        </w:rPr>
        <w:t>à</w:t>
      </w:r>
      <w:r w:rsidR="00A84B27">
        <w:rPr>
          <w:lang w:val="fr-CH"/>
        </w:rPr>
        <w:t xml:space="preserve"> une solution de normalisation complète pour les systèmes et applications IMT</w:t>
      </w:r>
      <w:r w:rsidR="007D2933">
        <w:rPr>
          <w:lang w:val="fr-CH"/>
        </w:rPr>
        <w:t>;</w:t>
      </w:r>
    </w:p>
    <w:p w:rsidR="00D35C5D" w:rsidRDefault="00711253" w:rsidP="00C26768">
      <w:pPr>
        <w:pStyle w:val="enumlev1"/>
        <w:rPr>
          <w:lang w:val="fr-CH"/>
        </w:rPr>
      </w:pPr>
      <w:r w:rsidRPr="00A84B27">
        <w:rPr>
          <w:lang w:val="fr-CH"/>
        </w:rPr>
        <w:t>3)</w:t>
      </w:r>
      <w:r w:rsidRPr="00A84B27">
        <w:rPr>
          <w:lang w:val="fr-CH"/>
        </w:rPr>
        <w:tab/>
      </w:r>
      <w:r w:rsidR="00A84B27" w:rsidRPr="00A84B27">
        <w:rPr>
          <w:lang w:val="fr-CH"/>
        </w:rPr>
        <w:t>de promouvoir la collaboration entre l</w:t>
      </w:r>
      <w:r w:rsidR="00331214">
        <w:rPr>
          <w:lang w:val="fr-CH"/>
        </w:rPr>
        <w:t>'</w:t>
      </w:r>
      <w:r w:rsidR="000F2F97">
        <w:rPr>
          <w:lang w:val="fr-CH"/>
        </w:rPr>
        <w:t>UIT</w:t>
      </w:r>
      <w:r w:rsidR="000F2F97">
        <w:rPr>
          <w:lang w:val="fr-CH"/>
        </w:rPr>
        <w:noBreakHyphen/>
        <w:t>T</w:t>
      </w:r>
      <w:r w:rsidR="00A84B27" w:rsidRPr="00A84B27">
        <w:rPr>
          <w:lang w:val="fr-CH"/>
        </w:rPr>
        <w:t>, l</w:t>
      </w:r>
      <w:r w:rsidR="00331214">
        <w:rPr>
          <w:lang w:val="fr-CH"/>
        </w:rPr>
        <w:t>'</w:t>
      </w:r>
      <w:r w:rsidR="00A84B27" w:rsidRPr="00A84B27">
        <w:rPr>
          <w:lang w:val="fr-CH"/>
        </w:rPr>
        <w:t xml:space="preserve">UIT-R, </w:t>
      </w:r>
      <w:r w:rsidR="00A84B27">
        <w:rPr>
          <w:lang w:val="fr-CH"/>
        </w:rPr>
        <w:t>l</w:t>
      </w:r>
      <w:r w:rsidR="00331214">
        <w:rPr>
          <w:lang w:val="fr-CH"/>
        </w:rPr>
        <w:t>'</w:t>
      </w:r>
      <w:r w:rsidR="00A84B27" w:rsidRPr="00A84B27">
        <w:rPr>
          <w:lang w:val="fr-CH"/>
        </w:rPr>
        <w:t>UIT-D,</w:t>
      </w:r>
      <w:r w:rsidR="007D2933">
        <w:rPr>
          <w:lang w:val="fr-CH"/>
        </w:rPr>
        <w:t xml:space="preserve"> </w:t>
      </w:r>
      <w:r w:rsidR="00A84B27" w:rsidRPr="00A84B27">
        <w:rPr>
          <w:lang w:val="fr-CH"/>
        </w:rPr>
        <w:t>et d</w:t>
      </w:r>
      <w:r w:rsidR="00331214">
        <w:rPr>
          <w:lang w:val="fr-CH"/>
        </w:rPr>
        <w:t>'</w:t>
      </w:r>
      <w:r w:rsidR="00A84B27" w:rsidRPr="00A84B27">
        <w:rPr>
          <w:lang w:val="fr-CH"/>
        </w:rPr>
        <w:t>autres organisations de normalisation, de façon à éviter</w:t>
      </w:r>
      <w:r w:rsidR="007D2933">
        <w:rPr>
          <w:lang w:val="fr-CH"/>
        </w:rPr>
        <w:t xml:space="preserve"> </w:t>
      </w:r>
      <w:r w:rsidR="00A84B27" w:rsidRPr="00A84B27">
        <w:rPr>
          <w:lang w:val="fr-CH"/>
        </w:rPr>
        <w:t xml:space="preserve">tout chevauchement des activités </w:t>
      </w:r>
      <w:r w:rsidR="00A84B27">
        <w:rPr>
          <w:lang w:val="fr-CH"/>
        </w:rPr>
        <w:t>et de garantir une parfaite concordance et harmonisation des programmes de travail de l</w:t>
      </w:r>
      <w:r w:rsidR="00331214">
        <w:rPr>
          <w:lang w:val="fr-CH"/>
        </w:rPr>
        <w:t>'</w:t>
      </w:r>
      <w:r w:rsidR="00205EB9" w:rsidRPr="00A84B27">
        <w:rPr>
          <w:lang w:val="fr-CH"/>
        </w:rPr>
        <w:t>UIT</w:t>
      </w:r>
      <w:r w:rsidRPr="00A84B27">
        <w:rPr>
          <w:lang w:val="fr-CH"/>
        </w:rPr>
        <w:t xml:space="preserve">, </w:t>
      </w:r>
      <w:r w:rsidR="00A84B27">
        <w:rPr>
          <w:lang w:val="fr-CH"/>
        </w:rPr>
        <w:t xml:space="preserve">du </w:t>
      </w:r>
      <w:r w:rsidRPr="00A84B27">
        <w:rPr>
          <w:lang w:val="fr-CH"/>
        </w:rPr>
        <w:t xml:space="preserve">3GPP </w:t>
      </w:r>
      <w:r w:rsidR="00A84B27">
        <w:rPr>
          <w:lang w:val="fr-CH"/>
        </w:rPr>
        <w:t>et des autres organisations de normalisation</w:t>
      </w:r>
      <w:r w:rsidR="00C26768">
        <w:rPr>
          <w:lang w:val="fr-CH"/>
        </w:rPr>
        <w:t>.</w:t>
      </w:r>
      <w:r w:rsidR="007D2933">
        <w:rPr>
          <w:lang w:val="fr-CH"/>
        </w:rPr>
        <w:t xml:space="preserve"> </w:t>
      </w:r>
    </w:p>
    <w:p w:rsidR="00711253" w:rsidRPr="00A84B27" w:rsidRDefault="00711253" w:rsidP="00C26768">
      <w:pPr>
        <w:pStyle w:val="enumlev1"/>
        <w:rPr>
          <w:lang w:val="fr-CH"/>
        </w:rPr>
      </w:pPr>
      <w:r w:rsidRPr="00A84B27">
        <w:rPr>
          <w:lang w:val="fr-CH"/>
        </w:rPr>
        <w:br w:type="page"/>
      </w:r>
    </w:p>
    <w:p w:rsidR="00711253" w:rsidRPr="007D2933" w:rsidRDefault="00711253" w:rsidP="00E338F5">
      <w:pPr>
        <w:pStyle w:val="Proposal"/>
        <w:rPr>
          <w:lang w:val="fr-CH"/>
        </w:rPr>
      </w:pPr>
      <w:r w:rsidRPr="007D2933">
        <w:rPr>
          <w:lang w:val="fr-CH"/>
        </w:rPr>
        <w:lastRenderedPageBreak/>
        <w:t>ADD</w:t>
      </w:r>
      <w:r w:rsidRPr="007D2933">
        <w:rPr>
          <w:lang w:val="fr-CH"/>
        </w:rPr>
        <w:tab/>
        <w:t>APT/44A10/1</w:t>
      </w:r>
    </w:p>
    <w:p w:rsidR="00711253" w:rsidRPr="00A00CA3" w:rsidRDefault="00A00CA3" w:rsidP="00E338F5">
      <w:pPr>
        <w:pStyle w:val="ResNo"/>
        <w:rPr>
          <w:lang w:val="fr-CH"/>
        </w:rPr>
      </w:pPr>
      <w:r w:rsidRPr="00A00CA3">
        <w:rPr>
          <w:lang w:val="fr-CH"/>
        </w:rPr>
        <w:t xml:space="preserve">Projet de nouvelle </w:t>
      </w:r>
      <w:r w:rsidR="000F18B8">
        <w:rPr>
          <w:lang w:val="fr-CH"/>
        </w:rPr>
        <w:t>Ré</w:t>
      </w:r>
      <w:r w:rsidR="00711253" w:rsidRPr="00A00CA3">
        <w:rPr>
          <w:lang w:val="fr-CH"/>
        </w:rPr>
        <w:t>SOLUTION [APT-1]</w:t>
      </w:r>
    </w:p>
    <w:p w:rsidR="00711253" w:rsidRPr="00A00CA3" w:rsidRDefault="00C5228E" w:rsidP="00D35C5D">
      <w:pPr>
        <w:pStyle w:val="Restitle"/>
        <w:rPr>
          <w:rFonts w:ascii="Calibri" w:hAnsi="Calibri"/>
          <w:sz w:val="22"/>
          <w:highlight w:val="lightGray"/>
          <w:lang w:val="fr-CH"/>
        </w:rPr>
      </w:pPr>
      <w:r>
        <w:rPr>
          <w:lang w:val="fr-CH"/>
        </w:rPr>
        <w:t>Encourager</w:t>
      </w:r>
      <w:r w:rsidR="00A00CA3" w:rsidRPr="00A00CA3">
        <w:rPr>
          <w:lang w:val="fr-CH"/>
        </w:rPr>
        <w:t xml:space="preserve"> les </w:t>
      </w:r>
      <w:r>
        <w:rPr>
          <w:lang w:val="fr-CH"/>
        </w:rPr>
        <w:t>travaux</w:t>
      </w:r>
      <w:r w:rsidR="00A00CA3" w:rsidRPr="00A00CA3">
        <w:rPr>
          <w:lang w:val="fr-CH"/>
        </w:rPr>
        <w:t xml:space="preserve"> de normalisation </w:t>
      </w:r>
      <w:r w:rsidR="00A00CA3" w:rsidRPr="00A00CA3">
        <w:rPr>
          <w:lang w:val="fr-CH"/>
        </w:rPr>
        <w:t>à</w:t>
      </w:r>
      <w:r w:rsidR="00A00CA3" w:rsidRPr="00A00CA3">
        <w:rPr>
          <w:lang w:val="fr-CH"/>
        </w:rPr>
        <w:t xml:space="preserve"> l</w:t>
      </w:r>
      <w:r w:rsidR="00331214">
        <w:rPr>
          <w:lang w:val="fr-CH"/>
        </w:rPr>
        <w:t>'</w:t>
      </w:r>
      <w:r w:rsidR="000F2F97">
        <w:rPr>
          <w:lang w:val="fr-CH"/>
        </w:rPr>
        <w:t>UIT</w:t>
      </w:r>
      <w:r w:rsidR="000F2F97">
        <w:rPr>
          <w:lang w:val="fr-CH"/>
        </w:rPr>
        <w:noBreakHyphen/>
        <w:t>T</w:t>
      </w:r>
      <w:r w:rsidR="00A00CA3" w:rsidRPr="00A00CA3">
        <w:rPr>
          <w:lang w:val="fr-CH"/>
        </w:rPr>
        <w:t xml:space="preserve"> sur les </w:t>
      </w:r>
      <w:r w:rsidR="000F18B8">
        <w:rPr>
          <w:lang w:val="fr-CH"/>
        </w:rPr>
        <w:br/>
      </w:r>
      <w:r w:rsidR="000F18B8" w:rsidRPr="00A00CA3">
        <w:rPr>
          <w:lang w:val="fr-CH"/>
        </w:rPr>
        <w:t>T</w:t>
      </w:r>
      <w:r w:rsidR="000F18B8" w:rsidRPr="00A00CA3">
        <w:rPr>
          <w:lang w:val="fr-CH"/>
        </w:rPr>
        <w:t>é</w:t>
      </w:r>
      <w:r w:rsidR="000F18B8" w:rsidRPr="00A00CA3">
        <w:rPr>
          <w:lang w:val="fr-CH"/>
        </w:rPr>
        <w:t>l</w:t>
      </w:r>
      <w:r w:rsidR="000F18B8" w:rsidRPr="00A00CA3">
        <w:rPr>
          <w:lang w:val="fr-CH"/>
        </w:rPr>
        <w:t>é</w:t>
      </w:r>
      <w:r w:rsidR="000F18B8" w:rsidRPr="00A00CA3">
        <w:rPr>
          <w:lang w:val="fr-CH"/>
        </w:rPr>
        <w:t xml:space="preserve">communications </w:t>
      </w:r>
      <w:r w:rsidR="00A00CA3" w:rsidRPr="00A00CA3">
        <w:rPr>
          <w:lang w:val="fr-CH"/>
        </w:rPr>
        <w:t>mobiles internationales</w:t>
      </w:r>
      <w:r w:rsidR="007D2933">
        <w:rPr>
          <w:lang w:val="fr-CH"/>
        </w:rPr>
        <w:t xml:space="preserve"> </w:t>
      </w:r>
    </w:p>
    <w:p w:rsidR="00711253" w:rsidRPr="007D2933" w:rsidRDefault="00711253" w:rsidP="00E338F5">
      <w:pPr>
        <w:pStyle w:val="Resref"/>
        <w:rPr>
          <w:lang w:val="fr-CH"/>
        </w:rPr>
      </w:pPr>
      <w:r w:rsidRPr="007D2933">
        <w:rPr>
          <w:lang w:val="fr-CH"/>
        </w:rPr>
        <w:t>(Hammamet, 2016)</w:t>
      </w:r>
    </w:p>
    <w:p w:rsidR="00711253" w:rsidRPr="00A00CA3" w:rsidRDefault="00A00CA3" w:rsidP="00E338F5">
      <w:pPr>
        <w:pStyle w:val="Normalaftertitle"/>
        <w:rPr>
          <w:lang w:val="fr-CH"/>
        </w:rPr>
      </w:pPr>
      <w:r w:rsidRPr="00A00CA3">
        <w:rPr>
          <w:lang w:val="fr-CH"/>
        </w:rPr>
        <w:t>L</w:t>
      </w:r>
      <w:r w:rsidR="00331214">
        <w:rPr>
          <w:lang w:val="fr-CH"/>
        </w:rPr>
        <w:t>'</w:t>
      </w:r>
      <w:r w:rsidR="00500E71">
        <w:rPr>
          <w:lang w:val="fr-CH"/>
        </w:rPr>
        <w:t>A</w:t>
      </w:r>
      <w:r w:rsidRPr="00A00CA3">
        <w:rPr>
          <w:lang w:val="fr-CH"/>
        </w:rPr>
        <w:t xml:space="preserve">ssemblée mondiale de normalisation des télécommunications </w:t>
      </w:r>
      <w:r w:rsidR="00711253" w:rsidRPr="00A00CA3">
        <w:rPr>
          <w:lang w:val="fr-CH"/>
        </w:rPr>
        <w:t>(Hammamet, 2016),</w:t>
      </w:r>
    </w:p>
    <w:p w:rsidR="00711253" w:rsidRPr="00D92522" w:rsidRDefault="00A00CA3" w:rsidP="00E338F5">
      <w:pPr>
        <w:pStyle w:val="Call"/>
        <w:rPr>
          <w:lang w:val="fr-FR"/>
        </w:rPr>
      </w:pPr>
      <w:r>
        <w:rPr>
          <w:lang w:val="fr-FR"/>
        </w:rPr>
        <w:t xml:space="preserve">considérant </w:t>
      </w:r>
    </w:p>
    <w:p w:rsidR="00711253" w:rsidRPr="009F28ED" w:rsidRDefault="00711253" w:rsidP="0098225A">
      <w:pPr>
        <w:rPr>
          <w:rFonts w:ascii="Calibri" w:hAnsi="Calibri"/>
          <w:b/>
          <w:sz w:val="22"/>
          <w:lang w:val="fr-FR"/>
        </w:rPr>
      </w:pPr>
      <w:r w:rsidRPr="009F28ED">
        <w:rPr>
          <w:i/>
          <w:iCs/>
          <w:lang w:val="fr-FR"/>
        </w:rPr>
        <w:t>a)</w:t>
      </w:r>
      <w:r w:rsidRPr="009F28ED">
        <w:rPr>
          <w:lang w:val="fr-FR"/>
        </w:rPr>
        <w:tab/>
      </w:r>
      <w:r w:rsidR="003A503A">
        <w:rPr>
          <w:lang w:val="fr-CH"/>
        </w:rPr>
        <w:t>que le terme "T</w:t>
      </w:r>
      <w:r w:rsidR="00A00CA3" w:rsidRPr="00A00CA3">
        <w:rPr>
          <w:lang w:val="fr-CH"/>
        </w:rPr>
        <w:t>élécommunications mobiles internationales</w:t>
      </w:r>
      <w:r w:rsidR="003A503A">
        <w:rPr>
          <w:lang w:val="fr-CH"/>
        </w:rPr>
        <w:t>"</w:t>
      </w:r>
      <w:r w:rsidR="00A00CA3" w:rsidRPr="00A00CA3">
        <w:rPr>
          <w:lang w:val="fr-CH"/>
        </w:rPr>
        <w:t xml:space="preserve"> (IMT) est le nom racine qui englobe à la fois les IMT-2000, les IMT évoluées et les 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="00A00CA3" w:rsidRPr="00A00CA3">
        <w:rPr>
          <w:lang w:val="fr-CH"/>
        </w:rPr>
        <w:t xml:space="preserve"> (voir la R</w:t>
      </w:r>
      <w:r w:rsidR="00500E71">
        <w:rPr>
          <w:lang w:val="fr-CH"/>
        </w:rPr>
        <w:t>ésolution UIT-R </w:t>
      </w:r>
      <w:r w:rsidR="00A00CA3" w:rsidRPr="00A00CA3">
        <w:rPr>
          <w:lang w:val="fr-CH"/>
        </w:rPr>
        <w:t>56);</w:t>
      </w:r>
      <w:r w:rsidR="007D2933">
        <w:rPr>
          <w:lang w:val="fr-FR"/>
        </w:rPr>
        <w:t xml:space="preserve"> </w:t>
      </w:r>
    </w:p>
    <w:p w:rsidR="00711253" w:rsidRPr="009F28ED" w:rsidRDefault="00711253" w:rsidP="00E338F5">
      <w:pPr>
        <w:rPr>
          <w:rFonts w:ascii="Calibri" w:hAnsi="Calibri"/>
          <w:b/>
          <w:sz w:val="22"/>
          <w:lang w:val="fr-FR"/>
        </w:rPr>
      </w:pPr>
      <w:r w:rsidRPr="009F28ED">
        <w:rPr>
          <w:i/>
          <w:iCs/>
          <w:lang w:val="fr-FR"/>
        </w:rPr>
        <w:t>b)</w:t>
      </w:r>
      <w:r w:rsidRPr="009F28ED">
        <w:rPr>
          <w:lang w:val="fr-FR"/>
        </w:rPr>
        <w:tab/>
      </w:r>
      <w:r w:rsidR="00A00CA3" w:rsidRPr="00A00CA3">
        <w:rPr>
          <w:color w:val="000000"/>
          <w:lang w:val="fr-CH"/>
        </w:rPr>
        <w:t>que les systèmes IMT ont contribué au développement socio-économique mondial</w:t>
      </w:r>
      <w:r w:rsidR="001A7FEC">
        <w:rPr>
          <w:color w:val="000000"/>
          <w:lang w:val="fr-CH"/>
        </w:rPr>
        <w:t xml:space="preserve"> </w:t>
      </w:r>
      <w:r w:rsidR="00D92522" w:rsidRPr="009F28ED">
        <w:rPr>
          <w:lang w:val="fr-FR"/>
        </w:rPr>
        <w:t>et</w:t>
      </w:r>
      <w:r w:rsidR="007D2933">
        <w:rPr>
          <w:lang w:val="fr-FR"/>
        </w:rPr>
        <w:t xml:space="preserve"> </w:t>
      </w:r>
      <w:r w:rsidR="00D92522" w:rsidRPr="009F28ED">
        <w:rPr>
          <w:lang w:val="fr-FR"/>
        </w:rPr>
        <w:t>sont destinés à fournir des services de télécommunication dans le monde entier, quel que soit le lieu, le réseau ou le terminal utilisé;</w:t>
      </w:r>
    </w:p>
    <w:p w:rsidR="00711253" w:rsidRPr="001A7FEC" w:rsidRDefault="00711253" w:rsidP="00E338F5">
      <w:pPr>
        <w:rPr>
          <w:lang w:val="fr-FR"/>
        </w:rPr>
      </w:pPr>
      <w:r w:rsidRPr="001A7FEC">
        <w:rPr>
          <w:i/>
          <w:iCs/>
          <w:lang w:val="fr-FR"/>
        </w:rPr>
        <w:t>c)</w:t>
      </w:r>
      <w:r w:rsidRPr="001A7FEC">
        <w:rPr>
          <w:lang w:val="fr-FR"/>
        </w:rPr>
        <w:tab/>
      </w:r>
      <w:r w:rsidR="001A7FEC" w:rsidRPr="001A7FEC">
        <w:rPr>
          <w:lang w:val="fr-FR"/>
        </w:rPr>
        <w:t xml:space="preserve">que les </w:t>
      </w:r>
      <w:r w:rsidR="00500E71">
        <w:rPr>
          <w:lang w:val="fr-FR"/>
        </w:rPr>
        <w:t>IMT</w:t>
      </w:r>
      <w:r w:rsidR="00500E71">
        <w:rPr>
          <w:lang w:val="fr-FR"/>
        </w:rPr>
        <w:noBreakHyphen/>
      </w:r>
      <w:r w:rsidR="001A7FEC" w:rsidRPr="001A7FEC">
        <w:rPr>
          <w:lang w:val="fr-FR"/>
        </w:rPr>
        <w:t>2000 seront utilisé</w:t>
      </w:r>
      <w:r w:rsidR="0098225A">
        <w:rPr>
          <w:lang w:val="fr-FR"/>
        </w:rPr>
        <w:t>e</w:t>
      </w:r>
      <w:r w:rsidR="001A7FEC" w:rsidRPr="001A7FEC">
        <w:rPr>
          <w:lang w:val="fr-FR"/>
        </w:rPr>
        <w:t>s à grande échelle dans un proche avenir</w:t>
      </w:r>
      <w:r w:rsidR="00500E71">
        <w:rPr>
          <w:lang w:val="fr-FR"/>
        </w:rPr>
        <w:t>,</w:t>
      </w:r>
      <w:r w:rsidR="008C79A1">
        <w:rPr>
          <w:lang w:val="fr-FR"/>
        </w:rPr>
        <w:t xml:space="preserve"> </w:t>
      </w:r>
      <w:r w:rsidR="001A7FEC" w:rsidRPr="001A7FEC">
        <w:rPr>
          <w:lang w:val="fr-FR"/>
        </w:rPr>
        <w:t>afin de mettre en place un écosystème de l</w:t>
      </w:r>
      <w:r w:rsidR="00331214">
        <w:rPr>
          <w:lang w:val="fr-FR"/>
        </w:rPr>
        <w:t>'</w:t>
      </w:r>
      <w:r w:rsidR="001A7FEC" w:rsidRPr="001A7FEC">
        <w:rPr>
          <w:lang w:val="fr-FR"/>
        </w:rPr>
        <w:t>information centré</w:t>
      </w:r>
      <w:r w:rsidR="001A7FEC">
        <w:rPr>
          <w:lang w:val="fr-FR"/>
        </w:rPr>
        <w:t xml:space="preserve"> </w:t>
      </w:r>
      <w:r w:rsidR="001A7FEC" w:rsidRPr="001A7FEC">
        <w:rPr>
          <w:lang w:val="fr-FR"/>
        </w:rPr>
        <w:t xml:space="preserve">sur les utilisateurs, </w:t>
      </w:r>
      <w:r w:rsidR="008C79A1">
        <w:rPr>
          <w:lang w:val="fr-FR"/>
        </w:rPr>
        <w:t xml:space="preserve">ce qui </w:t>
      </w:r>
      <w:r w:rsidR="008C79A1">
        <w:rPr>
          <w:lang w:val="fr-CH"/>
        </w:rPr>
        <w:t>contribuera grandement à la réalisation des</w:t>
      </w:r>
      <w:r w:rsidR="008C79A1" w:rsidRPr="00F361D8">
        <w:rPr>
          <w:lang w:val="fr-CH"/>
        </w:rPr>
        <w:t xml:space="preserve"> </w:t>
      </w:r>
      <w:r w:rsidR="008C79A1" w:rsidRPr="00F361D8">
        <w:rPr>
          <w:color w:val="000000"/>
          <w:lang w:val="fr-CH"/>
        </w:rPr>
        <w:t>Objectifs de développement durable fixés par les Nations Unies</w:t>
      </w:r>
      <w:r w:rsidR="007D2933">
        <w:rPr>
          <w:lang w:val="fr-FR"/>
        </w:rPr>
        <w:t>;</w:t>
      </w:r>
    </w:p>
    <w:p w:rsidR="00711253" w:rsidRPr="009F28ED" w:rsidRDefault="00711253" w:rsidP="00630B4A">
      <w:pPr>
        <w:rPr>
          <w:rFonts w:ascii="Calibri" w:hAnsi="Calibri"/>
          <w:b/>
          <w:sz w:val="22"/>
          <w:lang w:val="fr-FR"/>
        </w:rPr>
      </w:pPr>
      <w:r w:rsidRPr="009F28ED">
        <w:rPr>
          <w:i/>
          <w:iCs/>
          <w:lang w:val="fr-FR"/>
        </w:rPr>
        <w:t>d)</w:t>
      </w:r>
      <w:r w:rsidRPr="009F28ED">
        <w:rPr>
          <w:lang w:val="fr-FR"/>
        </w:rPr>
        <w:tab/>
      </w:r>
      <w:r w:rsidR="00DB09A5" w:rsidRPr="009F28ED">
        <w:rPr>
          <w:lang w:val="fr-FR"/>
        </w:rPr>
        <w:t>que le Secteur de la normalisation des télécommunications (UIT</w:t>
      </w:r>
      <w:r w:rsidR="00DB09A5" w:rsidRPr="009F28ED">
        <w:rPr>
          <w:lang w:val="fr-FR"/>
        </w:rPr>
        <w:noBreakHyphen/>
        <w:t>T) poursuit activement ses études sur la mobilité et les aspects réseau généraux des Télécommunications mobiles internationales (IMT)</w:t>
      </w:r>
      <w:r w:rsidR="008C79A1">
        <w:rPr>
          <w:lang w:val="fr-FR"/>
        </w:rPr>
        <w:t xml:space="preserve"> et</w:t>
      </w:r>
      <w:r w:rsidR="007D2933">
        <w:rPr>
          <w:lang w:val="fr-FR"/>
        </w:rPr>
        <w:t xml:space="preserve"> </w:t>
      </w:r>
      <w:r w:rsidR="008C79A1" w:rsidRPr="008C79A1">
        <w:rPr>
          <w:color w:val="000000"/>
          <w:lang w:val="fr-CH"/>
        </w:rPr>
        <w:t xml:space="preserve">a commencé à étudier </w:t>
      </w:r>
      <w:r w:rsidR="00630B4A">
        <w:rPr>
          <w:color w:val="000000"/>
          <w:lang w:val="fr-CH"/>
        </w:rPr>
        <w:t xml:space="preserve">en 2015 </w:t>
      </w:r>
      <w:r w:rsidR="008C79A1" w:rsidRPr="008C79A1">
        <w:rPr>
          <w:color w:val="000000"/>
          <w:lang w:val="fr-CH"/>
        </w:rPr>
        <w:t>la normalisation des réseaux pour les IMT à l</w:t>
      </w:r>
      <w:r w:rsidR="00331214">
        <w:rPr>
          <w:color w:val="000000"/>
          <w:lang w:val="fr-CH"/>
        </w:rPr>
        <w:t>'</w:t>
      </w:r>
      <w:r w:rsidR="008C79A1" w:rsidRPr="008C79A1">
        <w:rPr>
          <w:color w:val="000000"/>
          <w:lang w:val="fr-CH"/>
        </w:rPr>
        <w:t>horizon 2020 et au-delà;</w:t>
      </w:r>
    </w:p>
    <w:p w:rsidR="00711253" w:rsidRPr="009F28ED" w:rsidRDefault="00711253" w:rsidP="00630B4A">
      <w:pPr>
        <w:rPr>
          <w:lang w:val="fr-FR"/>
        </w:rPr>
      </w:pPr>
      <w:r w:rsidRPr="009F28ED">
        <w:rPr>
          <w:i/>
          <w:iCs/>
          <w:lang w:val="fr-FR"/>
        </w:rPr>
        <w:t>e)</w:t>
      </w:r>
      <w:r w:rsidRPr="009F28ED">
        <w:rPr>
          <w:lang w:val="fr-FR"/>
        </w:rPr>
        <w:tab/>
      </w:r>
      <w:r w:rsidR="00DB09A5" w:rsidRPr="009F28ED">
        <w:rPr>
          <w:lang w:val="fr-FR"/>
        </w:rPr>
        <w:t>que les commissions d</w:t>
      </w:r>
      <w:r w:rsidR="00331214">
        <w:rPr>
          <w:lang w:val="fr-FR"/>
        </w:rPr>
        <w:t>'</w:t>
      </w:r>
      <w:r w:rsidR="00DB09A5" w:rsidRPr="009F28ED">
        <w:rPr>
          <w:lang w:val="fr-FR"/>
        </w:rPr>
        <w:t>études</w:t>
      </w:r>
      <w:r w:rsidR="00630B4A">
        <w:rPr>
          <w:lang w:val="fr-FR"/>
        </w:rPr>
        <w:t xml:space="preserve"> </w:t>
      </w:r>
      <w:r w:rsidR="00DB09A5" w:rsidRPr="009F28ED">
        <w:rPr>
          <w:lang w:val="fr-FR"/>
        </w:rPr>
        <w:t>de l</w:t>
      </w:r>
      <w:r w:rsidR="00331214">
        <w:rPr>
          <w:lang w:val="fr-FR"/>
        </w:rPr>
        <w:t>'</w:t>
      </w:r>
      <w:r w:rsidR="00DB09A5" w:rsidRPr="009F28ED">
        <w:rPr>
          <w:lang w:val="fr-FR"/>
        </w:rPr>
        <w:t>UIT</w:t>
      </w:r>
      <w:r w:rsidR="00DB09A5" w:rsidRPr="009F28ED">
        <w:rPr>
          <w:lang w:val="fr-FR"/>
        </w:rPr>
        <w:noBreakHyphen/>
        <w:t>T participant à la normalisation des IMT et la Commission d</w:t>
      </w:r>
      <w:r w:rsidR="00331214">
        <w:rPr>
          <w:lang w:val="fr-FR"/>
        </w:rPr>
        <w:t>'</w:t>
      </w:r>
      <w:r w:rsidR="00DB09A5" w:rsidRPr="009F28ED">
        <w:rPr>
          <w:lang w:val="fr-FR"/>
        </w:rPr>
        <w:t>études 5 de l</w:t>
      </w:r>
      <w:r w:rsidR="00331214">
        <w:rPr>
          <w:lang w:val="fr-FR"/>
        </w:rPr>
        <w:t>'</w:t>
      </w:r>
      <w:r w:rsidR="00DB09A5" w:rsidRPr="009F28ED">
        <w:rPr>
          <w:lang w:val="fr-FR"/>
        </w:rPr>
        <w:t>UIT</w:t>
      </w:r>
      <w:r w:rsidR="00DB09A5" w:rsidRPr="009F28ED">
        <w:rPr>
          <w:lang w:val="fr-FR"/>
        </w:rPr>
        <w:noBreakHyphen/>
        <w:t>R</w:t>
      </w:r>
      <w:r w:rsidR="008C79A1">
        <w:rPr>
          <w:lang w:val="fr-FR"/>
        </w:rPr>
        <w:t>, qui</w:t>
      </w:r>
      <w:r w:rsidR="007D2933">
        <w:rPr>
          <w:lang w:val="fr-FR"/>
        </w:rPr>
        <w:t xml:space="preserve"> </w:t>
      </w:r>
      <w:r w:rsidR="008C79A1" w:rsidRPr="008C79A1">
        <w:rPr>
          <w:color w:val="000000"/>
          <w:lang w:val="fr-CH"/>
        </w:rPr>
        <w:t>est chargée</w:t>
      </w:r>
      <w:r w:rsidR="007D2933">
        <w:rPr>
          <w:color w:val="000000"/>
          <w:lang w:val="fr-CH"/>
        </w:rPr>
        <w:t xml:space="preserve"> </w:t>
      </w:r>
      <w:r w:rsidR="008C79A1" w:rsidRPr="008C79A1">
        <w:rPr>
          <w:color w:val="000000"/>
          <w:lang w:val="fr-CH"/>
        </w:rPr>
        <w:t>du développement des IMT</w:t>
      </w:r>
      <w:r w:rsidR="008C79A1">
        <w:rPr>
          <w:color w:val="000000"/>
          <w:lang w:val="fr-CH"/>
        </w:rPr>
        <w:t>,</w:t>
      </w:r>
      <w:r w:rsidR="007D2933">
        <w:rPr>
          <w:color w:val="000000"/>
          <w:lang w:val="fr-CH"/>
        </w:rPr>
        <w:t xml:space="preserve"> </w:t>
      </w:r>
      <w:r w:rsidR="00DB09A5" w:rsidRPr="009F28ED">
        <w:rPr>
          <w:lang w:val="fr-FR"/>
        </w:rPr>
        <w:t>ont assuré, et continuent d</w:t>
      </w:r>
      <w:r w:rsidR="00331214">
        <w:rPr>
          <w:lang w:val="fr-FR"/>
        </w:rPr>
        <w:t>'</w:t>
      </w:r>
      <w:r w:rsidR="00DB09A5" w:rsidRPr="009F28ED">
        <w:rPr>
          <w:lang w:val="fr-FR"/>
        </w:rPr>
        <w:t>assurer, une coordination informelle efficace sous forme d</w:t>
      </w:r>
      <w:r w:rsidR="00331214">
        <w:rPr>
          <w:lang w:val="fr-FR"/>
        </w:rPr>
        <w:t>'</w:t>
      </w:r>
      <w:r w:rsidR="00DB09A5" w:rsidRPr="009F28ED">
        <w:rPr>
          <w:lang w:val="fr-FR"/>
        </w:rPr>
        <w:t>activités de liaison pour l</w:t>
      </w:r>
      <w:r w:rsidR="00331214">
        <w:rPr>
          <w:lang w:val="fr-FR"/>
        </w:rPr>
        <w:t>'</w:t>
      </w:r>
      <w:r w:rsidR="00DB09A5" w:rsidRPr="009F28ED">
        <w:rPr>
          <w:lang w:val="fr-FR"/>
        </w:rPr>
        <w:t>élaboration de Recommandations sur les IMT pour les deux Secteurs</w:t>
      </w:r>
      <w:r w:rsidRPr="009F28ED">
        <w:rPr>
          <w:lang w:val="fr-FR"/>
        </w:rPr>
        <w:t xml:space="preserve">; </w:t>
      </w:r>
    </w:p>
    <w:p w:rsidR="00711253" w:rsidRPr="009F28ED" w:rsidRDefault="00711253" w:rsidP="0098225A">
      <w:pPr>
        <w:rPr>
          <w:rFonts w:ascii="Calibri" w:hAnsi="Calibri"/>
          <w:b/>
          <w:sz w:val="22"/>
          <w:lang w:val="fr-FR"/>
        </w:rPr>
      </w:pPr>
      <w:r w:rsidRPr="009F28ED">
        <w:rPr>
          <w:i/>
          <w:iCs/>
          <w:lang w:val="fr-FR"/>
        </w:rPr>
        <w:t>f)</w:t>
      </w:r>
      <w:r w:rsidRPr="009F28ED">
        <w:rPr>
          <w:lang w:val="fr-FR"/>
        </w:rPr>
        <w:tab/>
      </w:r>
      <w:r w:rsidR="00E2720D">
        <w:rPr>
          <w:lang w:val="fr-FR"/>
        </w:rPr>
        <w:t>que</w:t>
      </w:r>
      <w:r w:rsidR="00630B4A">
        <w:rPr>
          <w:lang w:val="fr-FR"/>
        </w:rPr>
        <w:t>,</w:t>
      </w:r>
      <w:r w:rsidR="00E2720D">
        <w:rPr>
          <w:lang w:val="fr-FR"/>
        </w:rPr>
        <w:t xml:space="preserve"> conformément à la Recommandation</w:t>
      </w:r>
      <w:r w:rsidR="007D2933">
        <w:rPr>
          <w:lang w:val="fr-FR"/>
        </w:rPr>
        <w:t xml:space="preserve"> </w:t>
      </w:r>
      <w:r w:rsidR="00630B4A">
        <w:rPr>
          <w:lang w:val="fr-FR"/>
        </w:rPr>
        <w:t>207 (Ré</w:t>
      </w:r>
      <w:r w:rsidRPr="009F28ED">
        <w:rPr>
          <w:lang w:val="fr-FR"/>
        </w:rPr>
        <w:t>v.</w:t>
      </w:r>
      <w:r w:rsidR="00E2720D">
        <w:rPr>
          <w:lang w:val="fr-FR"/>
        </w:rPr>
        <w:t>CMR</w:t>
      </w:r>
      <w:r w:rsidRPr="009F28ED">
        <w:rPr>
          <w:lang w:val="fr-FR"/>
        </w:rPr>
        <w:t>-15)</w:t>
      </w:r>
      <w:r w:rsidR="00E2720D">
        <w:rPr>
          <w:lang w:val="fr-FR"/>
        </w:rPr>
        <w:t xml:space="preserve"> de l</w:t>
      </w:r>
      <w:r w:rsidR="00331214">
        <w:rPr>
          <w:lang w:val="fr-FR"/>
        </w:rPr>
        <w:t>'</w:t>
      </w:r>
      <w:r w:rsidR="00630B4A">
        <w:rPr>
          <w:lang w:val="fr-FR"/>
        </w:rPr>
        <w:t>A</w:t>
      </w:r>
      <w:r w:rsidR="00E2720D">
        <w:rPr>
          <w:lang w:val="fr-FR"/>
        </w:rPr>
        <w:t>ssemblée des radiocommunications</w:t>
      </w:r>
      <w:r w:rsidR="007D2933">
        <w:rPr>
          <w:lang w:val="fr-FR"/>
        </w:rPr>
        <w:t xml:space="preserve"> </w:t>
      </w:r>
      <w:r w:rsidRPr="009F28ED">
        <w:rPr>
          <w:lang w:val="fr-FR"/>
        </w:rPr>
        <w:t>(</w:t>
      </w:r>
      <w:r w:rsidR="00E2720D">
        <w:rPr>
          <w:lang w:val="fr-FR"/>
        </w:rPr>
        <w:t>AR</w:t>
      </w:r>
      <w:r w:rsidRPr="009F28ED">
        <w:rPr>
          <w:lang w:val="fr-FR"/>
        </w:rPr>
        <w:t>),</w:t>
      </w:r>
      <w:r w:rsidR="007D2933">
        <w:rPr>
          <w:lang w:val="fr-FR"/>
        </w:rPr>
        <w:t xml:space="preserve"> </w:t>
      </w:r>
      <w:r w:rsidR="00B7391E" w:rsidRPr="009F28ED">
        <w:rPr>
          <w:lang w:val="fr-FR"/>
        </w:rPr>
        <w:t>il est prévu que l</w:t>
      </w:r>
      <w:r w:rsidR="00331214">
        <w:rPr>
          <w:lang w:val="fr-FR"/>
        </w:rPr>
        <w:t>'</w:t>
      </w:r>
      <w:r w:rsidR="00B7391E" w:rsidRPr="009F28ED">
        <w:rPr>
          <w:lang w:val="fr-FR"/>
        </w:rPr>
        <w:t>évolution future des IMT à l</w:t>
      </w:r>
      <w:r w:rsidR="00331214">
        <w:rPr>
          <w:lang w:val="fr-FR"/>
        </w:rPr>
        <w:t>'</w:t>
      </w:r>
      <w:r w:rsidR="00B7391E" w:rsidRPr="009F28ED">
        <w:rPr>
          <w:lang w:val="fr-FR"/>
        </w:rPr>
        <w:t xml:space="preserve">horizon 2020 et au-delà </w:t>
      </w:r>
      <w:r w:rsidR="00E2720D">
        <w:rPr>
          <w:lang w:val="fr-FR"/>
        </w:rPr>
        <w:t>prenne en compte</w:t>
      </w:r>
      <w:r w:rsidR="00B7391E" w:rsidRPr="009F28ED">
        <w:rPr>
          <w:lang w:val="fr-FR"/>
        </w:rPr>
        <w:t xml:space="preserve"> la nécessité de prévoir des débits de données supérieurs à ceux des systèmes IMT déployés actuellement et correspondant aux besoins des utilisateurs, selon qu</w:t>
      </w:r>
      <w:r w:rsidR="00331214">
        <w:rPr>
          <w:lang w:val="fr-FR"/>
        </w:rPr>
        <w:t>'</w:t>
      </w:r>
      <w:r w:rsidR="00B7391E" w:rsidRPr="009F28ED">
        <w:rPr>
          <w:lang w:val="fr-FR"/>
        </w:rPr>
        <w:t>il conviendra;</w:t>
      </w:r>
    </w:p>
    <w:p w:rsidR="00711253" w:rsidRPr="009F28ED" w:rsidRDefault="00711253" w:rsidP="00630B4A">
      <w:pPr>
        <w:rPr>
          <w:lang w:val="fr-FR"/>
        </w:rPr>
      </w:pPr>
      <w:r w:rsidRPr="009F28ED">
        <w:rPr>
          <w:i/>
          <w:iCs/>
          <w:lang w:val="fr-FR"/>
        </w:rPr>
        <w:t>g)</w:t>
      </w:r>
      <w:r w:rsidRPr="009F28ED">
        <w:rPr>
          <w:lang w:val="fr-FR"/>
        </w:rPr>
        <w:tab/>
      </w:r>
      <w:r w:rsidR="006E3516" w:rsidRPr="009F28ED">
        <w:rPr>
          <w:lang w:val="fr-FR"/>
        </w:rPr>
        <w:t>que l</w:t>
      </w:r>
      <w:r w:rsidR="00331214">
        <w:rPr>
          <w:lang w:val="fr-FR"/>
        </w:rPr>
        <w:t>'</w:t>
      </w:r>
      <w:r w:rsidR="006E3516" w:rsidRPr="009F28ED">
        <w:rPr>
          <w:lang w:val="fr-FR"/>
        </w:rPr>
        <w:t>élaboration d</w:t>
      </w:r>
      <w:r w:rsidR="00331214">
        <w:rPr>
          <w:lang w:val="fr-FR"/>
        </w:rPr>
        <w:t>'</w:t>
      </w:r>
      <w:r w:rsidR="006E3516" w:rsidRPr="009F28ED">
        <w:rPr>
          <w:lang w:val="fr-FR"/>
        </w:rPr>
        <w:t>un document d</w:t>
      </w:r>
      <w:r w:rsidR="00331214">
        <w:rPr>
          <w:lang w:val="fr-FR"/>
        </w:rPr>
        <w:t>'</w:t>
      </w:r>
      <w:r w:rsidR="006E3516" w:rsidRPr="009F28ED">
        <w:rPr>
          <w:lang w:val="fr-FR"/>
        </w:rPr>
        <w:t xml:space="preserve">orientation </w:t>
      </w:r>
      <w:r w:rsidR="00E2720D" w:rsidRPr="00E2720D">
        <w:rPr>
          <w:color w:val="000000"/>
          <w:lang w:val="fr-CH"/>
        </w:rPr>
        <w:t xml:space="preserve">relatif à toutes les activités </w:t>
      </w:r>
      <w:r w:rsidR="00630B4A">
        <w:rPr>
          <w:color w:val="000000"/>
          <w:lang w:val="fr-CH"/>
        </w:rPr>
        <w:t xml:space="preserve">de normalisation </w:t>
      </w:r>
      <w:r w:rsidR="00E2720D" w:rsidRPr="00E2720D">
        <w:rPr>
          <w:color w:val="000000"/>
          <w:lang w:val="fr-CH"/>
        </w:rPr>
        <w:t>sur les IMT</w:t>
      </w:r>
      <w:r w:rsidR="00E2720D" w:rsidRPr="009F28ED">
        <w:rPr>
          <w:lang w:val="fr-FR"/>
        </w:rPr>
        <w:t xml:space="preserve"> </w:t>
      </w:r>
      <w:r w:rsidR="00630B4A">
        <w:rPr>
          <w:lang w:val="fr-FR"/>
        </w:rPr>
        <w:t xml:space="preserve">menées par </w:t>
      </w:r>
      <w:r w:rsidR="00E2720D">
        <w:rPr>
          <w:lang w:val="fr-FR"/>
        </w:rPr>
        <w:t>l</w:t>
      </w:r>
      <w:r w:rsidR="00331214">
        <w:rPr>
          <w:lang w:val="fr-FR"/>
        </w:rPr>
        <w:t>'</w:t>
      </w:r>
      <w:r w:rsidR="00E2720D">
        <w:rPr>
          <w:lang w:val="fr-FR"/>
        </w:rPr>
        <w:t>UIT-R et l</w:t>
      </w:r>
      <w:r w:rsidR="00331214">
        <w:rPr>
          <w:lang w:val="fr-FR"/>
        </w:rPr>
        <w:t>'</w:t>
      </w:r>
      <w:r w:rsidR="000F2F97">
        <w:rPr>
          <w:lang w:val="fr-FR"/>
        </w:rPr>
        <w:t>UIT</w:t>
      </w:r>
      <w:r w:rsidR="000F2F97">
        <w:rPr>
          <w:lang w:val="fr-FR"/>
        </w:rPr>
        <w:noBreakHyphen/>
        <w:t>T</w:t>
      </w:r>
      <w:r w:rsidR="00E2720D">
        <w:rPr>
          <w:lang w:val="fr-FR"/>
        </w:rPr>
        <w:t>,</w:t>
      </w:r>
      <w:r w:rsidR="007D2933">
        <w:rPr>
          <w:lang w:val="fr-FR"/>
        </w:rPr>
        <w:t xml:space="preserve"> </w:t>
      </w:r>
      <w:r w:rsidR="006E3516" w:rsidRPr="009F28ED">
        <w:rPr>
          <w:lang w:val="fr-FR"/>
        </w:rPr>
        <w:t>afin que ceux</w:t>
      </w:r>
      <w:r w:rsidR="006E3516" w:rsidRPr="009F28ED">
        <w:rPr>
          <w:lang w:val="fr-FR"/>
        </w:rPr>
        <w:noBreakHyphen/>
        <w:t>ci puissent gérer et poursuivre leurs travaux sur les IMT d</w:t>
      </w:r>
      <w:r w:rsidR="00331214">
        <w:rPr>
          <w:lang w:val="fr-FR"/>
        </w:rPr>
        <w:t>'</w:t>
      </w:r>
      <w:r w:rsidR="006E3516" w:rsidRPr="009F28ED">
        <w:rPr>
          <w:lang w:val="fr-FR"/>
        </w:rPr>
        <w:t>une manière indépendante</w:t>
      </w:r>
      <w:r w:rsidR="00E2720D" w:rsidRPr="00E2720D">
        <w:rPr>
          <w:color w:val="000000"/>
          <w:lang w:val="fr-CH"/>
        </w:rPr>
        <w:t xml:space="preserve"> et</w:t>
      </w:r>
      <w:r w:rsidR="007D2933">
        <w:rPr>
          <w:color w:val="000000"/>
          <w:lang w:val="fr-CH"/>
        </w:rPr>
        <w:t xml:space="preserve"> </w:t>
      </w:r>
      <w:r w:rsidR="00E2720D" w:rsidRPr="00E2720D">
        <w:rPr>
          <w:color w:val="000000"/>
          <w:lang w:val="fr-CH"/>
        </w:rPr>
        <w:t>en assurer la coordination</w:t>
      </w:r>
      <w:r w:rsidR="007D2933">
        <w:rPr>
          <w:color w:val="000000"/>
          <w:lang w:val="fr-CH"/>
        </w:rPr>
        <w:t xml:space="preserve"> </w:t>
      </w:r>
      <w:r w:rsidR="00E2720D" w:rsidRPr="00E2720D">
        <w:rPr>
          <w:color w:val="000000"/>
          <w:lang w:val="fr-CH"/>
        </w:rPr>
        <w:t>de</w:t>
      </w:r>
      <w:r w:rsidR="00E2720D">
        <w:rPr>
          <w:color w:val="000000"/>
          <w:lang w:val="fr-CH"/>
        </w:rPr>
        <w:t xml:space="preserve"> façon à</w:t>
      </w:r>
      <w:r w:rsidR="00E2720D" w:rsidRPr="00E2720D">
        <w:rPr>
          <w:color w:val="000000"/>
          <w:lang w:val="fr-CH"/>
        </w:rPr>
        <w:t xml:space="preserve"> garantir une synchronisation et une harmonisation parfaites entre les programmes de travail</w:t>
      </w:r>
      <w:r w:rsidR="00E2720D">
        <w:rPr>
          <w:color w:val="000000"/>
          <w:lang w:val="fr-CH"/>
        </w:rPr>
        <w:t xml:space="preserve"> </w:t>
      </w:r>
      <w:r w:rsidR="006E3516" w:rsidRPr="009F28ED">
        <w:rPr>
          <w:lang w:val="fr-FR"/>
        </w:rPr>
        <w:t>dans un cadre de travail complémentaire</w:t>
      </w:r>
      <w:r w:rsidR="00E2720D">
        <w:rPr>
          <w:lang w:val="fr-FR"/>
        </w:rPr>
        <w:t>,</w:t>
      </w:r>
      <w:r w:rsidR="006E3516" w:rsidRPr="009F28ED">
        <w:rPr>
          <w:lang w:val="fr-FR"/>
        </w:rPr>
        <w:t xml:space="preserve"> offre un moyen efficace de faire progresser les travaux dans les deux Secteurs, et que ce concept de document d</w:t>
      </w:r>
      <w:r w:rsidR="00331214">
        <w:rPr>
          <w:lang w:val="fr-FR"/>
        </w:rPr>
        <w:t>'</w:t>
      </w:r>
      <w:r w:rsidR="006E3516" w:rsidRPr="009F28ED">
        <w:rPr>
          <w:lang w:val="fr-FR"/>
        </w:rPr>
        <w:t>orientation facilite les communications sur les questions relatives aux IMT avec les organisations extérieures à l</w:t>
      </w:r>
      <w:r w:rsidR="00331214">
        <w:rPr>
          <w:lang w:val="fr-FR"/>
        </w:rPr>
        <w:t>'</w:t>
      </w:r>
      <w:r w:rsidR="006E3516" w:rsidRPr="009F28ED">
        <w:rPr>
          <w:lang w:val="fr-FR"/>
        </w:rPr>
        <w:t>UIT</w:t>
      </w:r>
      <w:r w:rsidRPr="009F28ED">
        <w:rPr>
          <w:lang w:val="fr-FR"/>
        </w:rPr>
        <w:t>;</w:t>
      </w:r>
    </w:p>
    <w:p w:rsidR="00711253" w:rsidRPr="009F28ED" w:rsidRDefault="00711253" w:rsidP="00A64D44">
      <w:pPr>
        <w:rPr>
          <w:rFonts w:ascii="Calibri" w:hAnsi="Calibri"/>
          <w:b/>
          <w:sz w:val="22"/>
          <w:lang w:val="fr-FR"/>
        </w:rPr>
      </w:pPr>
      <w:r w:rsidRPr="009F28ED">
        <w:rPr>
          <w:i/>
          <w:iCs/>
          <w:lang w:val="fr-FR"/>
        </w:rPr>
        <w:t>h)</w:t>
      </w:r>
      <w:r w:rsidRPr="009F28ED">
        <w:rPr>
          <w:lang w:val="fr-FR"/>
        </w:rPr>
        <w:tab/>
      </w:r>
      <w:r w:rsidR="00630B4A">
        <w:rPr>
          <w:lang w:val="fr-FR"/>
        </w:rPr>
        <w:t>que, par sa Résolution 43 (Ré</w:t>
      </w:r>
      <w:r w:rsidR="0098225A">
        <w:rPr>
          <w:lang w:val="fr-FR"/>
        </w:rPr>
        <w:t>v.</w:t>
      </w:r>
      <w:r w:rsidR="009647E1" w:rsidRPr="009F28ED">
        <w:rPr>
          <w:lang w:val="fr-FR"/>
        </w:rPr>
        <w:t>Duba</w:t>
      </w:r>
      <w:r w:rsidR="00A64D44">
        <w:rPr>
          <w:lang w:val="fr-FR"/>
        </w:rPr>
        <w:t>ï</w:t>
      </w:r>
      <w:r w:rsidR="009647E1" w:rsidRPr="009F28ED">
        <w:rPr>
          <w:lang w:val="fr-FR"/>
        </w:rPr>
        <w:t xml:space="preserve">, 2014), la Conférence mondiale de développement des télécommunications (CMDT) a décidé de faire figurer </w:t>
      </w:r>
      <w:r w:rsidR="00D475FE" w:rsidRPr="009F28ED">
        <w:rPr>
          <w:lang w:val="fr-CH"/>
        </w:rPr>
        <w:t>la nécessité continue de promouvoir les IMT dans le monde entier et, en particulier, dans les pays en développement</w:t>
      </w:r>
      <w:r w:rsidRPr="009F28ED">
        <w:rPr>
          <w:lang w:val="fr-FR"/>
        </w:rPr>
        <w:t>;</w:t>
      </w:r>
    </w:p>
    <w:p w:rsidR="00711253" w:rsidRPr="009F28ED" w:rsidRDefault="00711253" w:rsidP="003A503A">
      <w:pPr>
        <w:rPr>
          <w:lang w:val="fr-FR"/>
        </w:rPr>
      </w:pPr>
      <w:r w:rsidRPr="009F28ED">
        <w:rPr>
          <w:i/>
          <w:iCs/>
          <w:lang w:val="fr-FR"/>
        </w:rPr>
        <w:t>i)</w:t>
      </w:r>
      <w:r w:rsidRPr="009F28ED">
        <w:rPr>
          <w:lang w:val="fr-FR"/>
        </w:rPr>
        <w:tab/>
      </w:r>
      <w:r w:rsidR="00B7391E" w:rsidRPr="009F28ED">
        <w:rPr>
          <w:lang w:val="fr-FR"/>
        </w:rPr>
        <w:t>que la Recommandation UIT-R M.819 décrit les objectifs que doivent atteindre les IMT</w:t>
      </w:r>
      <w:r w:rsidR="00B7391E" w:rsidRPr="009F28ED">
        <w:rPr>
          <w:lang w:val="fr-FR"/>
        </w:rPr>
        <w:noBreakHyphen/>
        <w:t>2000</w:t>
      </w:r>
      <w:r w:rsidR="00E67CB8">
        <w:rPr>
          <w:lang w:val="fr-FR"/>
        </w:rPr>
        <w:t>,</w:t>
      </w:r>
      <w:r w:rsidR="00B7391E" w:rsidRPr="009F28ED">
        <w:rPr>
          <w:lang w:val="fr-FR"/>
        </w:rPr>
        <w:t xml:space="preserve"> afin de répondre aux besoins des pays en d</w:t>
      </w:r>
      <w:r w:rsidR="003A503A">
        <w:rPr>
          <w:lang w:val="fr-FR"/>
        </w:rPr>
        <w:t>éveloppement et de les aider à "</w:t>
      </w:r>
      <w:r w:rsidR="00B7391E" w:rsidRPr="009F28ED">
        <w:rPr>
          <w:lang w:val="fr-FR"/>
        </w:rPr>
        <w:t>réduire la fracture</w:t>
      </w:r>
      <w:r w:rsidR="003A503A">
        <w:rPr>
          <w:lang w:val="fr-FR"/>
        </w:rPr>
        <w:t>"</w:t>
      </w:r>
      <w:r w:rsidR="00B7391E" w:rsidRPr="009F28ED">
        <w:rPr>
          <w:lang w:val="fr-FR"/>
        </w:rPr>
        <w:t xml:space="preserve"> entre leurs capacités de communication et celles des pays développés;</w:t>
      </w:r>
    </w:p>
    <w:p w:rsidR="00711253" w:rsidRPr="009F28ED" w:rsidRDefault="00711253" w:rsidP="00F31B1E">
      <w:pPr>
        <w:rPr>
          <w:lang w:val="fr-FR"/>
        </w:rPr>
      </w:pPr>
      <w:r w:rsidRPr="009F28ED">
        <w:rPr>
          <w:i/>
          <w:iCs/>
          <w:lang w:val="fr-FR"/>
        </w:rPr>
        <w:lastRenderedPageBreak/>
        <w:t>j)</w:t>
      </w:r>
      <w:r w:rsidRPr="009F28ED">
        <w:rPr>
          <w:lang w:val="fr-FR"/>
        </w:rPr>
        <w:tab/>
      </w:r>
      <w:r w:rsidR="009647E1" w:rsidRPr="009F28ED">
        <w:rPr>
          <w:lang w:val="fr-FR"/>
        </w:rPr>
        <w:t>que la Commission d</w:t>
      </w:r>
      <w:r w:rsidR="00331214">
        <w:rPr>
          <w:lang w:val="fr-FR"/>
        </w:rPr>
        <w:t>'</w:t>
      </w:r>
      <w:r w:rsidR="009647E1" w:rsidRPr="009F28ED">
        <w:rPr>
          <w:lang w:val="fr-FR"/>
        </w:rPr>
        <w:t>études 1 du Secteur du développement des télécommunications de l</w:t>
      </w:r>
      <w:r w:rsidR="00331214">
        <w:rPr>
          <w:lang w:val="fr-FR"/>
        </w:rPr>
        <w:t>'</w:t>
      </w:r>
      <w:r w:rsidR="009647E1" w:rsidRPr="009F28ED">
        <w:rPr>
          <w:lang w:val="fr-FR"/>
        </w:rPr>
        <w:t>UIT (UIT</w:t>
      </w:r>
      <w:r w:rsidR="009647E1" w:rsidRPr="009F28ED">
        <w:rPr>
          <w:lang w:val="fr-FR"/>
        </w:rPr>
        <w:noBreakHyphen/>
        <w:t xml:space="preserve">D) participe actuellement, en étroite coordination avec </w:t>
      </w:r>
      <w:r w:rsidR="00F31B1E">
        <w:rPr>
          <w:lang w:val="fr-FR"/>
        </w:rPr>
        <w:t>la CE </w:t>
      </w:r>
      <w:r w:rsidR="00E67CB8">
        <w:rPr>
          <w:lang w:val="fr-FR"/>
        </w:rPr>
        <w:t xml:space="preserve">13 de </w:t>
      </w:r>
      <w:r w:rsidR="009647E1" w:rsidRPr="009F28ED">
        <w:rPr>
          <w:lang w:val="fr-FR"/>
        </w:rPr>
        <w:t>l</w:t>
      </w:r>
      <w:r w:rsidR="00331214">
        <w:rPr>
          <w:lang w:val="fr-FR"/>
        </w:rPr>
        <w:t>'</w:t>
      </w:r>
      <w:r w:rsidR="009647E1" w:rsidRPr="009F28ED">
        <w:rPr>
          <w:lang w:val="fr-FR"/>
        </w:rPr>
        <w:t xml:space="preserve">UIT-T et </w:t>
      </w:r>
      <w:r w:rsidR="00E67CB8">
        <w:rPr>
          <w:lang w:val="fr-FR"/>
        </w:rPr>
        <w:t>la CE</w:t>
      </w:r>
      <w:r w:rsidR="00F31B1E">
        <w:rPr>
          <w:lang w:val="fr-FR"/>
        </w:rPr>
        <w:t> </w:t>
      </w:r>
      <w:r w:rsidR="00E67CB8">
        <w:rPr>
          <w:lang w:val="fr-FR"/>
        </w:rPr>
        <w:t xml:space="preserve">5 de </w:t>
      </w:r>
      <w:r w:rsidR="009647E1" w:rsidRPr="009F28ED">
        <w:rPr>
          <w:lang w:val="fr-FR"/>
        </w:rPr>
        <w:t>l</w:t>
      </w:r>
      <w:r w:rsidR="00331214">
        <w:rPr>
          <w:lang w:val="fr-FR"/>
        </w:rPr>
        <w:t>'</w:t>
      </w:r>
      <w:r w:rsidR="009647E1" w:rsidRPr="009F28ED">
        <w:rPr>
          <w:lang w:val="fr-FR"/>
        </w:rPr>
        <w:t xml:space="preserve">UIT-R, à des activités visant à recenser les facteurs qui influent sur le développement efficace du large bande, y compris les IMT, dans les pays en développement; </w:t>
      </w:r>
    </w:p>
    <w:p w:rsidR="00711253" w:rsidRPr="009F28ED" w:rsidRDefault="00711253" w:rsidP="00E338F5">
      <w:pPr>
        <w:rPr>
          <w:rFonts w:ascii="Calibri" w:hAnsi="Calibri"/>
          <w:b/>
          <w:sz w:val="22"/>
          <w:lang w:val="fr-FR"/>
        </w:rPr>
      </w:pPr>
      <w:r w:rsidRPr="009F28ED">
        <w:rPr>
          <w:i/>
          <w:iCs/>
          <w:lang w:val="fr-FR"/>
        </w:rPr>
        <w:t>k)</w:t>
      </w:r>
      <w:r w:rsidRPr="009F28ED">
        <w:rPr>
          <w:lang w:val="fr-FR"/>
        </w:rPr>
        <w:tab/>
      </w:r>
      <w:r w:rsidR="000F4EB0" w:rsidRPr="009F28ED">
        <w:rPr>
          <w:lang w:val="fr-FR"/>
        </w:rPr>
        <w:t>que les systèmes IMT évoluent actuellement pour fournir divers scénarios d</w:t>
      </w:r>
      <w:r w:rsidR="00331214">
        <w:rPr>
          <w:lang w:val="fr-FR"/>
        </w:rPr>
        <w:t>'</w:t>
      </w:r>
      <w:r w:rsidR="000F4EB0" w:rsidRPr="009F28ED">
        <w:rPr>
          <w:lang w:val="fr-FR"/>
        </w:rPr>
        <w:t>utilisation et diverses applications, par exemple le large bande mobile évolué, les communications massives de type machine</w:t>
      </w:r>
      <w:r w:rsidR="000F4EB0" w:rsidRPr="009F28ED">
        <w:rPr>
          <w:lang w:val="fr-FR" w:eastAsia="ko-KR"/>
        </w:rPr>
        <w:t xml:space="preserve"> et les communication</w:t>
      </w:r>
      <w:r w:rsidR="005715BE">
        <w:rPr>
          <w:lang w:val="fr-FR" w:eastAsia="ko-KR"/>
        </w:rPr>
        <w:t>s</w:t>
      </w:r>
      <w:r w:rsidR="000F4EB0" w:rsidRPr="009F28ED">
        <w:rPr>
          <w:lang w:val="fr-FR" w:eastAsia="ko-KR"/>
        </w:rPr>
        <w:t xml:space="preserve"> ultrafiables présentant un faible temps de latence</w:t>
      </w:r>
      <w:r w:rsidRPr="009F28ED">
        <w:rPr>
          <w:lang w:val="fr-FR"/>
        </w:rPr>
        <w:t>,</w:t>
      </w:r>
      <w:r w:rsidR="007D2933">
        <w:rPr>
          <w:lang w:val="fr-FR"/>
        </w:rPr>
        <w:t xml:space="preserve"> </w:t>
      </w:r>
      <w:r w:rsidR="00E67CB8" w:rsidRPr="00E67CB8">
        <w:rPr>
          <w:color w:val="000000"/>
          <w:lang w:val="fr-CH"/>
        </w:rPr>
        <w:t>qu</w:t>
      </w:r>
      <w:r w:rsidR="00331214">
        <w:rPr>
          <w:color w:val="000000"/>
          <w:lang w:val="fr-CH"/>
        </w:rPr>
        <w:t>'</w:t>
      </w:r>
      <w:r w:rsidR="00E67CB8" w:rsidRPr="00E67CB8">
        <w:rPr>
          <w:color w:val="000000"/>
          <w:lang w:val="fr-CH"/>
        </w:rPr>
        <w:t>un grand nombre de pays ont déjà mis en place</w:t>
      </w:r>
      <w:r w:rsidR="007D2933">
        <w:rPr>
          <w:lang w:val="fr-FR"/>
        </w:rPr>
        <w:t>;</w:t>
      </w:r>
    </w:p>
    <w:p w:rsidR="00711253" w:rsidRPr="009F28ED" w:rsidRDefault="00711253" w:rsidP="0098225A">
      <w:pPr>
        <w:rPr>
          <w:rFonts w:ascii="Calibri" w:hAnsi="Calibri"/>
          <w:b/>
          <w:sz w:val="22"/>
          <w:lang w:val="fr-FR"/>
        </w:rPr>
      </w:pPr>
      <w:r w:rsidRPr="009F28ED">
        <w:rPr>
          <w:i/>
          <w:iCs/>
          <w:lang w:val="fr-FR"/>
        </w:rPr>
        <w:t>l)</w:t>
      </w:r>
      <w:r w:rsidRPr="009F28ED">
        <w:rPr>
          <w:lang w:val="fr-FR"/>
        </w:rPr>
        <w:tab/>
      </w:r>
      <w:r w:rsidR="00E67CB8">
        <w:rPr>
          <w:lang w:val="fr-FR"/>
        </w:rPr>
        <w:t>que la</w:t>
      </w:r>
      <w:r w:rsidR="007D2933">
        <w:rPr>
          <w:lang w:val="fr-FR"/>
        </w:rPr>
        <w:t xml:space="preserve"> </w:t>
      </w:r>
      <w:r w:rsidR="00E67CB8" w:rsidRPr="00E67CB8">
        <w:rPr>
          <w:color w:val="000000"/>
          <w:lang w:val="fr-CH"/>
        </w:rPr>
        <w:t>Commission d</w:t>
      </w:r>
      <w:r w:rsidR="00331214">
        <w:rPr>
          <w:color w:val="000000"/>
          <w:lang w:val="fr-CH"/>
        </w:rPr>
        <w:t>'</w:t>
      </w:r>
      <w:r w:rsidR="00E67CB8" w:rsidRPr="00E67CB8">
        <w:rPr>
          <w:color w:val="000000"/>
          <w:lang w:val="fr-CH"/>
        </w:rPr>
        <w:t>études 13 de l</w:t>
      </w:r>
      <w:r w:rsidR="00331214">
        <w:rPr>
          <w:color w:val="000000"/>
          <w:lang w:val="fr-CH"/>
        </w:rPr>
        <w:t>'</w:t>
      </w:r>
      <w:r w:rsidR="00E67CB8" w:rsidRPr="00E67CB8">
        <w:rPr>
          <w:color w:val="000000"/>
          <w:lang w:val="fr-CH"/>
        </w:rPr>
        <w:t xml:space="preserve">UIT-T </w:t>
      </w:r>
      <w:r w:rsidR="00E67CB8">
        <w:rPr>
          <w:color w:val="000000"/>
          <w:lang w:val="fr-CH"/>
        </w:rPr>
        <w:t>a commencé à étudier les</w:t>
      </w:r>
      <w:r w:rsidR="00E67CB8">
        <w:rPr>
          <w:lang w:val="fr-FR"/>
        </w:rPr>
        <w:t xml:space="preserve"> </w:t>
      </w:r>
      <w:r w:rsidR="00E67CB8" w:rsidRPr="00E67CB8">
        <w:rPr>
          <w:color w:val="000000"/>
          <w:lang w:val="fr-CH"/>
        </w:rPr>
        <w:t>éléments non radioélectrique</w:t>
      </w:r>
      <w:r w:rsidR="007947E8">
        <w:rPr>
          <w:color w:val="000000"/>
          <w:lang w:val="fr-CH"/>
        </w:rPr>
        <w:t>s</w:t>
      </w:r>
      <w:r w:rsidR="00E67CB8" w:rsidRPr="00E67CB8">
        <w:rPr>
          <w:color w:val="000000"/>
          <w:lang w:val="fr-CH"/>
        </w:rPr>
        <w:t xml:space="preserve"> des </w:t>
      </w:r>
      <w:r w:rsidR="000F2F97">
        <w:rPr>
          <w:color w:val="000000"/>
          <w:lang w:val="fr-CH"/>
        </w:rPr>
        <w:t>IMT</w:t>
      </w:r>
      <w:r w:rsidR="000F2F97">
        <w:rPr>
          <w:color w:val="000000"/>
          <w:lang w:val="fr-CH"/>
        </w:rPr>
        <w:noBreakHyphen/>
        <w:t>2020</w:t>
      </w:r>
      <w:r w:rsidR="00E67CB8">
        <w:rPr>
          <w:color w:val="000000"/>
          <w:lang w:val="fr-CH"/>
        </w:rPr>
        <w:t xml:space="preserve"> et a institué</w:t>
      </w:r>
      <w:r w:rsidR="007D2933">
        <w:rPr>
          <w:color w:val="000000"/>
          <w:lang w:val="fr-CH"/>
        </w:rPr>
        <w:t xml:space="preserve"> </w:t>
      </w:r>
      <w:r w:rsidR="00E67CB8">
        <w:rPr>
          <w:lang w:val="fr-CH"/>
        </w:rPr>
        <w:t>à cette fin</w:t>
      </w:r>
      <w:r w:rsidR="00E67CB8" w:rsidRPr="00E67CB8">
        <w:rPr>
          <w:color w:val="000000"/>
          <w:lang w:val="fr-CH"/>
        </w:rPr>
        <w:t xml:space="preserve"> un Groupe spécialisé</w:t>
      </w:r>
      <w:r w:rsidR="007D2933">
        <w:rPr>
          <w:color w:val="000000"/>
          <w:lang w:val="fr-CH"/>
        </w:rPr>
        <w:t xml:space="preserve"> </w:t>
      </w:r>
      <w:r w:rsidR="00E67CB8" w:rsidRPr="00E67CB8">
        <w:rPr>
          <w:color w:val="000000"/>
          <w:lang w:val="fr-CH"/>
        </w:rPr>
        <w:t xml:space="preserve">sur les </w:t>
      </w:r>
      <w:r w:rsidR="000F2F97">
        <w:rPr>
          <w:color w:val="000000"/>
          <w:lang w:val="fr-CH"/>
        </w:rPr>
        <w:t>IMT</w:t>
      </w:r>
      <w:r w:rsidR="000F2F97">
        <w:rPr>
          <w:color w:val="000000"/>
          <w:lang w:val="fr-CH"/>
        </w:rPr>
        <w:noBreakHyphen/>
        <w:t>2020</w:t>
      </w:r>
      <w:r w:rsidR="00E67CB8" w:rsidRPr="00E67CB8">
        <w:rPr>
          <w:color w:val="000000"/>
          <w:lang w:val="fr-CH"/>
        </w:rPr>
        <w:t xml:space="preserve"> (FG</w:t>
      </w:r>
      <w:r w:rsidR="007947E8">
        <w:rPr>
          <w:color w:val="000000"/>
          <w:lang w:val="fr-CH"/>
        </w:rPr>
        <w:t> </w:t>
      </w:r>
      <w:r w:rsidR="000F2F97">
        <w:rPr>
          <w:color w:val="000000"/>
          <w:lang w:val="fr-CH"/>
        </w:rPr>
        <w:t>IMT</w:t>
      </w:r>
      <w:r w:rsidR="000F2F97">
        <w:rPr>
          <w:color w:val="000000"/>
          <w:lang w:val="fr-CH"/>
        </w:rPr>
        <w:noBreakHyphen/>
        <w:t>2020</w:t>
      </w:r>
      <w:r w:rsidR="00E67CB8" w:rsidRPr="00E67CB8">
        <w:rPr>
          <w:color w:val="000000"/>
          <w:lang w:val="fr-CH"/>
        </w:rPr>
        <w:t>)</w:t>
      </w:r>
      <w:r w:rsidR="00E67CB8">
        <w:rPr>
          <w:lang w:val="fr-FR"/>
        </w:rPr>
        <w:t xml:space="preserve">, </w:t>
      </w:r>
      <w:r w:rsidR="000E5EF9">
        <w:rPr>
          <w:lang w:val="fr-FR"/>
        </w:rPr>
        <w:t>ayant</w:t>
      </w:r>
      <w:r w:rsidR="00E67CB8">
        <w:rPr>
          <w:lang w:val="fr-FR"/>
        </w:rPr>
        <w:t xml:space="preserve"> pour tâche</w:t>
      </w:r>
      <w:r w:rsidR="0098225A">
        <w:rPr>
          <w:lang w:val="fr-FR"/>
        </w:rPr>
        <w:t>:</w:t>
      </w:r>
      <w:r w:rsidR="00E67CB8">
        <w:rPr>
          <w:lang w:val="fr-FR"/>
        </w:rPr>
        <w:t xml:space="preserve"> </w:t>
      </w:r>
      <w:r w:rsidRPr="009F28ED">
        <w:rPr>
          <w:lang w:val="fr-FR"/>
        </w:rPr>
        <w:t>1</w:t>
      </w:r>
      <w:r w:rsidR="004B1887" w:rsidRPr="009F28ED">
        <w:rPr>
          <w:lang w:val="fr-FR"/>
        </w:rPr>
        <w:t>)</w:t>
      </w:r>
      <w:r w:rsidR="00E67CB8">
        <w:rPr>
          <w:lang w:val="fr-FR"/>
        </w:rPr>
        <w:t xml:space="preserve"> d</w:t>
      </w:r>
      <w:r w:rsidR="00331214">
        <w:rPr>
          <w:lang w:val="fr-FR"/>
        </w:rPr>
        <w:t>'</w:t>
      </w:r>
      <w:r w:rsidR="00E67CB8">
        <w:rPr>
          <w:lang w:val="fr-FR"/>
        </w:rPr>
        <w:t xml:space="preserve">étudier </w:t>
      </w:r>
      <w:r w:rsidR="004B1887" w:rsidRPr="009F28ED">
        <w:rPr>
          <w:lang w:val="fr-FR"/>
        </w:rPr>
        <w:t>l</w:t>
      </w:r>
      <w:r w:rsidR="00E67CB8">
        <w:rPr>
          <w:lang w:val="fr-FR"/>
        </w:rPr>
        <w:t>a</w:t>
      </w:r>
      <w:r w:rsidR="004B1887" w:rsidRPr="009F28ED">
        <w:rPr>
          <w:lang w:val="fr-FR"/>
        </w:rPr>
        <w:t xml:space="preserve"> possibilité</w:t>
      </w:r>
      <w:r w:rsidR="007D2933">
        <w:rPr>
          <w:lang w:val="fr-FR"/>
        </w:rPr>
        <w:t xml:space="preserve"> </w:t>
      </w:r>
      <w:r w:rsidR="004B1887" w:rsidRPr="009F28ED">
        <w:rPr>
          <w:lang w:val="fr-FR"/>
        </w:rPr>
        <w:t>de réaliser des démonstrations ou de mettre au point des prototypes avec d</w:t>
      </w:r>
      <w:r w:rsidR="00331214">
        <w:rPr>
          <w:lang w:val="fr-FR"/>
        </w:rPr>
        <w:t>'</w:t>
      </w:r>
      <w:r w:rsidR="004B1887" w:rsidRPr="009F28ED">
        <w:rPr>
          <w:lang w:val="fr-FR"/>
        </w:rPr>
        <w:t>autres groupes, en particulier</w:t>
      </w:r>
      <w:r w:rsidR="002E6C59">
        <w:rPr>
          <w:lang w:val="fr-FR"/>
        </w:rPr>
        <w:t xml:space="preserve"> avec</w:t>
      </w:r>
      <w:r w:rsidR="004B1887" w:rsidRPr="009F28ED">
        <w:rPr>
          <w:lang w:val="fr-FR"/>
        </w:rPr>
        <w:t xml:space="preserve"> la communauté </w:t>
      </w:r>
      <w:r w:rsidR="002E6C59" w:rsidRPr="002E6C59">
        <w:rPr>
          <w:lang w:val="fr-FR"/>
        </w:rPr>
        <w:t xml:space="preserve">des logiciels </w:t>
      </w:r>
      <w:r w:rsidR="007947E8">
        <w:rPr>
          <w:lang w:val="fr-FR"/>
        </w:rPr>
        <w:t>à code source ouvert</w:t>
      </w:r>
      <w:r w:rsidR="0098225A">
        <w:rPr>
          <w:lang w:val="fr-FR"/>
        </w:rPr>
        <w:t>;</w:t>
      </w:r>
      <w:r w:rsidRPr="009F28ED">
        <w:rPr>
          <w:lang w:val="fr-FR"/>
        </w:rPr>
        <w:t xml:space="preserve"> 2) </w:t>
      </w:r>
      <w:r w:rsidR="002E6C59">
        <w:rPr>
          <w:lang w:val="fr-FR"/>
        </w:rPr>
        <w:t>d</w:t>
      </w:r>
      <w:r w:rsidR="00331214">
        <w:rPr>
          <w:lang w:val="fr-FR"/>
        </w:rPr>
        <w:t>'</w:t>
      </w:r>
      <w:r w:rsidR="002E6C59">
        <w:rPr>
          <w:lang w:val="fr-FR"/>
        </w:rPr>
        <w:t>a</w:t>
      </w:r>
      <w:r w:rsidR="004B1887" w:rsidRPr="009F28ED">
        <w:rPr>
          <w:lang w:val="fr-FR"/>
        </w:rPr>
        <w:t>méliorer les aspects de la logiciellisation des réseaux et de</w:t>
      </w:r>
      <w:r w:rsidR="002E6C59">
        <w:rPr>
          <w:lang w:val="fr-FR"/>
        </w:rPr>
        <w:t>s</w:t>
      </w:r>
      <w:r w:rsidR="007D2933">
        <w:rPr>
          <w:lang w:val="fr-FR"/>
        </w:rPr>
        <w:t xml:space="preserve"> </w:t>
      </w:r>
      <w:r w:rsidR="004B1887" w:rsidRPr="009F28ED">
        <w:rPr>
          <w:lang w:val="fr-FR"/>
        </w:rPr>
        <w:t>réseaux centrés sur les informations</w:t>
      </w:r>
      <w:r w:rsidR="0098225A">
        <w:rPr>
          <w:lang w:val="fr-CH"/>
        </w:rPr>
        <w:t>;</w:t>
      </w:r>
      <w:r w:rsidR="004B1887" w:rsidRPr="00D56980">
        <w:rPr>
          <w:lang w:val="fr-CH"/>
        </w:rPr>
        <w:t xml:space="preserve"> </w:t>
      </w:r>
      <w:r w:rsidRPr="009F28ED">
        <w:rPr>
          <w:lang w:val="fr-FR"/>
        </w:rPr>
        <w:t xml:space="preserve">3) </w:t>
      </w:r>
      <w:r w:rsidR="004B1887" w:rsidRPr="009F28ED">
        <w:rPr>
          <w:lang w:val="fr-FR"/>
        </w:rPr>
        <w:t>de perfectionner et de développer l</w:t>
      </w:r>
      <w:r w:rsidR="00331214">
        <w:rPr>
          <w:lang w:val="fr-FR"/>
        </w:rPr>
        <w:t>'</w:t>
      </w:r>
      <w:r w:rsidR="004B1887" w:rsidRPr="009F28ED">
        <w:rPr>
          <w:lang w:val="fr-FR"/>
        </w:rPr>
        <w:t xml:space="preserve">architecture de réseau des </w:t>
      </w:r>
      <w:r w:rsidR="000F2F97">
        <w:rPr>
          <w:lang w:val="fr-FR"/>
        </w:rPr>
        <w:t>IMT</w:t>
      </w:r>
      <w:r w:rsidR="000F2F97">
        <w:rPr>
          <w:lang w:val="fr-FR"/>
        </w:rPr>
        <w:noBreakHyphen/>
        <w:t>2020</w:t>
      </w:r>
      <w:r w:rsidR="0098225A">
        <w:rPr>
          <w:lang w:val="fr-CH"/>
        </w:rPr>
        <w:t>;</w:t>
      </w:r>
      <w:r w:rsidR="004B1887" w:rsidRPr="00D56980">
        <w:rPr>
          <w:lang w:val="fr-CH"/>
        </w:rPr>
        <w:t xml:space="preserve"> </w:t>
      </w:r>
      <w:r w:rsidRPr="009F28ED">
        <w:rPr>
          <w:lang w:val="fr-FR"/>
        </w:rPr>
        <w:t>4)</w:t>
      </w:r>
      <w:r w:rsidR="007D2933">
        <w:rPr>
          <w:lang w:val="fr-FR"/>
        </w:rPr>
        <w:t xml:space="preserve"> </w:t>
      </w:r>
      <w:r w:rsidR="004B1887" w:rsidRPr="009F28ED">
        <w:rPr>
          <w:lang w:val="fr-FR"/>
        </w:rPr>
        <w:t>d</w:t>
      </w:r>
      <w:r w:rsidR="00331214">
        <w:rPr>
          <w:lang w:val="fr-FR"/>
        </w:rPr>
        <w:t>'</w:t>
      </w:r>
      <w:r w:rsidR="004B1887" w:rsidRPr="009F28ED">
        <w:rPr>
          <w:lang w:val="fr-FR"/>
        </w:rPr>
        <w:t xml:space="preserve">étudier la convergence </w:t>
      </w:r>
      <w:r w:rsidR="007947E8">
        <w:rPr>
          <w:lang w:val="fr-FR"/>
        </w:rPr>
        <w:t xml:space="preserve">réseaux </w:t>
      </w:r>
      <w:r w:rsidR="004B1887" w:rsidRPr="009F28ED">
        <w:rPr>
          <w:lang w:val="fr-FR"/>
        </w:rPr>
        <w:t>fixe</w:t>
      </w:r>
      <w:r w:rsidR="007947E8">
        <w:rPr>
          <w:lang w:val="fr-FR"/>
        </w:rPr>
        <w:t>s</w:t>
      </w:r>
      <w:r w:rsidR="007947E8">
        <w:rPr>
          <w:lang w:val="fr-FR"/>
        </w:rPr>
        <w:noBreakHyphen/>
        <w:t xml:space="preserve">réseaux </w:t>
      </w:r>
      <w:r w:rsidR="004B1887" w:rsidRPr="009F28ED">
        <w:rPr>
          <w:lang w:val="fr-FR"/>
        </w:rPr>
        <w:t>mobile</w:t>
      </w:r>
      <w:r w:rsidR="007947E8">
        <w:rPr>
          <w:lang w:val="fr-FR"/>
        </w:rPr>
        <w:t>s</w:t>
      </w:r>
      <w:r w:rsidR="0098225A">
        <w:rPr>
          <w:lang w:val="fr-CH"/>
        </w:rPr>
        <w:t>;</w:t>
      </w:r>
      <w:r w:rsidRPr="009F28ED">
        <w:rPr>
          <w:lang w:val="fr-FR"/>
        </w:rPr>
        <w:t xml:space="preserve"> 5)</w:t>
      </w:r>
      <w:r w:rsidR="007D2933">
        <w:rPr>
          <w:lang w:val="fr-FR"/>
        </w:rPr>
        <w:t xml:space="preserve"> </w:t>
      </w:r>
      <w:r w:rsidR="004B1887" w:rsidRPr="009F28ED">
        <w:rPr>
          <w:lang w:val="fr-FR"/>
        </w:rPr>
        <w:t>d</w:t>
      </w:r>
      <w:r w:rsidR="00331214">
        <w:rPr>
          <w:lang w:val="fr-FR"/>
        </w:rPr>
        <w:t>'</w:t>
      </w:r>
      <w:r w:rsidR="004B1887" w:rsidRPr="009F28ED">
        <w:rPr>
          <w:lang w:val="fr-FR"/>
        </w:rPr>
        <w:t>étudier le découpage des réseaux pour les réseaux de raccordement</w:t>
      </w:r>
      <w:r w:rsidR="000E5EF9">
        <w:rPr>
          <w:lang w:val="fr-FR"/>
        </w:rPr>
        <w:t xml:space="preserve"> vers l</w:t>
      </w:r>
      <w:r w:rsidR="00331214">
        <w:rPr>
          <w:lang w:val="fr-FR"/>
        </w:rPr>
        <w:t>'</w:t>
      </w:r>
      <w:r w:rsidR="000E5EF9">
        <w:rPr>
          <w:lang w:val="fr-FR"/>
        </w:rPr>
        <w:t>avant et vers l</w:t>
      </w:r>
      <w:r w:rsidR="00331214">
        <w:rPr>
          <w:lang w:val="fr-FR"/>
        </w:rPr>
        <w:t>'</w:t>
      </w:r>
      <w:r w:rsidR="000E5EF9">
        <w:rPr>
          <w:lang w:val="fr-FR"/>
        </w:rPr>
        <w:t>arrière</w:t>
      </w:r>
      <w:r w:rsidR="0098225A">
        <w:rPr>
          <w:lang w:val="fr-FR"/>
        </w:rPr>
        <w:t>;</w:t>
      </w:r>
      <w:r w:rsidR="007D2933">
        <w:rPr>
          <w:lang w:val="fr-FR"/>
        </w:rPr>
        <w:t xml:space="preserve"> </w:t>
      </w:r>
      <w:r w:rsidR="004B1887" w:rsidRPr="00D56980">
        <w:rPr>
          <w:lang w:val="fr-CH"/>
        </w:rPr>
        <w:t>et</w:t>
      </w:r>
      <w:r w:rsidRPr="009F28ED">
        <w:rPr>
          <w:lang w:val="fr-FR"/>
        </w:rPr>
        <w:t xml:space="preserve"> 6)</w:t>
      </w:r>
      <w:r w:rsidR="007D2933">
        <w:rPr>
          <w:lang w:val="fr-FR"/>
        </w:rPr>
        <w:t xml:space="preserve"> </w:t>
      </w:r>
      <w:r w:rsidR="004B1887" w:rsidRPr="009F28ED">
        <w:rPr>
          <w:lang w:val="fr-FR"/>
        </w:rPr>
        <w:t>de définir de nouveaux modèles de trafic ainsi que les aspects</w:t>
      </w:r>
      <w:r w:rsidR="003C7B66">
        <w:rPr>
          <w:lang w:val="fr-FR"/>
        </w:rPr>
        <w:t xml:space="preserve"> liés à la qualité de service et à l</w:t>
      </w:r>
      <w:r w:rsidR="00331214">
        <w:rPr>
          <w:lang w:val="fr-FR"/>
        </w:rPr>
        <w:t>'</w:t>
      </w:r>
      <w:r w:rsidR="003C7B66">
        <w:rPr>
          <w:lang w:val="fr-FR"/>
        </w:rPr>
        <w:t>exploitation, l</w:t>
      </w:r>
      <w:r w:rsidR="00331214">
        <w:rPr>
          <w:lang w:val="fr-FR"/>
        </w:rPr>
        <w:t>'</w:t>
      </w:r>
      <w:r w:rsidR="003C7B66">
        <w:rPr>
          <w:lang w:val="fr-FR"/>
        </w:rPr>
        <w:t>administration et la gestion</w:t>
      </w:r>
      <w:r w:rsidR="007D2933">
        <w:rPr>
          <w:lang w:val="fr-FR"/>
        </w:rPr>
        <w:t xml:space="preserve"> </w:t>
      </w:r>
      <w:r w:rsidR="003C7B66">
        <w:rPr>
          <w:lang w:val="fr-FR"/>
        </w:rPr>
        <w:t xml:space="preserve">des </w:t>
      </w:r>
      <w:r w:rsidR="004B1887" w:rsidRPr="009F28ED">
        <w:rPr>
          <w:lang w:val="fr-FR"/>
        </w:rPr>
        <w:t xml:space="preserve">réseaux </w:t>
      </w:r>
      <w:r w:rsidR="000F2F97">
        <w:rPr>
          <w:lang w:val="fr-FR"/>
        </w:rPr>
        <w:t>IMT</w:t>
      </w:r>
      <w:r w:rsidR="000F2F97">
        <w:rPr>
          <w:lang w:val="fr-FR"/>
        </w:rPr>
        <w:noBreakHyphen/>
        <w:t>2020</w:t>
      </w:r>
      <w:r w:rsidR="003A503A">
        <w:rPr>
          <w:lang w:val="fr-FR"/>
        </w:rPr>
        <w:t>,</w:t>
      </w:r>
    </w:p>
    <w:p w:rsidR="00711253" w:rsidRPr="00D56980" w:rsidRDefault="00711253" w:rsidP="00E338F5">
      <w:pPr>
        <w:pStyle w:val="Call"/>
        <w:rPr>
          <w:lang w:val="fr-CH"/>
        </w:rPr>
      </w:pPr>
      <w:r w:rsidRPr="00D56980">
        <w:rPr>
          <w:lang w:val="fr-CH"/>
        </w:rPr>
        <w:t>not</w:t>
      </w:r>
      <w:r w:rsidR="005E47DD">
        <w:rPr>
          <w:lang w:val="fr-CH"/>
        </w:rPr>
        <w:t>ant</w:t>
      </w:r>
    </w:p>
    <w:p w:rsidR="00711253" w:rsidRPr="002F05FD" w:rsidRDefault="00711253" w:rsidP="0098225A">
      <w:pPr>
        <w:rPr>
          <w:lang w:val="fr-FR"/>
        </w:rPr>
      </w:pPr>
      <w:r w:rsidRPr="009647E1">
        <w:rPr>
          <w:i/>
          <w:iCs/>
          <w:lang w:val="fr-FR"/>
        </w:rPr>
        <w:t>a)</w:t>
      </w:r>
      <w:r w:rsidRPr="009647E1">
        <w:rPr>
          <w:lang w:val="fr-FR"/>
        </w:rPr>
        <w:tab/>
      </w:r>
      <w:r w:rsidR="009647E1" w:rsidRPr="002F05FD">
        <w:rPr>
          <w:lang w:val="fr-FR"/>
        </w:rPr>
        <w:t xml:space="preserve">la Résolution 18 (Rév.Dubaï, 2012) </w:t>
      </w:r>
      <w:r w:rsidR="003F1D37" w:rsidRPr="002F05FD">
        <w:rPr>
          <w:lang w:val="fr-FR"/>
        </w:rPr>
        <w:t>de l</w:t>
      </w:r>
      <w:r w:rsidR="00331214">
        <w:rPr>
          <w:lang w:val="fr-FR"/>
        </w:rPr>
        <w:t>'</w:t>
      </w:r>
      <w:r w:rsidR="003F1D37" w:rsidRPr="002F05FD">
        <w:rPr>
          <w:lang w:val="fr-FR"/>
        </w:rPr>
        <w:t>AMNT</w:t>
      </w:r>
      <w:r w:rsidR="007D2933">
        <w:rPr>
          <w:lang w:val="fr-FR"/>
        </w:rPr>
        <w:t xml:space="preserve"> </w:t>
      </w:r>
      <w:r w:rsidR="009647E1" w:rsidRPr="002F05FD">
        <w:rPr>
          <w:lang w:val="fr-FR"/>
        </w:rPr>
        <w:t>relative aux principes et procédures applicables à la répartition des tâches et à la coordination entre l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UIT-R et l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UIT-T;</w:t>
      </w:r>
    </w:p>
    <w:p w:rsidR="00711253" w:rsidRPr="002F05FD" w:rsidRDefault="00711253" w:rsidP="0098225A">
      <w:pPr>
        <w:rPr>
          <w:rFonts w:ascii="Calibri" w:hAnsi="Calibri"/>
          <w:b/>
          <w:sz w:val="22"/>
          <w:lang w:val="fr-FR"/>
        </w:rPr>
      </w:pPr>
      <w:r w:rsidRPr="002F05FD">
        <w:rPr>
          <w:i/>
          <w:iCs/>
          <w:lang w:val="fr-FR"/>
        </w:rPr>
        <w:t>b)</w:t>
      </w:r>
      <w:r w:rsidRPr="002F05FD">
        <w:rPr>
          <w:lang w:val="fr-FR"/>
        </w:rPr>
        <w:tab/>
      </w:r>
      <w:r w:rsidR="00E866E5" w:rsidRPr="002F05FD">
        <w:rPr>
          <w:lang w:val="fr-FR"/>
        </w:rPr>
        <w:t>la Résolution 57 (Rév.Dubaï, 2012) de l</w:t>
      </w:r>
      <w:r w:rsidR="00331214">
        <w:rPr>
          <w:lang w:val="fr-FR"/>
        </w:rPr>
        <w:t>'</w:t>
      </w:r>
      <w:r w:rsidR="00E866E5" w:rsidRPr="002F05FD">
        <w:rPr>
          <w:lang w:val="fr-FR"/>
        </w:rPr>
        <w:t>AMNT</w:t>
      </w:r>
      <w:r w:rsidR="00FA0A85">
        <w:rPr>
          <w:lang w:val="fr-FR"/>
        </w:rPr>
        <w:t xml:space="preserve"> </w:t>
      </w:r>
      <w:r w:rsidR="00FA0A85" w:rsidRPr="00FA0A85">
        <w:rPr>
          <w:lang w:val="fr-FR"/>
        </w:rPr>
        <w:t>–</w:t>
      </w:r>
      <w:r w:rsidR="00FA0A85">
        <w:rPr>
          <w:lang w:val="fr-FR"/>
        </w:rPr>
        <w:t xml:space="preserve"> </w:t>
      </w:r>
      <w:r w:rsidR="00E866E5" w:rsidRPr="002F05FD">
        <w:rPr>
          <w:lang w:val="fr-FR"/>
        </w:rPr>
        <w:t xml:space="preserve">Renforcer la coordination et la coopération entre </w:t>
      </w:r>
      <w:r w:rsidR="00FA0A85">
        <w:rPr>
          <w:lang w:val="fr-FR"/>
        </w:rPr>
        <w:t>les trois Secteurs de l'UIT</w:t>
      </w:r>
      <w:r w:rsidR="00E866E5" w:rsidRPr="002F05FD">
        <w:rPr>
          <w:lang w:val="fr-FR"/>
        </w:rPr>
        <w:t xml:space="preserve"> sur des questions d</w:t>
      </w:r>
      <w:r w:rsidR="00331214">
        <w:rPr>
          <w:lang w:val="fr-FR"/>
        </w:rPr>
        <w:t>'</w:t>
      </w:r>
      <w:r w:rsidR="00E866E5" w:rsidRPr="002F05FD">
        <w:rPr>
          <w:lang w:val="fr-FR"/>
        </w:rPr>
        <w:t>intérêt mutuel</w:t>
      </w:r>
      <w:r w:rsidR="00FA0A85">
        <w:rPr>
          <w:lang w:val="fr-FR"/>
        </w:rPr>
        <w:t>, y compris les IMT</w:t>
      </w:r>
      <w:r w:rsidR="00E866E5" w:rsidRPr="002F05FD">
        <w:rPr>
          <w:lang w:val="fr-FR"/>
        </w:rPr>
        <w:t>;</w:t>
      </w:r>
    </w:p>
    <w:p w:rsidR="00711253" w:rsidRPr="002F05FD" w:rsidRDefault="00711253" w:rsidP="0098225A">
      <w:pPr>
        <w:rPr>
          <w:rFonts w:ascii="Calibri" w:hAnsi="Calibri"/>
          <w:b/>
          <w:sz w:val="22"/>
          <w:lang w:val="fr-FR"/>
        </w:rPr>
      </w:pPr>
      <w:r w:rsidRPr="002F05FD">
        <w:rPr>
          <w:i/>
          <w:iCs/>
          <w:lang w:val="fr-FR"/>
        </w:rPr>
        <w:t>c)</w:t>
      </w:r>
      <w:r w:rsidRPr="002F05FD">
        <w:rPr>
          <w:lang w:val="fr-FR"/>
        </w:rPr>
        <w:tab/>
      </w:r>
      <w:r w:rsidR="00E866E5" w:rsidRPr="002F05FD">
        <w:rPr>
          <w:lang w:val="fr-FR"/>
        </w:rPr>
        <w:t>la Résolution 59 (Rév.Dubaï, 2014) de la CMDT sur le renforcement de la coordination et de la coopération entre les trois Secteurs de l</w:t>
      </w:r>
      <w:r w:rsidR="00331214">
        <w:rPr>
          <w:lang w:val="fr-FR"/>
        </w:rPr>
        <w:t>'</w:t>
      </w:r>
      <w:r w:rsidR="00E866E5" w:rsidRPr="002F05FD">
        <w:rPr>
          <w:lang w:val="fr-FR"/>
        </w:rPr>
        <w:t>UIT sur des questions d</w:t>
      </w:r>
      <w:r w:rsidR="00331214">
        <w:rPr>
          <w:lang w:val="fr-FR"/>
        </w:rPr>
        <w:t>'</w:t>
      </w:r>
      <w:r w:rsidR="00E866E5" w:rsidRPr="002F05FD">
        <w:rPr>
          <w:lang w:val="fr-FR"/>
        </w:rPr>
        <w:t>intérêt mutuel;</w:t>
      </w:r>
    </w:p>
    <w:p w:rsidR="00711253" w:rsidRPr="002F05FD" w:rsidRDefault="00711253" w:rsidP="00FA0A85">
      <w:pPr>
        <w:rPr>
          <w:lang w:val="fr-FR"/>
        </w:rPr>
      </w:pPr>
      <w:r w:rsidRPr="002F05FD">
        <w:rPr>
          <w:i/>
          <w:iCs/>
          <w:lang w:val="fr-FR"/>
        </w:rPr>
        <w:t>d)</w:t>
      </w:r>
      <w:r w:rsidRPr="002F05FD">
        <w:rPr>
          <w:lang w:val="fr-FR"/>
        </w:rPr>
        <w:tab/>
      </w:r>
      <w:r w:rsidR="009647E1" w:rsidRPr="002F05FD">
        <w:rPr>
          <w:lang w:val="fr-FR"/>
        </w:rPr>
        <w:t>la Recommandation UIT</w:t>
      </w:r>
      <w:r w:rsidR="009647E1" w:rsidRPr="002F05FD">
        <w:rPr>
          <w:lang w:val="fr-FR"/>
        </w:rPr>
        <w:noBreakHyphen/>
        <w:t>T</w:t>
      </w:r>
      <w:r w:rsidR="00FA0A85">
        <w:rPr>
          <w:lang w:val="fr-FR"/>
        </w:rPr>
        <w:t> </w:t>
      </w:r>
      <w:r w:rsidR="009647E1" w:rsidRPr="002F05FD">
        <w:rPr>
          <w:lang w:val="fr-FR"/>
        </w:rPr>
        <w:t>A.4 relative au processus de communication entre l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UIT</w:t>
      </w:r>
      <w:r w:rsidR="009647E1" w:rsidRPr="002F05FD">
        <w:rPr>
          <w:lang w:val="fr-FR"/>
        </w:rPr>
        <w:noBreakHyphen/>
        <w:t>T et les forums et consortiums;</w:t>
      </w:r>
    </w:p>
    <w:p w:rsidR="00711253" w:rsidRPr="002F05FD" w:rsidRDefault="00711253" w:rsidP="00FA0A85">
      <w:pPr>
        <w:rPr>
          <w:lang w:val="fr-FR"/>
        </w:rPr>
      </w:pPr>
      <w:r w:rsidRPr="002F05FD">
        <w:rPr>
          <w:i/>
          <w:iCs/>
          <w:lang w:val="fr-FR"/>
        </w:rPr>
        <w:t>e)</w:t>
      </w:r>
      <w:r w:rsidRPr="002F05FD">
        <w:rPr>
          <w:lang w:val="fr-FR"/>
        </w:rPr>
        <w:tab/>
      </w:r>
      <w:r w:rsidR="00FA0A85">
        <w:rPr>
          <w:lang w:val="fr-FR"/>
        </w:rPr>
        <w:t>la Recommandation UIT</w:t>
      </w:r>
      <w:r w:rsidR="00FA0A85">
        <w:rPr>
          <w:lang w:val="fr-FR"/>
        </w:rPr>
        <w:noBreakHyphen/>
        <w:t>T </w:t>
      </w:r>
      <w:r w:rsidR="009647E1" w:rsidRPr="002F05FD">
        <w:rPr>
          <w:lang w:val="fr-FR"/>
        </w:rPr>
        <w:t>A.5 relative aux procédures génériques pour l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inclusion dans les Recommandations de l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UIT</w:t>
      </w:r>
      <w:r w:rsidR="009647E1" w:rsidRPr="002F05FD">
        <w:rPr>
          <w:lang w:val="fr-FR"/>
        </w:rPr>
        <w:noBreakHyphen/>
        <w:t>T de références à des documents émanant d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autres organisations</w:t>
      </w:r>
      <w:r w:rsidRPr="002F05FD">
        <w:rPr>
          <w:lang w:val="fr-FR"/>
        </w:rPr>
        <w:t>;</w:t>
      </w:r>
    </w:p>
    <w:p w:rsidR="00711253" w:rsidRPr="002F05FD" w:rsidRDefault="00711253" w:rsidP="00666119">
      <w:pPr>
        <w:rPr>
          <w:lang w:val="fr-FR"/>
        </w:rPr>
      </w:pPr>
      <w:r w:rsidRPr="002F05FD">
        <w:rPr>
          <w:i/>
          <w:iCs/>
          <w:lang w:val="fr-FR"/>
        </w:rPr>
        <w:t>f)</w:t>
      </w:r>
      <w:r w:rsidRPr="002F05FD">
        <w:rPr>
          <w:lang w:val="fr-FR"/>
        </w:rPr>
        <w:tab/>
      </w:r>
      <w:r w:rsidR="009647E1" w:rsidRPr="002F05FD">
        <w:rPr>
          <w:lang w:val="fr-FR"/>
        </w:rPr>
        <w:t>la Recommandation UIT</w:t>
      </w:r>
      <w:r w:rsidR="009647E1" w:rsidRPr="002F05FD">
        <w:rPr>
          <w:lang w:val="fr-FR"/>
        </w:rPr>
        <w:noBreakHyphen/>
        <w:t>T</w:t>
      </w:r>
      <w:r w:rsidR="00666119">
        <w:rPr>
          <w:lang w:val="fr-FR"/>
        </w:rPr>
        <w:t> </w:t>
      </w:r>
      <w:r w:rsidR="009647E1" w:rsidRPr="002F05FD">
        <w:rPr>
          <w:lang w:val="fr-FR"/>
        </w:rPr>
        <w:t>A.6 relative à la coopération et à l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échange d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informations entre l</w:t>
      </w:r>
      <w:r w:rsidR="00331214">
        <w:rPr>
          <w:lang w:val="fr-FR"/>
        </w:rPr>
        <w:t>'</w:t>
      </w:r>
      <w:r w:rsidR="009647E1" w:rsidRPr="002F05FD">
        <w:rPr>
          <w:lang w:val="fr-FR"/>
        </w:rPr>
        <w:t>UIT</w:t>
      </w:r>
      <w:r w:rsidR="009647E1" w:rsidRPr="002F05FD">
        <w:rPr>
          <w:lang w:val="fr-FR"/>
        </w:rPr>
        <w:noBreakHyphen/>
        <w:t>T et les organisations de normalisation régionales et nationales</w:t>
      </w:r>
      <w:r w:rsidR="00666119">
        <w:rPr>
          <w:lang w:val="fr-FR"/>
        </w:rPr>
        <w:t>;</w:t>
      </w:r>
    </w:p>
    <w:p w:rsidR="00711253" w:rsidRPr="002F05FD" w:rsidRDefault="00711253" w:rsidP="00666119">
      <w:pPr>
        <w:rPr>
          <w:rFonts w:ascii="Calibri" w:hAnsi="Calibri"/>
          <w:b/>
          <w:sz w:val="22"/>
          <w:lang w:val="fr-FR"/>
        </w:rPr>
      </w:pPr>
      <w:r w:rsidRPr="002F05FD">
        <w:rPr>
          <w:i/>
          <w:iCs/>
          <w:lang w:val="fr-FR"/>
        </w:rPr>
        <w:t>g)</w:t>
      </w:r>
      <w:r w:rsidRPr="002F05FD">
        <w:rPr>
          <w:lang w:val="fr-FR"/>
        </w:rPr>
        <w:tab/>
      </w:r>
      <w:r w:rsidR="003F1D37">
        <w:rPr>
          <w:lang w:val="fr-FR"/>
        </w:rPr>
        <w:t xml:space="preserve">la </w:t>
      </w:r>
      <w:r w:rsidR="00666119">
        <w:rPr>
          <w:lang w:val="fr-FR"/>
        </w:rPr>
        <w:t>Recommandation UIT-T </w:t>
      </w:r>
      <w:r w:rsidR="00E866E5" w:rsidRPr="002F05FD">
        <w:rPr>
          <w:lang w:val="fr-FR"/>
        </w:rPr>
        <w:t>A.7</w:t>
      </w:r>
      <w:r w:rsidR="007D2933">
        <w:rPr>
          <w:lang w:val="fr-FR"/>
        </w:rPr>
        <w:t>,</w:t>
      </w:r>
      <w:r w:rsidR="003F1D37">
        <w:rPr>
          <w:lang w:val="fr-FR"/>
        </w:rPr>
        <w:t xml:space="preserve"> intitulée</w:t>
      </w:r>
      <w:r w:rsidR="00E866E5" w:rsidRPr="002F05FD">
        <w:rPr>
          <w:lang w:val="fr-FR"/>
        </w:rPr>
        <w:t xml:space="preserve"> </w:t>
      </w:r>
      <w:r w:rsidR="003A503A">
        <w:rPr>
          <w:lang w:val="fr-FR"/>
        </w:rPr>
        <w:t>"</w:t>
      </w:r>
      <w:r w:rsidR="003F1D37">
        <w:rPr>
          <w:lang w:val="fr-FR"/>
        </w:rPr>
        <w:t>G</w:t>
      </w:r>
      <w:r w:rsidR="00E866E5" w:rsidRPr="002F05FD">
        <w:rPr>
          <w:lang w:val="fr-FR"/>
        </w:rPr>
        <w:t>roupes spécialisés: création et méthodes de travail</w:t>
      </w:r>
      <w:r w:rsidR="003A503A">
        <w:rPr>
          <w:lang w:val="fr-FR"/>
        </w:rPr>
        <w:t>"</w:t>
      </w:r>
      <w:r w:rsidR="00E866E5" w:rsidRPr="002F05FD">
        <w:rPr>
          <w:lang w:val="fr-FR"/>
        </w:rPr>
        <w:t xml:space="preserve"> et</w:t>
      </w:r>
      <w:r w:rsidRPr="002F05FD">
        <w:rPr>
          <w:lang w:val="fr-FR"/>
        </w:rPr>
        <w:t xml:space="preserve"> </w:t>
      </w:r>
      <w:r w:rsidR="003F1D37">
        <w:rPr>
          <w:lang w:val="fr-FR"/>
        </w:rPr>
        <w:t>l</w:t>
      </w:r>
      <w:r w:rsidR="00331214">
        <w:rPr>
          <w:lang w:val="fr-FR"/>
        </w:rPr>
        <w:t>'</w:t>
      </w:r>
      <w:r w:rsidRPr="002F05FD">
        <w:rPr>
          <w:lang w:val="fr-FR"/>
        </w:rPr>
        <w:t>Amend</w:t>
      </w:r>
      <w:r w:rsidR="00666119">
        <w:rPr>
          <w:lang w:val="fr-FR"/>
        </w:rPr>
        <w:t>e</w:t>
      </w:r>
      <w:r w:rsidRPr="002F05FD">
        <w:rPr>
          <w:lang w:val="fr-FR"/>
        </w:rPr>
        <w:t>ment</w:t>
      </w:r>
      <w:r w:rsidR="00666119">
        <w:rPr>
          <w:lang w:val="fr-FR"/>
        </w:rPr>
        <w:t> </w:t>
      </w:r>
      <w:r w:rsidRPr="002F05FD">
        <w:rPr>
          <w:lang w:val="fr-FR"/>
        </w:rPr>
        <w:t xml:space="preserve">1: </w:t>
      </w:r>
      <w:r w:rsidR="00E866E5" w:rsidRPr="002F05FD">
        <w:rPr>
          <w:lang w:val="fr-FR"/>
        </w:rPr>
        <w:t>Appendice</w:t>
      </w:r>
      <w:r w:rsidR="00666119">
        <w:rPr>
          <w:lang w:val="fr-FR"/>
        </w:rPr>
        <w:t> </w:t>
      </w:r>
      <w:r w:rsidR="00E866E5" w:rsidRPr="002F05FD">
        <w:rPr>
          <w:lang w:val="fr-FR"/>
        </w:rPr>
        <w:t>I – Lignes directrices pour un transfert efficace des documents élaborés par les groupes spécialisés à leur entité de rattachement</w:t>
      </w:r>
      <w:r w:rsidRPr="002F05FD">
        <w:rPr>
          <w:lang w:val="fr-FR"/>
        </w:rPr>
        <w:t>;</w:t>
      </w:r>
    </w:p>
    <w:p w:rsidR="00711253" w:rsidRPr="000B2BEA" w:rsidRDefault="00711253" w:rsidP="00666119">
      <w:pPr>
        <w:rPr>
          <w:lang w:val="fr-FR"/>
        </w:rPr>
      </w:pPr>
      <w:r w:rsidRPr="000B2BEA">
        <w:rPr>
          <w:i/>
          <w:iCs/>
          <w:lang w:val="fr-FR"/>
        </w:rPr>
        <w:t>h)</w:t>
      </w:r>
      <w:r w:rsidRPr="000B2BEA">
        <w:rPr>
          <w:lang w:val="fr-FR"/>
        </w:rPr>
        <w:tab/>
      </w:r>
      <w:r w:rsidR="000B2BEA" w:rsidRPr="000B2BEA">
        <w:rPr>
          <w:lang w:val="fr-FR"/>
        </w:rPr>
        <w:t>l</w:t>
      </w:r>
      <w:r w:rsidR="000B2BEA">
        <w:rPr>
          <w:lang w:val="fr-FR"/>
        </w:rPr>
        <w:t>a</w:t>
      </w:r>
      <w:r w:rsidR="000B2BEA" w:rsidRPr="000B2BEA">
        <w:rPr>
          <w:lang w:val="fr-FR"/>
        </w:rPr>
        <w:t xml:space="preserve"> </w:t>
      </w:r>
      <w:r w:rsidRPr="000B2BEA">
        <w:rPr>
          <w:lang w:val="fr-FR"/>
        </w:rPr>
        <w:t>R</w:t>
      </w:r>
      <w:r w:rsidR="00666119">
        <w:rPr>
          <w:lang w:val="fr-FR"/>
        </w:rPr>
        <w:t>é</w:t>
      </w:r>
      <w:r w:rsidRPr="000B2BEA">
        <w:rPr>
          <w:lang w:val="fr-FR"/>
        </w:rPr>
        <w:t>solution</w:t>
      </w:r>
      <w:r w:rsidR="007D2933">
        <w:rPr>
          <w:lang w:val="fr-FR"/>
        </w:rPr>
        <w:t xml:space="preserve"> </w:t>
      </w:r>
      <w:r w:rsidR="00205EB9" w:rsidRPr="000B2BEA">
        <w:rPr>
          <w:lang w:val="fr-FR"/>
        </w:rPr>
        <w:t>UIT</w:t>
      </w:r>
      <w:r w:rsidRPr="000B2BEA">
        <w:rPr>
          <w:lang w:val="fr-FR"/>
        </w:rPr>
        <w:t>-R</w:t>
      </w:r>
      <w:r w:rsidR="00666119">
        <w:rPr>
          <w:lang w:val="fr-FR"/>
        </w:rPr>
        <w:t> </w:t>
      </w:r>
      <w:r w:rsidRPr="000B2BEA">
        <w:rPr>
          <w:lang w:val="fr-FR"/>
        </w:rPr>
        <w:t>238 (</w:t>
      </w:r>
      <w:r w:rsidR="000B2BEA">
        <w:rPr>
          <w:lang w:val="fr-FR"/>
        </w:rPr>
        <w:t>CMR</w:t>
      </w:r>
      <w:r w:rsidRPr="000B2BEA">
        <w:rPr>
          <w:lang w:val="fr-FR"/>
        </w:rPr>
        <w:t xml:space="preserve">-15) </w:t>
      </w:r>
      <w:r w:rsidR="000B2BEA">
        <w:rPr>
          <w:lang w:val="fr-FR"/>
        </w:rPr>
        <w:t>et la Recommandation</w:t>
      </w:r>
      <w:r w:rsidR="00666119">
        <w:rPr>
          <w:lang w:val="fr-FR"/>
        </w:rPr>
        <w:t> </w:t>
      </w:r>
      <w:r w:rsidRPr="000B2BEA">
        <w:rPr>
          <w:lang w:val="fr-FR"/>
        </w:rPr>
        <w:t>207 (</w:t>
      </w:r>
      <w:r w:rsidR="000B2BEA">
        <w:rPr>
          <w:lang w:val="fr-FR"/>
        </w:rPr>
        <w:t>CMR</w:t>
      </w:r>
      <w:r w:rsidRPr="000B2BEA">
        <w:rPr>
          <w:lang w:val="fr-FR"/>
        </w:rPr>
        <w:t xml:space="preserve">-07), </w:t>
      </w:r>
      <w:r w:rsidR="000B2BEA">
        <w:rPr>
          <w:lang w:val="fr-FR"/>
        </w:rPr>
        <w:t>sur le rôle de l</w:t>
      </w:r>
      <w:r w:rsidR="00331214">
        <w:rPr>
          <w:lang w:val="fr-FR"/>
        </w:rPr>
        <w:t>'</w:t>
      </w:r>
      <w:r w:rsidR="000B2BEA">
        <w:rPr>
          <w:lang w:val="fr-FR"/>
        </w:rPr>
        <w:t>UIT-R</w:t>
      </w:r>
      <w:r w:rsidR="007D2933">
        <w:rPr>
          <w:lang w:val="fr-FR"/>
        </w:rPr>
        <w:t xml:space="preserve"> </w:t>
      </w:r>
      <w:r w:rsidR="000B2BEA" w:rsidRPr="000B2BEA">
        <w:rPr>
          <w:color w:val="000000"/>
          <w:lang w:val="fr-FR"/>
        </w:rPr>
        <w:t>dans l</w:t>
      </w:r>
      <w:r w:rsidR="00331214">
        <w:rPr>
          <w:color w:val="000000"/>
          <w:lang w:val="fr-FR"/>
        </w:rPr>
        <w:t>'</w:t>
      </w:r>
      <w:r w:rsidR="000B2BEA" w:rsidRPr="000B2BEA">
        <w:rPr>
          <w:color w:val="000000"/>
          <w:lang w:val="fr-FR"/>
        </w:rPr>
        <w:t>évolution des IMT</w:t>
      </w:r>
      <w:r w:rsidR="007D2933">
        <w:rPr>
          <w:color w:val="000000"/>
          <w:lang w:val="fr-FR"/>
        </w:rPr>
        <w:t>,</w:t>
      </w:r>
    </w:p>
    <w:p w:rsidR="00711253" w:rsidRPr="000B2BEA" w:rsidRDefault="000B2BEA" w:rsidP="00E338F5">
      <w:pPr>
        <w:pStyle w:val="Call"/>
        <w:rPr>
          <w:lang w:val="fr-CH"/>
        </w:rPr>
      </w:pPr>
      <w:r w:rsidRPr="000B2BEA">
        <w:rPr>
          <w:lang w:val="fr-CH"/>
        </w:rPr>
        <w:t>décide de charger le Groupe consultatif de la normalisation des télécommunications</w:t>
      </w:r>
      <w:r w:rsidR="007D2933">
        <w:rPr>
          <w:lang w:val="fr-CH"/>
        </w:rPr>
        <w:t xml:space="preserve"> </w:t>
      </w:r>
    </w:p>
    <w:p w:rsidR="00711253" w:rsidRPr="000B2BEA" w:rsidRDefault="00711253" w:rsidP="00A9269D">
      <w:pPr>
        <w:rPr>
          <w:lang w:val="fr-CH"/>
        </w:rPr>
      </w:pPr>
      <w:r w:rsidRPr="000B2BEA">
        <w:rPr>
          <w:lang w:val="fr-CH"/>
        </w:rPr>
        <w:t>1</w:t>
      </w:r>
      <w:r w:rsidRPr="000B2BEA">
        <w:rPr>
          <w:lang w:val="fr-CH"/>
        </w:rPr>
        <w:tab/>
      </w:r>
      <w:r w:rsidR="000B2BEA">
        <w:rPr>
          <w:lang w:val="fr-CH"/>
        </w:rPr>
        <w:t>d</w:t>
      </w:r>
      <w:r w:rsidR="00331214">
        <w:rPr>
          <w:lang w:val="fr-CH"/>
        </w:rPr>
        <w:t>'</w:t>
      </w:r>
      <w:r w:rsidR="000B2BEA">
        <w:rPr>
          <w:lang w:val="fr-CH"/>
        </w:rPr>
        <w:t xml:space="preserve">assumer la responsabilité des travaux de recherche et de la publication annuelle </w:t>
      </w:r>
      <w:r w:rsidR="000B2BEA" w:rsidRPr="000B2BEA">
        <w:rPr>
          <w:lang w:val="fr-CH"/>
        </w:rPr>
        <w:t>de la stratégie de l</w:t>
      </w:r>
      <w:r w:rsidR="00331214">
        <w:rPr>
          <w:lang w:val="fr-CH"/>
        </w:rPr>
        <w:t>'</w:t>
      </w:r>
      <w:r w:rsidR="000B2BEA" w:rsidRPr="000B2BEA">
        <w:rPr>
          <w:lang w:val="fr-CH"/>
        </w:rPr>
        <w:t>UIT</w:t>
      </w:r>
      <w:r w:rsidR="00666119">
        <w:rPr>
          <w:lang w:val="fr-CH"/>
        </w:rPr>
        <w:noBreakHyphen/>
        <w:t>T</w:t>
      </w:r>
      <w:r w:rsidR="000B2BEA" w:rsidRPr="000B2BEA">
        <w:rPr>
          <w:lang w:val="fr-CH"/>
        </w:rPr>
        <w:t xml:space="preserve"> en matière de normalisation des IMT (en particulier </w:t>
      </w:r>
      <w:r w:rsidR="000B2BEA">
        <w:rPr>
          <w:lang w:val="fr-CH"/>
        </w:rPr>
        <w:t xml:space="preserve">des </w:t>
      </w:r>
      <w:r w:rsidR="000B2BEA" w:rsidRPr="000B2BEA">
        <w:rPr>
          <w:lang w:val="fr-CH"/>
        </w:rPr>
        <w:t>IMT</w:t>
      </w:r>
      <w:r w:rsidR="00666119">
        <w:rPr>
          <w:lang w:val="fr-CH"/>
        </w:rPr>
        <w:noBreakHyphen/>
        <w:t>2020</w:t>
      </w:r>
      <w:r w:rsidR="000B2BEA" w:rsidRPr="000B2BEA">
        <w:rPr>
          <w:lang w:val="fr-CH"/>
        </w:rPr>
        <w:t>)</w:t>
      </w:r>
      <w:r w:rsidR="00A9269D">
        <w:rPr>
          <w:lang w:val="fr-CH"/>
        </w:rPr>
        <w:t>;</w:t>
      </w:r>
      <w:r w:rsidR="007D2933">
        <w:rPr>
          <w:lang w:val="fr-CH"/>
        </w:rPr>
        <w:t xml:space="preserve"> </w:t>
      </w:r>
    </w:p>
    <w:p w:rsidR="00711253" w:rsidRPr="007D2933" w:rsidRDefault="00711253" w:rsidP="00A9269D">
      <w:pPr>
        <w:rPr>
          <w:lang w:val="fr-CH"/>
        </w:rPr>
      </w:pPr>
      <w:r w:rsidRPr="000B2BEA">
        <w:rPr>
          <w:lang w:val="fr-CH"/>
        </w:rPr>
        <w:t>2</w:t>
      </w:r>
      <w:r w:rsidRPr="000B2BEA">
        <w:rPr>
          <w:lang w:val="fr-CH"/>
        </w:rPr>
        <w:tab/>
      </w:r>
      <w:r w:rsidR="000B2BEA" w:rsidRPr="000B2BEA">
        <w:rPr>
          <w:lang w:val="fr-CH"/>
        </w:rPr>
        <w:t>de faciliter la coordination</w:t>
      </w:r>
      <w:r w:rsidR="000B2BEA">
        <w:rPr>
          <w:lang w:val="fr-CH"/>
        </w:rPr>
        <w:t xml:space="preserve"> des activités </w:t>
      </w:r>
      <w:r w:rsidR="00A9269D">
        <w:rPr>
          <w:lang w:val="fr-CH"/>
        </w:rPr>
        <w:t xml:space="preserve">de </w:t>
      </w:r>
      <w:r w:rsidR="000B2BEA">
        <w:rPr>
          <w:lang w:val="fr-CH"/>
        </w:rPr>
        <w:t>normalisation se rapportant aux</w:t>
      </w:r>
      <w:r w:rsidR="007D2933">
        <w:rPr>
          <w:lang w:val="fr-CH"/>
        </w:rPr>
        <w:t xml:space="preserve"> </w:t>
      </w:r>
      <w:r w:rsidR="000B2BEA" w:rsidRPr="000B2BEA">
        <w:rPr>
          <w:color w:val="000000"/>
          <w:lang w:val="fr-CH"/>
        </w:rPr>
        <w:t>éléments non radioélectrique</w:t>
      </w:r>
      <w:r w:rsidR="00A9269D">
        <w:rPr>
          <w:color w:val="000000"/>
          <w:lang w:val="fr-CH"/>
        </w:rPr>
        <w:t>s</w:t>
      </w:r>
      <w:r w:rsidR="000B2BEA" w:rsidRPr="000B2BEA">
        <w:rPr>
          <w:color w:val="000000"/>
          <w:lang w:val="fr-CH"/>
        </w:rPr>
        <w:t xml:space="preserve"> des IMT</w:t>
      </w:r>
      <w:r w:rsidR="007D2933">
        <w:rPr>
          <w:color w:val="000000"/>
          <w:lang w:val="fr-CH"/>
        </w:rPr>
        <w:t xml:space="preserve"> </w:t>
      </w:r>
      <w:r w:rsidRPr="000B2BEA">
        <w:rPr>
          <w:lang w:val="fr-CH"/>
        </w:rPr>
        <w:t>(</w:t>
      </w:r>
      <w:r w:rsidR="000B2BEA">
        <w:rPr>
          <w:lang w:val="fr-CH"/>
        </w:rPr>
        <w:t xml:space="preserve">notamment des 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Pr="000B2BEA">
        <w:rPr>
          <w:lang w:val="fr-CH"/>
        </w:rPr>
        <w:t xml:space="preserve">) </w:t>
      </w:r>
      <w:r w:rsidR="000B2BEA">
        <w:rPr>
          <w:lang w:val="fr-CH"/>
        </w:rPr>
        <w:t>entre toutes les commissions d</w:t>
      </w:r>
      <w:r w:rsidR="00331214">
        <w:rPr>
          <w:lang w:val="fr-CH"/>
        </w:rPr>
        <w:t>'</w:t>
      </w:r>
      <w:r w:rsidR="000B2BEA">
        <w:rPr>
          <w:lang w:val="fr-CH"/>
        </w:rPr>
        <w:t>études et tous</w:t>
      </w:r>
      <w:r w:rsidR="007D2933">
        <w:rPr>
          <w:lang w:val="fr-CH"/>
        </w:rPr>
        <w:t xml:space="preserve"> </w:t>
      </w:r>
      <w:r w:rsidR="000B2BEA" w:rsidRPr="000B2BEA">
        <w:rPr>
          <w:color w:val="000000"/>
          <w:lang w:val="fr-CH"/>
        </w:rPr>
        <w:t>les groupes spécialisés et</w:t>
      </w:r>
      <w:r w:rsidR="007D2933">
        <w:rPr>
          <w:color w:val="000000"/>
          <w:lang w:val="fr-CH"/>
        </w:rPr>
        <w:t xml:space="preserve"> </w:t>
      </w:r>
      <w:r w:rsidR="000B2BEA" w:rsidRPr="000B2BEA">
        <w:rPr>
          <w:color w:val="000000"/>
          <w:lang w:val="fr-CH"/>
        </w:rPr>
        <w:t>groupes mixtes de coordination</w:t>
      </w:r>
      <w:r w:rsidR="007D2933">
        <w:rPr>
          <w:color w:val="000000"/>
          <w:lang w:val="fr-CH"/>
        </w:rPr>
        <w:t xml:space="preserve"> </w:t>
      </w:r>
      <w:r w:rsidR="000B2BEA">
        <w:rPr>
          <w:color w:val="000000"/>
          <w:lang w:val="fr-CH"/>
        </w:rPr>
        <w:t>concernés</w:t>
      </w:r>
      <w:r w:rsidR="00A9269D">
        <w:rPr>
          <w:color w:val="000000"/>
          <w:lang w:val="fr-CH"/>
        </w:rPr>
        <w:t>, etc.;</w:t>
      </w:r>
    </w:p>
    <w:p w:rsidR="00711253" w:rsidRPr="000B2BEA" w:rsidRDefault="00711253" w:rsidP="00E338F5">
      <w:pPr>
        <w:rPr>
          <w:lang w:val="fr-CH"/>
        </w:rPr>
      </w:pPr>
      <w:r w:rsidRPr="000B2BEA">
        <w:rPr>
          <w:lang w:val="fr-CH"/>
        </w:rPr>
        <w:lastRenderedPageBreak/>
        <w:t>3</w:t>
      </w:r>
      <w:r w:rsidRPr="000B2BEA">
        <w:rPr>
          <w:lang w:val="fr-CH"/>
        </w:rPr>
        <w:tab/>
      </w:r>
      <w:r w:rsidR="000B2BEA" w:rsidRPr="000B2BEA">
        <w:rPr>
          <w:lang w:val="fr-CH"/>
        </w:rPr>
        <w:t>de faciliter la collaboration avec d</w:t>
      </w:r>
      <w:r w:rsidR="00331214">
        <w:rPr>
          <w:lang w:val="fr-CH"/>
        </w:rPr>
        <w:t>'</w:t>
      </w:r>
      <w:r w:rsidR="000B2BEA" w:rsidRPr="000B2BEA">
        <w:rPr>
          <w:lang w:val="fr-CH"/>
        </w:rPr>
        <w:t>autres organisations internationales de normalisation</w:t>
      </w:r>
      <w:r w:rsidR="00D00220">
        <w:rPr>
          <w:lang w:val="fr-CH"/>
        </w:rPr>
        <w:t xml:space="preserve"> et d</w:t>
      </w:r>
      <w:r w:rsidR="00331214">
        <w:rPr>
          <w:lang w:val="fr-CH"/>
        </w:rPr>
        <w:t>'</w:t>
      </w:r>
      <w:r w:rsidR="00D00220">
        <w:rPr>
          <w:lang w:val="fr-CH"/>
        </w:rPr>
        <w:t xml:space="preserve">autres </w:t>
      </w:r>
      <w:r w:rsidR="000B2BEA" w:rsidRPr="000B2BEA">
        <w:rPr>
          <w:color w:val="000000"/>
          <w:lang w:val="fr-CH"/>
        </w:rPr>
        <w:t>projets</w:t>
      </w:r>
      <w:r w:rsidR="000B2BEA">
        <w:rPr>
          <w:color w:val="000000"/>
          <w:lang w:val="fr-CH"/>
        </w:rPr>
        <w:t xml:space="preserve"> relatifs aux </w:t>
      </w:r>
      <w:r w:rsidR="000B2BEA" w:rsidRPr="000B2BEA">
        <w:rPr>
          <w:color w:val="000000"/>
          <w:lang w:val="fr-CH"/>
        </w:rPr>
        <w:t>logiciels à code source ouvert</w:t>
      </w:r>
      <w:r w:rsidRPr="000B2BEA">
        <w:rPr>
          <w:lang w:val="fr-CH"/>
        </w:rPr>
        <w:t>,</w:t>
      </w:r>
      <w:r w:rsidR="00D00220">
        <w:rPr>
          <w:lang w:val="fr-CH"/>
        </w:rPr>
        <w:t xml:space="preserve"> en particulier avec le </w:t>
      </w:r>
      <w:r w:rsidRPr="000B2BEA">
        <w:rPr>
          <w:lang w:val="fr-CH"/>
        </w:rPr>
        <w:t>3GPP;</w:t>
      </w:r>
    </w:p>
    <w:p w:rsidR="00711253" w:rsidRPr="0028210B" w:rsidRDefault="00711253" w:rsidP="00A9269D">
      <w:pPr>
        <w:rPr>
          <w:lang w:val="fr-CH"/>
        </w:rPr>
      </w:pPr>
      <w:r w:rsidRPr="0028210B">
        <w:rPr>
          <w:lang w:val="fr-CH"/>
        </w:rPr>
        <w:t>4</w:t>
      </w:r>
      <w:r w:rsidRPr="0028210B">
        <w:rPr>
          <w:lang w:val="fr-CH"/>
        </w:rPr>
        <w:tab/>
      </w:r>
      <w:r w:rsidR="0028210B" w:rsidRPr="0028210B">
        <w:rPr>
          <w:lang w:val="fr-CH"/>
        </w:rPr>
        <w:t>d</w:t>
      </w:r>
      <w:r w:rsidR="00331214">
        <w:rPr>
          <w:lang w:val="fr-CH"/>
        </w:rPr>
        <w:t>'</w:t>
      </w:r>
      <w:r w:rsidR="0028210B" w:rsidRPr="0028210B">
        <w:rPr>
          <w:lang w:val="fr-CH"/>
        </w:rPr>
        <w:t>inviter les commissions d</w:t>
      </w:r>
      <w:r w:rsidR="00331214">
        <w:rPr>
          <w:lang w:val="fr-CH"/>
        </w:rPr>
        <w:t>'</w:t>
      </w:r>
      <w:r w:rsidR="0028210B" w:rsidRPr="0028210B">
        <w:rPr>
          <w:lang w:val="fr-CH"/>
        </w:rPr>
        <w:t xml:space="preserve">études concernées à fournir </w:t>
      </w:r>
      <w:r w:rsidR="00A9269D">
        <w:rPr>
          <w:lang w:val="fr-CH"/>
        </w:rPr>
        <w:t>à l'</w:t>
      </w:r>
      <w:r w:rsidR="00A9269D" w:rsidRPr="0028210B">
        <w:rPr>
          <w:lang w:val="fr-CH"/>
        </w:rPr>
        <w:t>UIT-D</w:t>
      </w:r>
      <w:r w:rsidR="00A9269D">
        <w:rPr>
          <w:lang w:val="fr-CH"/>
        </w:rPr>
        <w:t xml:space="preserve"> </w:t>
      </w:r>
      <w:r w:rsidR="0028210B" w:rsidRPr="0028210B">
        <w:rPr>
          <w:lang w:val="fr-CH"/>
        </w:rPr>
        <w:t xml:space="preserve">une assistance technique sur les IMT </w:t>
      </w:r>
      <w:r w:rsidRPr="0028210B">
        <w:rPr>
          <w:lang w:val="fr-CH"/>
        </w:rPr>
        <w:t>(</w:t>
      </w:r>
      <w:r w:rsidR="0028210B">
        <w:rPr>
          <w:lang w:val="fr-CH"/>
        </w:rPr>
        <w:t>notamment</w:t>
      </w:r>
      <w:r w:rsidR="007D2933">
        <w:rPr>
          <w:lang w:val="fr-CH"/>
        </w:rPr>
        <w:t xml:space="preserve"> </w:t>
      </w:r>
      <w:r w:rsidR="0028210B">
        <w:rPr>
          <w:lang w:val="fr-CH"/>
        </w:rPr>
        <w:t xml:space="preserve">sur les 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="0028210B" w:rsidRPr="000B2BEA">
        <w:rPr>
          <w:lang w:val="fr-CH"/>
        </w:rPr>
        <w:t>)</w:t>
      </w:r>
      <w:r w:rsidR="0028210B">
        <w:rPr>
          <w:lang w:val="fr-CH"/>
        </w:rPr>
        <w:t xml:space="preserve">, dans le cadre des activités de formation </w:t>
      </w:r>
      <w:r w:rsidR="00A9269D">
        <w:rPr>
          <w:lang w:val="fr-CH"/>
        </w:rPr>
        <w:t>à l'intention des</w:t>
      </w:r>
      <w:r w:rsidR="0028210B">
        <w:rPr>
          <w:lang w:val="fr-CH"/>
        </w:rPr>
        <w:t xml:space="preserve"> pays en développement</w:t>
      </w:r>
      <w:r w:rsidR="00A9269D">
        <w:rPr>
          <w:lang w:val="fr-CH"/>
        </w:rPr>
        <w:t>,</w:t>
      </w:r>
    </w:p>
    <w:p w:rsidR="00711253" w:rsidRPr="0028210B" w:rsidRDefault="00271648" w:rsidP="00E338F5">
      <w:pPr>
        <w:pStyle w:val="Call"/>
        <w:rPr>
          <w:lang w:val="fr-CH"/>
        </w:rPr>
      </w:pPr>
      <w:r>
        <w:rPr>
          <w:lang w:val="fr-CH"/>
        </w:rPr>
        <w:t>c</w:t>
      </w:r>
      <w:r w:rsidR="0028210B" w:rsidRPr="0028210B">
        <w:rPr>
          <w:lang w:val="fr-CH"/>
        </w:rPr>
        <w:t>harge</w:t>
      </w:r>
      <w:r w:rsidR="007D2933">
        <w:rPr>
          <w:lang w:val="fr-CH"/>
        </w:rPr>
        <w:t xml:space="preserve"> </w:t>
      </w:r>
      <w:r w:rsidR="0028210B" w:rsidRPr="0028210B">
        <w:rPr>
          <w:lang w:val="fr-CH"/>
        </w:rPr>
        <w:t>les commissions d</w:t>
      </w:r>
      <w:r w:rsidR="00331214">
        <w:rPr>
          <w:lang w:val="fr-CH"/>
        </w:rPr>
        <w:t>'</w:t>
      </w:r>
      <w:r w:rsidR="0028210B" w:rsidRPr="0028210B">
        <w:rPr>
          <w:lang w:val="fr-CH"/>
        </w:rPr>
        <w:t>études de l</w:t>
      </w:r>
      <w:r w:rsidR="00331214">
        <w:rPr>
          <w:lang w:val="fr-CH"/>
        </w:rPr>
        <w:t>'</w:t>
      </w:r>
      <w:r w:rsidR="000F2F97">
        <w:rPr>
          <w:lang w:val="fr-CH"/>
        </w:rPr>
        <w:t>UIT</w:t>
      </w:r>
      <w:r w:rsidR="000F2F97">
        <w:rPr>
          <w:lang w:val="fr-CH"/>
        </w:rPr>
        <w:noBreakHyphen/>
        <w:t>T</w:t>
      </w:r>
      <w:r w:rsidR="007D2933">
        <w:rPr>
          <w:lang w:val="fr-CH"/>
        </w:rPr>
        <w:t xml:space="preserve"> </w:t>
      </w:r>
    </w:p>
    <w:p w:rsidR="00711253" w:rsidRPr="0028210B" w:rsidRDefault="00711253" w:rsidP="00A9269D">
      <w:pPr>
        <w:rPr>
          <w:lang w:val="fr-CH"/>
        </w:rPr>
      </w:pPr>
      <w:r w:rsidRPr="0028210B">
        <w:rPr>
          <w:lang w:val="fr-CH"/>
        </w:rPr>
        <w:t>1</w:t>
      </w:r>
      <w:r w:rsidRPr="0028210B">
        <w:rPr>
          <w:lang w:val="fr-CH"/>
        </w:rPr>
        <w:tab/>
      </w:r>
      <w:r w:rsidR="0028210B" w:rsidRPr="0028210B">
        <w:rPr>
          <w:color w:val="000000"/>
          <w:lang w:val="fr-CH"/>
        </w:rPr>
        <w:t>de renforcer la coopération et la coordination</w:t>
      </w:r>
      <w:r w:rsidR="007D2933">
        <w:rPr>
          <w:color w:val="000000"/>
          <w:lang w:val="fr-CH"/>
        </w:rPr>
        <w:t xml:space="preserve"> </w:t>
      </w:r>
      <w:r w:rsidR="0028210B">
        <w:rPr>
          <w:lang w:val="fr-CH"/>
        </w:rPr>
        <w:t>des activités de normalisation relatives aux IMT</w:t>
      </w:r>
      <w:r w:rsidRPr="0028210B">
        <w:rPr>
          <w:lang w:val="fr-CH"/>
        </w:rPr>
        <w:t xml:space="preserve"> (</w:t>
      </w:r>
      <w:r w:rsidR="0028210B">
        <w:rPr>
          <w:lang w:val="fr-CH"/>
        </w:rPr>
        <w:t>notamment</w:t>
      </w:r>
      <w:r w:rsidR="007D2933">
        <w:rPr>
          <w:lang w:val="fr-CH"/>
        </w:rPr>
        <w:t xml:space="preserve"> </w:t>
      </w:r>
      <w:r w:rsidR="0028210B">
        <w:rPr>
          <w:lang w:val="fr-CH"/>
        </w:rPr>
        <w:t xml:space="preserve">aux 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Pr="0028210B">
        <w:rPr>
          <w:lang w:val="fr-CH"/>
        </w:rPr>
        <w:t>)</w:t>
      </w:r>
      <w:r w:rsidR="007D2933">
        <w:rPr>
          <w:lang w:val="fr-CH"/>
        </w:rPr>
        <w:t>,</w:t>
      </w:r>
      <w:r w:rsidR="0028210B">
        <w:rPr>
          <w:lang w:val="fr-CH"/>
        </w:rPr>
        <w:t xml:space="preserve"> dans un esprit constructif et</w:t>
      </w:r>
      <w:r w:rsidR="007D2933">
        <w:rPr>
          <w:lang w:val="fr-CH"/>
        </w:rPr>
        <w:t xml:space="preserve"> </w:t>
      </w:r>
      <w:r w:rsidR="0028210B">
        <w:rPr>
          <w:lang w:val="fr-CH"/>
        </w:rPr>
        <w:t xml:space="preserve">selon </w:t>
      </w:r>
      <w:r w:rsidR="0028210B" w:rsidRPr="0028210B">
        <w:rPr>
          <w:lang w:val="fr-CH"/>
        </w:rPr>
        <w:t>un processus mutuellement avantageux</w:t>
      </w:r>
      <w:r w:rsidR="0028210B">
        <w:rPr>
          <w:lang w:val="fr-CH"/>
        </w:rPr>
        <w:t>,</w:t>
      </w:r>
      <w:r w:rsidR="007D2933">
        <w:rPr>
          <w:lang w:val="fr-CH"/>
        </w:rPr>
        <w:t xml:space="preserve"> </w:t>
      </w:r>
      <w:r w:rsidR="007D00C5">
        <w:rPr>
          <w:lang w:val="fr-CH"/>
        </w:rPr>
        <w:t xml:space="preserve">afin de faire en sorte que le secteur mondial des TIC </w:t>
      </w:r>
      <w:r w:rsidR="00A9269D">
        <w:rPr>
          <w:lang w:val="fr-CH"/>
        </w:rPr>
        <w:t>dispose</w:t>
      </w:r>
      <w:r w:rsidR="007D00C5">
        <w:rPr>
          <w:lang w:val="fr-CH"/>
        </w:rPr>
        <w:t xml:space="preserve"> d</w:t>
      </w:r>
      <w:r w:rsidR="00331214">
        <w:rPr>
          <w:lang w:val="fr-CH"/>
        </w:rPr>
        <w:t>'</w:t>
      </w:r>
      <w:r w:rsidR="007D00C5">
        <w:rPr>
          <w:lang w:val="fr-CH"/>
        </w:rPr>
        <w:t>une solution</w:t>
      </w:r>
      <w:r w:rsidR="007D2933">
        <w:rPr>
          <w:lang w:val="fr-CH"/>
        </w:rPr>
        <w:t xml:space="preserve"> </w:t>
      </w:r>
      <w:r w:rsidR="007D00C5">
        <w:rPr>
          <w:lang w:val="fr-CH"/>
        </w:rPr>
        <w:t xml:space="preserve">efficace et </w:t>
      </w:r>
      <w:r w:rsidR="00271648">
        <w:rPr>
          <w:lang w:val="fr-CH"/>
        </w:rPr>
        <w:t>concrète</w:t>
      </w:r>
      <w:r w:rsidR="007D00C5">
        <w:rPr>
          <w:lang w:val="fr-CH"/>
        </w:rPr>
        <w:t xml:space="preserve"> en matière de normalisation</w:t>
      </w:r>
      <w:r w:rsidR="007D2933">
        <w:rPr>
          <w:lang w:val="fr-CH"/>
        </w:rPr>
        <w:t>;</w:t>
      </w:r>
    </w:p>
    <w:p w:rsidR="00711253" w:rsidRPr="007D00C5" w:rsidRDefault="00711253" w:rsidP="00E338F5">
      <w:pPr>
        <w:rPr>
          <w:lang w:val="fr-CH"/>
        </w:rPr>
      </w:pPr>
      <w:r w:rsidRPr="007D00C5">
        <w:rPr>
          <w:lang w:val="fr-CH"/>
        </w:rPr>
        <w:t>2</w:t>
      </w:r>
      <w:r w:rsidRPr="007D00C5">
        <w:rPr>
          <w:lang w:val="fr-CH"/>
        </w:rPr>
        <w:tab/>
      </w:r>
      <w:r w:rsidR="00271648">
        <w:rPr>
          <w:lang w:val="fr-CH"/>
        </w:rPr>
        <w:t>d</w:t>
      </w:r>
      <w:r w:rsidR="00331214">
        <w:rPr>
          <w:lang w:val="fr-CH"/>
        </w:rPr>
        <w:t>'</w:t>
      </w:r>
      <w:r w:rsidR="00271648">
        <w:rPr>
          <w:lang w:val="fr-CH"/>
        </w:rPr>
        <w:t xml:space="preserve">encourager activement </w:t>
      </w:r>
      <w:r w:rsidR="007D00C5" w:rsidRPr="007D00C5">
        <w:rPr>
          <w:lang w:val="fr-CH"/>
        </w:rPr>
        <w:t xml:space="preserve">les travaux de recherche </w:t>
      </w:r>
      <w:r w:rsidR="007D00C5">
        <w:rPr>
          <w:lang w:val="fr-CH"/>
        </w:rPr>
        <w:t>sur la normalisation</w:t>
      </w:r>
      <w:r w:rsidR="007D2933">
        <w:rPr>
          <w:lang w:val="fr-CH"/>
        </w:rPr>
        <w:t xml:space="preserve"> </w:t>
      </w:r>
      <w:r w:rsidR="00271648">
        <w:rPr>
          <w:lang w:val="fr-CH"/>
        </w:rPr>
        <w:t>des technologies de réseau pour les éléments non radioélectriques</w:t>
      </w:r>
      <w:r w:rsidR="007D2933">
        <w:rPr>
          <w:lang w:val="fr-CH"/>
        </w:rPr>
        <w:t xml:space="preserve"> </w:t>
      </w:r>
      <w:r w:rsidR="00271648">
        <w:rPr>
          <w:lang w:val="fr-CH"/>
        </w:rPr>
        <w:t>des IMT</w:t>
      </w:r>
      <w:r w:rsidR="007D2933">
        <w:rPr>
          <w:lang w:val="fr-CH"/>
        </w:rPr>
        <w:t>,</w:t>
      </w:r>
    </w:p>
    <w:p w:rsidR="004837BE" w:rsidRPr="004837BE" w:rsidRDefault="004837BE" w:rsidP="00E338F5">
      <w:pPr>
        <w:pStyle w:val="Call"/>
        <w:rPr>
          <w:lang w:val="fr-CH"/>
        </w:rPr>
      </w:pPr>
      <w:bookmarkStart w:id="0" w:name="_GoBack"/>
      <w:bookmarkEnd w:id="0"/>
      <w:r w:rsidRPr="004837BE">
        <w:rPr>
          <w:lang w:val="fr-CH"/>
        </w:rPr>
        <w:t xml:space="preserve">charge </w:t>
      </w:r>
      <w:r w:rsidR="005D6531">
        <w:rPr>
          <w:lang w:val="fr-CH"/>
        </w:rPr>
        <w:t>la Commission d</w:t>
      </w:r>
      <w:r w:rsidR="00331214">
        <w:rPr>
          <w:lang w:val="fr-CH"/>
        </w:rPr>
        <w:t>'</w:t>
      </w:r>
      <w:r w:rsidR="005D6531">
        <w:rPr>
          <w:lang w:val="fr-CH"/>
        </w:rPr>
        <w:t>é</w:t>
      </w:r>
      <w:r w:rsidRPr="004837BE">
        <w:rPr>
          <w:lang w:val="fr-CH"/>
        </w:rPr>
        <w:t xml:space="preserve">tudes </w:t>
      </w:r>
      <w:r>
        <w:rPr>
          <w:lang w:val="fr-CH"/>
        </w:rPr>
        <w:t>13 de l</w:t>
      </w:r>
      <w:r w:rsidR="00331214">
        <w:rPr>
          <w:lang w:val="fr-CH"/>
        </w:rPr>
        <w:t>'</w:t>
      </w:r>
      <w:r>
        <w:rPr>
          <w:lang w:val="fr-CH"/>
        </w:rPr>
        <w:t>UIT-T</w:t>
      </w:r>
      <w:r w:rsidR="007D2933">
        <w:rPr>
          <w:lang w:val="fr-CH"/>
        </w:rPr>
        <w:t xml:space="preserve"> </w:t>
      </w:r>
    </w:p>
    <w:p w:rsidR="00711253" w:rsidRPr="004837BE" w:rsidRDefault="00711253" w:rsidP="00A9269D">
      <w:pPr>
        <w:rPr>
          <w:lang w:val="fr-CH"/>
        </w:rPr>
      </w:pPr>
      <w:r w:rsidRPr="004837BE">
        <w:rPr>
          <w:lang w:val="fr-CH"/>
        </w:rPr>
        <w:t>1</w:t>
      </w:r>
      <w:r w:rsidRPr="004837BE">
        <w:rPr>
          <w:lang w:val="fr-CH"/>
        </w:rPr>
        <w:tab/>
      </w:r>
      <w:r w:rsidR="004837BE" w:rsidRPr="004837BE">
        <w:rPr>
          <w:lang w:val="fr-CH"/>
        </w:rPr>
        <w:t>de tenir à jour la feuille de route des activités de normalisation</w:t>
      </w:r>
      <w:r w:rsidR="007D2933">
        <w:rPr>
          <w:lang w:val="fr-CH"/>
        </w:rPr>
        <w:t xml:space="preserve"> </w:t>
      </w:r>
      <w:r w:rsidR="004837BE" w:rsidRPr="004837BE">
        <w:rPr>
          <w:lang w:val="fr-CH"/>
        </w:rPr>
        <w:t>relatives aux IMT au sein de l</w:t>
      </w:r>
      <w:r w:rsidR="00331214">
        <w:rPr>
          <w:lang w:val="fr-CH"/>
        </w:rPr>
        <w:t>'</w:t>
      </w:r>
      <w:r w:rsidR="004837BE" w:rsidRPr="004837BE">
        <w:rPr>
          <w:lang w:val="fr-CH"/>
        </w:rPr>
        <w:t>UIT</w:t>
      </w:r>
      <w:r w:rsidR="00A9269D">
        <w:rPr>
          <w:lang w:val="fr-CH"/>
        </w:rPr>
        <w:noBreakHyphen/>
        <w:t>T</w:t>
      </w:r>
      <w:r w:rsidR="004837BE" w:rsidRPr="004837BE">
        <w:rPr>
          <w:lang w:val="fr-CH"/>
        </w:rPr>
        <w:t>, qui devrait comprendre des sujets d</w:t>
      </w:r>
      <w:r w:rsidR="00331214">
        <w:rPr>
          <w:lang w:val="fr-CH"/>
        </w:rPr>
        <w:t>'</w:t>
      </w:r>
      <w:r w:rsidR="004837BE" w:rsidRPr="004837BE">
        <w:rPr>
          <w:lang w:val="fr-CH"/>
        </w:rPr>
        <w:t>étude destinés à faire progresser les travaux de normalisation relatifs aux éléments non radioélectriques</w:t>
      </w:r>
      <w:r w:rsidR="004837BE">
        <w:rPr>
          <w:lang w:val="fr-CH"/>
        </w:rPr>
        <w:t xml:space="preserve"> des </w:t>
      </w:r>
      <w:r w:rsidRPr="004837BE">
        <w:rPr>
          <w:lang w:val="fr-CH"/>
        </w:rPr>
        <w:t xml:space="preserve">IMT, </w:t>
      </w:r>
      <w:r w:rsidR="004837BE">
        <w:rPr>
          <w:lang w:val="fr-CH"/>
        </w:rPr>
        <w:t>et de la communiquer, en sa qualité de commission d</w:t>
      </w:r>
      <w:r w:rsidR="00331214">
        <w:rPr>
          <w:lang w:val="fr-CH"/>
        </w:rPr>
        <w:t>'</w:t>
      </w:r>
      <w:r w:rsidR="004837BE">
        <w:rPr>
          <w:lang w:val="fr-CH"/>
        </w:rPr>
        <w:t>étude</w:t>
      </w:r>
      <w:r w:rsidR="00710921">
        <w:rPr>
          <w:lang w:val="fr-CH"/>
        </w:rPr>
        <w:t>s</w:t>
      </w:r>
      <w:r w:rsidR="004837BE">
        <w:rPr>
          <w:lang w:val="fr-CH"/>
        </w:rPr>
        <w:t xml:space="preserve"> directrice pour les IMT (en particulier les</w:t>
      </w:r>
      <w:r w:rsidR="007D2933">
        <w:rPr>
          <w:lang w:val="fr-CH"/>
        </w:rPr>
        <w:t xml:space="preserve"> </w:t>
      </w:r>
      <w:r w:rsidR="005E1BB5">
        <w:rPr>
          <w:lang w:val="fr-CH"/>
        </w:rPr>
        <w:t>IMT</w:t>
      </w:r>
      <w:r w:rsidR="005E1BB5">
        <w:rPr>
          <w:lang w:val="fr-CH"/>
        </w:rPr>
        <w:noBreakHyphen/>
        <w:t>2020</w:t>
      </w:r>
      <w:r w:rsidR="004837BE">
        <w:rPr>
          <w:lang w:val="fr-CH"/>
        </w:rPr>
        <w:t>), aux commissions d</w:t>
      </w:r>
      <w:r w:rsidR="00331214">
        <w:rPr>
          <w:lang w:val="fr-CH"/>
        </w:rPr>
        <w:t>'</w:t>
      </w:r>
      <w:r w:rsidR="004837BE">
        <w:rPr>
          <w:lang w:val="fr-CH"/>
        </w:rPr>
        <w:t>études concernées de l</w:t>
      </w:r>
      <w:r w:rsidR="00331214">
        <w:rPr>
          <w:lang w:val="fr-CH"/>
        </w:rPr>
        <w:t>'</w:t>
      </w:r>
      <w:r w:rsidR="004837BE">
        <w:rPr>
          <w:lang w:val="fr-CH"/>
        </w:rPr>
        <w:t>UIT-R et</w:t>
      </w:r>
      <w:r w:rsidR="00BD7246">
        <w:rPr>
          <w:lang w:val="fr-CH"/>
        </w:rPr>
        <w:t xml:space="preserve"> de l</w:t>
      </w:r>
      <w:r w:rsidR="00331214">
        <w:rPr>
          <w:lang w:val="fr-CH"/>
        </w:rPr>
        <w:t>'</w:t>
      </w:r>
      <w:r w:rsidR="00205EB9" w:rsidRPr="004837BE">
        <w:rPr>
          <w:lang w:val="fr-CH"/>
        </w:rPr>
        <w:t>UIT</w:t>
      </w:r>
      <w:r w:rsidRPr="004837BE">
        <w:rPr>
          <w:lang w:val="fr-CH"/>
        </w:rPr>
        <w:t>-D</w:t>
      </w:r>
      <w:r w:rsidR="00A9269D">
        <w:rPr>
          <w:lang w:val="fr-CH"/>
        </w:rPr>
        <w:t>;</w:t>
      </w:r>
      <w:r w:rsidR="007D2933">
        <w:rPr>
          <w:lang w:val="fr-CH"/>
        </w:rPr>
        <w:t xml:space="preserve"> </w:t>
      </w:r>
    </w:p>
    <w:p w:rsidR="00711253" w:rsidRPr="00BD7246" w:rsidRDefault="00711253" w:rsidP="0098225A">
      <w:pPr>
        <w:rPr>
          <w:lang w:val="fr-CH"/>
        </w:rPr>
      </w:pPr>
      <w:r w:rsidRPr="00BD7246">
        <w:rPr>
          <w:lang w:val="fr-CH"/>
        </w:rPr>
        <w:t>2</w:t>
      </w:r>
      <w:r w:rsidRPr="00BD7246">
        <w:rPr>
          <w:lang w:val="fr-CH"/>
        </w:rPr>
        <w:tab/>
      </w:r>
      <w:r w:rsidR="005E47DD">
        <w:rPr>
          <w:lang w:val="fr-CH"/>
        </w:rPr>
        <w:t>d</w:t>
      </w:r>
      <w:r w:rsidR="00331214">
        <w:rPr>
          <w:lang w:val="fr-CH"/>
        </w:rPr>
        <w:t>'</w:t>
      </w:r>
      <w:r w:rsidR="005E47DD">
        <w:rPr>
          <w:lang w:val="fr-CH"/>
        </w:rPr>
        <w:t>encourager les études relatives aux besoins et à l</w:t>
      </w:r>
      <w:r w:rsidR="00331214">
        <w:rPr>
          <w:lang w:val="fr-CH"/>
        </w:rPr>
        <w:t>'</w:t>
      </w:r>
      <w:r w:rsidR="005E47DD">
        <w:rPr>
          <w:lang w:val="fr-CH"/>
        </w:rPr>
        <w:t>architecture du réseau</w:t>
      </w:r>
      <w:r w:rsidR="007D2933">
        <w:rPr>
          <w:lang w:val="fr-CH"/>
        </w:rPr>
        <w:t>,</w:t>
      </w:r>
      <w:r w:rsidR="00A9269D">
        <w:rPr>
          <w:lang w:val="fr-CH"/>
        </w:rPr>
        <w:t xml:space="preserve"> </w:t>
      </w:r>
      <w:r w:rsidR="005E47DD">
        <w:rPr>
          <w:lang w:val="fr-CH"/>
        </w:rPr>
        <w:t>à</w:t>
      </w:r>
      <w:r w:rsidR="007D2933">
        <w:rPr>
          <w:lang w:val="fr-CH"/>
        </w:rPr>
        <w:t xml:space="preserve"> </w:t>
      </w:r>
      <w:r w:rsidR="00BD7246" w:rsidRPr="00671CFB">
        <w:rPr>
          <w:color w:val="000000"/>
          <w:lang w:val="fr-CH"/>
        </w:rPr>
        <w:t>la logiciellisation de réseau</w:t>
      </w:r>
      <w:r w:rsidR="00BD7246">
        <w:rPr>
          <w:color w:val="000000"/>
          <w:lang w:val="fr-CH"/>
        </w:rPr>
        <w:t>,</w:t>
      </w:r>
      <w:r w:rsidR="00BD7246" w:rsidRPr="00671CFB">
        <w:rPr>
          <w:color w:val="000000"/>
          <w:lang w:val="fr-CH"/>
        </w:rPr>
        <w:t xml:space="preserve"> </w:t>
      </w:r>
      <w:r w:rsidR="005E47DD">
        <w:rPr>
          <w:color w:val="000000"/>
          <w:lang w:val="fr-CH"/>
        </w:rPr>
        <w:t>au</w:t>
      </w:r>
      <w:r w:rsidR="00BD7246" w:rsidRPr="00671CFB">
        <w:rPr>
          <w:color w:val="000000"/>
          <w:lang w:val="fr-CH"/>
        </w:rPr>
        <w:t xml:space="preserve"> découpage de réseau</w:t>
      </w:r>
      <w:r w:rsidR="00BD7246">
        <w:rPr>
          <w:color w:val="000000"/>
          <w:lang w:val="fr-CH"/>
        </w:rPr>
        <w:t>,</w:t>
      </w:r>
      <w:r w:rsidR="005E47DD">
        <w:rPr>
          <w:color w:val="000000"/>
          <w:lang w:val="fr-CH"/>
        </w:rPr>
        <w:t xml:space="preserve"> à</w:t>
      </w:r>
      <w:r w:rsidR="00BD7246">
        <w:rPr>
          <w:color w:val="000000"/>
          <w:lang w:val="fr-CH"/>
        </w:rPr>
        <w:t xml:space="preserve"> </w:t>
      </w:r>
      <w:r w:rsidR="00BD7246">
        <w:rPr>
          <w:lang w:val="fr-CH"/>
        </w:rPr>
        <w:t>l</w:t>
      </w:r>
      <w:r w:rsidR="00331214">
        <w:rPr>
          <w:lang w:val="fr-CH"/>
        </w:rPr>
        <w:t>'</w:t>
      </w:r>
      <w:r w:rsidR="00BD7246">
        <w:rPr>
          <w:lang w:val="fr-CH"/>
        </w:rPr>
        <w:t>évolutivité des capacités du réseau,</w:t>
      </w:r>
      <w:r w:rsidR="007D2933">
        <w:rPr>
          <w:lang w:val="fr-CH"/>
        </w:rPr>
        <w:t xml:space="preserve"> </w:t>
      </w:r>
      <w:r w:rsidR="005E47DD">
        <w:rPr>
          <w:color w:val="000000"/>
          <w:lang w:val="fr-CH"/>
        </w:rPr>
        <w:t xml:space="preserve">à </w:t>
      </w:r>
      <w:r w:rsidR="00BD7246">
        <w:rPr>
          <w:color w:val="000000"/>
          <w:lang w:val="fr-CH"/>
        </w:rPr>
        <w:t>la gestion et</w:t>
      </w:r>
      <w:r w:rsidR="007D2933">
        <w:rPr>
          <w:color w:val="000000"/>
          <w:lang w:val="fr-CH"/>
        </w:rPr>
        <w:t xml:space="preserve"> </w:t>
      </w:r>
      <w:r w:rsidR="005E47DD">
        <w:rPr>
          <w:color w:val="000000"/>
          <w:lang w:val="fr-CH"/>
        </w:rPr>
        <w:t xml:space="preserve">à </w:t>
      </w:r>
      <w:r w:rsidR="00BD7246">
        <w:rPr>
          <w:color w:val="000000"/>
          <w:lang w:val="fr-CH"/>
        </w:rPr>
        <w:t>l</w:t>
      </w:r>
      <w:r w:rsidR="00331214">
        <w:rPr>
          <w:color w:val="000000"/>
          <w:lang w:val="fr-CH"/>
        </w:rPr>
        <w:t>'</w:t>
      </w:r>
      <w:r w:rsidR="00BD7246">
        <w:rPr>
          <w:color w:val="000000"/>
          <w:lang w:val="fr-CH"/>
        </w:rPr>
        <w:t xml:space="preserve">orchestration des réseaux, </w:t>
      </w:r>
      <w:r w:rsidR="005E47DD">
        <w:rPr>
          <w:color w:val="000000"/>
          <w:lang w:val="fr-CH"/>
        </w:rPr>
        <w:t>à</w:t>
      </w:r>
      <w:r w:rsidR="007D2933">
        <w:rPr>
          <w:color w:val="000000"/>
          <w:lang w:val="fr-CH"/>
        </w:rPr>
        <w:t xml:space="preserve"> </w:t>
      </w:r>
      <w:r w:rsidR="00BD7246">
        <w:rPr>
          <w:lang w:val="fr-CH"/>
        </w:rPr>
        <w:t>la convergence réseaux fixes</w:t>
      </w:r>
      <w:r w:rsidR="00A9269D">
        <w:rPr>
          <w:lang w:val="fr-CH"/>
        </w:rPr>
        <w:noBreakHyphen/>
      </w:r>
      <w:r w:rsidR="00BD7246">
        <w:rPr>
          <w:lang w:val="fr-CH"/>
        </w:rPr>
        <w:t>réseaux mobiles et</w:t>
      </w:r>
      <w:r w:rsidR="005E47DD">
        <w:rPr>
          <w:lang w:val="fr-CH"/>
        </w:rPr>
        <w:t xml:space="preserve"> aux</w:t>
      </w:r>
      <w:r w:rsidR="00BD7246">
        <w:rPr>
          <w:lang w:val="fr-CH"/>
        </w:rPr>
        <w:t xml:space="preserve"> techniques nouvelles de réseau</w:t>
      </w:r>
      <w:r w:rsidR="007D2933">
        <w:rPr>
          <w:lang w:val="fr-CH"/>
        </w:rPr>
        <w:t xml:space="preserve"> </w:t>
      </w:r>
      <w:r w:rsidR="00BD7246">
        <w:rPr>
          <w:lang w:val="fr-CH"/>
        </w:rPr>
        <w:t xml:space="preserve">(techniques </w:t>
      </w:r>
      <w:r w:rsidR="00BD7246" w:rsidRPr="00BD7246">
        <w:rPr>
          <w:lang w:val="fr-CH"/>
        </w:rPr>
        <w:t xml:space="preserve">ICN </w:t>
      </w:r>
      <w:r w:rsidR="005E47DD">
        <w:rPr>
          <w:lang w:val="fr-CH"/>
        </w:rPr>
        <w:t>par exemple</w:t>
      </w:r>
      <w:r w:rsidR="00A9269D">
        <w:rPr>
          <w:lang w:val="fr-CH"/>
        </w:rPr>
        <w:t>,</w:t>
      </w:r>
      <w:r w:rsidR="005E47DD">
        <w:rPr>
          <w:lang w:val="fr-CH"/>
        </w:rPr>
        <w:t xml:space="preserve"> </w:t>
      </w:r>
      <w:r w:rsidR="00BD7246" w:rsidRPr="00BD7246">
        <w:rPr>
          <w:lang w:val="fr-CH"/>
        </w:rPr>
        <w:t>etc.);</w:t>
      </w:r>
      <w:r w:rsidR="007D2933">
        <w:rPr>
          <w:lang w:val="fr-CH"/>
        </w:rPr>
        <w:t xml:space="preserve"> </w:t>
      </w:r>
    </w:p>
    <w:p w:rsidR="00711253" w:rsidRPr="005E47DD" w:rsidRDefault="00711253" w:rsidP="00926C69">
      <w:pPr>
        <w:rPr>
          <w:lang w:val="fr-CH"/>
        </w:rPr>
      </w:pPr>
      <w:r w:rsidRPr="005E47DD">
        <w:rPr>
          <w:lang w:val="fr-CH"/>
        </w:rPr>
        <w:t>3</w:t>
      </w:r>
      <w:r w:rsidRPr="005E47DD">
        <w:rPr>
          <w:lang w:val="fr-CH"/>
        </w:rPr>
        <w:tab/>
      </w:r>
      <w:r w:rsidR="005E47DD" w:rsidRPr="005E47DD">
        <w:rPr>
          <w:lang w:val="fr-CH"/>
        </w:rPr>
        <w:t>de créer un</w:t>
      </w:r>
      <w:r w:rsidR="007D2933">
        <w:rPr>
          <w:lang w:val="fr-CH"/>
        </w:rPr>
        <w:t xml:space="preserve"> </w:t>
      </w:r>
      <w:r w:rsidR="005E47DD" w:rsidRPr="005E47DD">
        <w:rPr>
          <w:color w:val="000000"/>
          <w:lang w:val="fr-CH"/>
        </w:rPr>
        <w:t xml:space="preserve">Groupe mixte de coordination sur les </w:t>
      </w:r>
      <w:r w:rsidR="005E1BB5">
        <w:rPr>
          <w:color w:val="000000"/>
          <w:lang w:val="fr-CH"/>
        </w:rPr>
        <w:t>IMT</w:t>
      </w:r>
      <w:r w:rsidR="005E1BB5">
        <w:rPr>
          <w:color w:val="000000"/>
          <w:lang w:val="fr-CH"/>
        </w:rPr>
        <w:noBreakHyphen/>
        <w:t>2020</w:t>
      </w:r>
      <w:r w:rsidR="005E47DD" w:rsidRPr="005E47DD">
        <w:rPr>
          <w:lang w:val="fr-CH"/>
        </w:rPr>
        <w:t xml:space="preserve"> (</w:t>
      </w:r>
      <w:r w:rsidR="00926C69">
        <w:rPr>
          <w:lang w:val="fr-CH"/>
        </w:rPr>
        <w:t>JCA 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="005E47DD" w:rsidRPr="005E47DD">
        <w:rPr>
          <w:lang w:val="fr-CH"/>
        </w:rPr>
        <w:t>)</w:t>
      </w:r>
      <w:r w:rsidRPr="005E47DD">
        <w:rPr>
          <w:lang w:val="fr-CH"/>
        </w:rPr>
        <w:t xml:space="preserve"> </w:t>
      </w:r>
      <w:r w:rsidR="005E47DD" w:rsidRPr="005E47DD">
        <w:rPr>
          <w:lang w:val="fr-CH"/>
        </w:rPr>
        <w:t xml:space="preserve">et </w:t>
      </w:r>
      <w:r w:rsidR="005E47DD">
        <w:rPr>
          <w:lang w:val="fr-CH"/>
        </w:rPr>
        <w:t>de</w:t>
      </w:r>
      <w:r w:rsidR="007D2933">
        <w:rPr>
          <w:lang w:val="fr-CH"/>
        </w:rPr>
        <w:t xml:space="preserve"> </w:t>
      </w:r>
      <w:r w:rsidR="005E47DD" w:rsidRPr="005E47DD">
        <w:rPr>
          <w:lang w:val="fr-CH"/>
        </w:rPr>
        <w:t>coordonner les</w:t>
      </w:r>
      <w:r w:rsidR="005E47DD">
        <w:rPr>
          <w:lang w:val="fr-CH"/>
        </w:rPr>
        <w:t xml:space="preserve"> travaux de normalisation relatifs</w:t>
      </w:r>
      <w:r w:rsidR="005E47DD" w:rsidRPr="005E47DD">
        <w:rPr>
          <w:lang w:val="fr-CH"/>
        </w:rPr>
        <w:t xml:space="preserve"> aux IMT</w:t>
      </w:r>
      <w:r w:rsidR="007D2933">
        <w:rPr>
          <w:lang w:val="fr-CH"/>
        </w:rPr>
        <w:t xml:space="preserve"> </w:t>
      </w:r>
      <w:r w:rsidRPr="005E47DD">
        <w:rPr>
          <w:lang w:val="fr-CH"/>
        </w:rPr>
        <w:t>(</w:t>
      </w:r>
      <w:r w:rsidR="005E47DD">
        <w:rPr>
          <w:lang w:val="fr-CH"/>
        </w:rPr>
        <w:t>en particulier les</w:t>
      </w:r>
      <w:r w:rsidR="007D2933">
        <w:rPr>
          <w:lang w:val="fr-CH"/>
        </w:rPr>
        <w:t xml:space="preserve"> </w:t>
      </w:r>
      <w:r w:rsidR="005E1BB5">
        <w:rPr>
          <w:lang w:val="fr-CH"/>
        </w:rPr>
        <w:t>IMT</w:t>
      </w:r>
      <w:r w:rsidR="005E1BB5">
        <w:rPr>
          <w:lang w:val="fr-CH"/>
        </w:rPr>
        <w:noBreakHyphen/>
        <w:t>2020</w:t>
      </w:r>
      <w:r w:rsidRPr="005E47DD">
        <w:rPr>
          <w:lang w:val="fr-CH"/>
        </w:rPr>
        <w:t xml:space="preserve">) </w:t>
      </w:r>
      <w:r w:rsidR="005E47DD">
        <w:rPr>
          <w:lang w:val="fr-CH"/>
        </w:rPr>
        <w:t>entre toutes les commissions d</w:t>
      </w:r>
      <w:r w:rsidR="00331214">
        <w:rPr>
          <w:lang w:val="fr-CH"/>
        </w:rPr>
        <w:t>'</w:t>
      </w:r>
      <w:r w:rsidR="005E47DD">
        <w:rPr>
          <w:lang w:val="fr-CH"/>
        </w:rPr>
        <w:t>études et tous</w:t>
      </w:r>
      <w:r w:rsidR="007D2933">
        <w:rPr>
          <w:lang w:val="fr-CH"/>
        </w:rPr>
        <w:t xml:space="preserve"> </w:t>
      </w:r>
      <w:r w:rsidR="005E47DD" w:rsidRPr="000B2BEA">
        <w:rPr>
          <w:color w:val="000000"/>
          <w:lang w:val="fr-CH"/>
        </w:rPr>
        <w:t>les groupes spécialisés</w:t>
      </w:r>
      <w:r w:rsidR="007D2933">
        <w:rPr>
          <w:color w:val="000000"/>
          <w:lang w:val="fr-CH"/>
        </w:rPr>
        <w:t xml:space="preserve"> </w:t>
      </w:r>
      <w:r w:rsidR="005E47DD">
        <w:rPr>
          <w:color w:val="000000"/>
          <w:lang w:val="fr-CH"/>
        </w:rPr>
        <w:t>concernés</w:t>
      </w:r>
      <w:r w:rsidR="007D2933">
        <w:rPr>
          <w:color w:val="000000"/>
          <w:lang w:val="fr-CH"/>
        </w:rPr>
        <w:t xml:space="preserve"> </w:t>
      </w:r>
      <w:r w:rsidR="005E47DD">
        <w:rPr>
          <w:color w:val="000000"/>
          <w:lang w:val="fr-CH"/>
        </w:rPr>
        <w:t>et d</w:t>
      </w:r>
      <w:r w:rsidR="00331214">
        <w:rPr>
          <w:color w:val="000000"/>
          <w:lang w:val="fr-CH"/>
        </w:rPr>
        <w:t>'</w:t>
      </w:r>
      <w:r w:rsidR="005E47DD">
        <w:rPr>
          <w:color w:val="000000"/>
          <w:lang w:val="fr-CH"/>
        </w:rPr>
        <w:t>autres organisations de normalisation,</w:t>
      </w:r>
    </w:p>
    <w:p w:rsidR="005E47DD" w:rsidRPr="004837BE" w:rsidRDefault="005E47DD" w:rsidP="00E338F5">
      <w:pPr>
        <w:pStyle w:val="Call"/>
        <w:rPr>
          <w:lang w:val="fr-CH"/>
        </w:rPr>
      </w:pPr>
      <w:r w:rsidRPr="004837BE">
        <w:rPr>
          <w:lang w:val="fr-CH"/>
        </w:rPr>
        <w:t xml:space="preserve">charge </w:t>
      </w:r>
      <w:r w:rsidR="005D6531">
        <w:rPr>
          <w:lang w:val="fr-CH"/>
        </w:rPr>
        <w:t>la Commission d</w:t>
      </w:r>
      <w:r w:rsidR="00331214">
        <w:rPr>
          <w:lang w:val="fr-CH"/>
        </w:rPr>
        <w:t>'</w:t>
      </w:r>
      <w:r w:rsidR="005D6531">
        <w:rPr>
          <w:lang w:val="fr-CH"/>
        </w:rPr>
        <w:t>é</w:t>
      </w:r>
      <w:r w:rsidRPr="004837BE">
        <w:rPr>
          <w:lang w:val="fr-CH"/>
        </w:rPr>
        <w:t xml:space="preserve">tudes </w:t>
      </w:r>
      <w:r>
        <w:rPr>
          <w:lang w:val="fr-CH"/>
        </w:rPr>
        <w:t>15 de l</w:t>
      </w:r>
      <w:r w:rsidR="00331214">
        <w:rPr>
          <w:lang w:val="fr-CH"/>
        </w:rPr>
        <w:t>'</w:t>
      </w:r>
      <w:r>
        <w:rPr>
          <w:lang w:val="fr-CH"/>
        </w:rPr>
        <w:t>UIT-T</w:t>
      </w:r>
      <w:r w:rsidR="007D2933">
        <w:rPr>
          <w:lang w:val="fr-CH"/>
        </w:rPr>
        <w:t xml:space="preserve"> </w:t>
      </w:r>
    </w:p>
    <w:p w:rsidR="00711253" w:rsidRPr="005E47DD" w:rsidRDefault="005E47DD" w:rsidP="00926C69">
      <w:pPr>
        <w:rPr>
          <w:lang w:val="fr-CH"/>
        </w:rPr>
      </w:pPr>
      <w:r w:rsidRPr="005E47DD">
        <w:rPr>
          <w:lang w:val="fr-CH"/>
        </w:rPr>
        <w:t>d</w:t>
      </w:r>
      <w:r w:rsidR="00331214">
        <w:rPr>
          <w:lang w:val="fr-CH"/>
        </w:rPr>
        <w:t>'</w:t>
      </w:r>
      <w:r w:rsidRPr="005E47DD">
        <w:rPr>
          <w:lang w:val="fr-CH"/>
        </w:rPr>
        <w:t>encourager les études relatives à la normalisation des réseaux de raccordement vers l</w:t>
      </w:r>
      <w:r w:rsidR="00331214">
        <w:rPr>
          <w:lang w:val="fr-CH"/>
        </w:rPr>
        <w:t>'</w:t>
      </w:r>
      <w:r w:rsidRPr="005E47DD">
        <w:rPr>
          <w:lang w:val="fr-CH"/>
        </w:rPr>
        <w:t>avant et vers l</w:t>
      </w:r>
      <w:r w:rsidR="00331214">
        <w:rPr>
          <w:lang w:val="fr-CH"/>
        </w:rPr>
        <w:t>'</w:t>
      </w:r>
      <w:r w:rsidRPr="005E47DD">
        <w:rPr>
          <w:lang w:val="fr-CH"/>
        </w:rPr>
        <w:t>arrière pour les</w:t>
      </w:r>
      <w:r w:rsidR="00711253" w:rsidRPr="005E47DD">
        <w:rPr>
          <w:lang w:val="fr-CH"/>
        </w:rPr>
        <w:t xml:space="preserve"> IMT</w:t>
      </w:r>
      <w:r w:rsidRPr="005E47DD">
        <w:rPr>
          <w:lang w:val="fr-CH"/>
        </w:rPr>
        <w:t>, et</w:t>
      </w:r>
      <w:r>
        <w:rPr>
          <w:lang w:val="fr-CH"/>
        </w:rPr>
        <w:t xml:space="preserve"> de définir à cette fin</w:t>
      </w:r>
      <w:r w:rsidR="007D2933">
        <w:rPr>
          <w:lang w:val="fr-CH"/>
        </w:rPr>
        <w:t xml:space="preserve"> </w:t>
      </w:r>
      <w:r w:rsidRPr="005E47DD">
        <w:rPr>
          <w:lang w:val="fr-CH"/>
        </w:rPr>
        <w:t>la structure</w:t>
      </w:r>
      <w:r>
        <w:rPr>
          <w:lang w:val="fr-CH"/>
        </w:rPr>
        <w:t xml:space="preserve"> et les sujets d</w:t>
      </w:r>
      <w:r w:rsidR="00331214">
        <w:rPr>
          <w:lang w:val="fr-CH"/>
        </w:rPr>
        <w:t>'</w:t>
      </w:r>
      <w:r>
        <w:rPr>
          <w:lang w:val="fr-CH"/>
        </w:rPr>
        <w:t>étude</w:t>
      </w:r>
      <w:r w:rsidR="007D2933">
        <w:rPr>
          <w:lang w:val="fr-CH"/>
        </w:rPr>
        <w:t xml:space="preserve"> </w:t>
      </w:r>
      <w:r>
        <w:rPr>
          <w:lang w:val="fr-CH"/>
        </w:rPr>
        <w:t>nécessaires pour faire avancer les travaux de normalisation relatifs aux exigences, à l</w:t>
      </w:r>
      <w:r w:rsidR="00331214">
        <w:rPr>
          <w:lang w:val="fr-CH"/>
        </w:rPr>
        <w:t>'</w:t>
      </w:r>
      <w:r>
        <w:rPr>
          <w:lang w:val="fr-CH"/>
        </w:rPr>
        <w:t>architecture, aux fonctions et à la qualité de fonctionnement, à la gestion et à la commande</w:t>
      </w:r>
      <w:r w:rsidR="00926C69">
        <w:rPr>
          <w:lang w:val="fr-CH"/>
        </w:rPr>
        <w:t>, ainsi qu'à</w:t>
      </w:r>
      <w:r>
        <w:rPr>
          <w:lang w:val="fr-CH"/>
        </w:rPr>
        <w:t xml:space="preserve"> la synchronisation</w:t>
      </w:r>
      <w:r w:rsidR="007D2933">
        <w:rPr>
          <w:lang w:val="fr-CH"/>
        </w:rPr>
        <w:t xml:space="preserve"> </w:t>
      </w:r>
      <w:r>
        <w:rPr>
          <w:lang w:val="fr-CH"/>
        </w:rPr>
        <w:t>des réseaux de raccordement vers l</w:t>
      </w:r>
      <w:r w:rsidR="00331214">
        <w:rPr>
          <w:lang w:val="fr-CH"/>
        </w:rPr>
        <w:t>'</w:t>
      </w:r>
      <w:r>
        <w:rPr>
          <w:lang w:val="fr-CH"/>
        </w:rPr>
        <w:t>avant/arrière</w:t>
      </w:r>
      <w:r w:rsidR="00F22684">
        <w:rPr>
          <w:lang w:val="fr-CH"/>
        </w:rPr>
        <w:t xml:space="preserve"> pour les</w:t>
      </w:r>
      <w:r w:rsidR="007D2933">
        <w:rPr>
          <w:lang w:val="fr-CH"/>
        </w:rPr>
        <w:t xml:space="preserve"> </w:t>
      </w:r>
      <w:r w:rsidR="000F2F97">
        <w:rPr>
          <w:lang w:val="fr-CH"/>
        </w:rPr>
        <w:t>IMT</w:t>
      </w:r>
      <w:r w:rsidR="000F2F97">
        <w:rPr>
          <w:lang w:val="fr-CH"/>
        </w:rPr>
        <w:noBreakHyphen/>
        <w:t>2020</w:t>
      </w:r>
      <w:r w:rsidR="00711253" w:rsidRPr="005E47DD">
        <w:rPr>
          <w:lang w:val="fr-CH"/>
        </w:rPr>
        <w:t>,</w:t>
      </w:r>
    </w:p>
    <w:p w:rsidR="00F22684" w:rsidRPr="004837BE" w:rsidRDefault="00F22684" w:rsidP="00E338F5">
      <w:pPr>
        <w:pStyle w:val="Call"/>
        <w:rPr>
          <w:lang w:val="fr-CH"/>
        </w:rPr>
      </w:pPr>
      <w:r w:rsidRPr="004837BE">
        <w:rPr>
          <w:lang w:val="fr-CH"/>
        </w:rPr>
        <w:t xml:space="preserve">charge </w:t>
      </w:r>
      <w:r w:rsidR="005D6531">
        <w:rPr>
          <w:lang w:val="fr-CH"/>
        </w:rPr>
        <w:t>la Commission d</w:t>
      </w:r>
      <w:r w:rsidR="00331214">
        <w:rPr>
          <w:lang w:val="fr-CH"/>
        </w:rPr>
        <w:t>'</w:t>
      </w:r>
      <w:r w:rsidR="005D6531">
        <w:rPr>
          <w:lang w:val="fr-CH"/>
        </w:rPr>
        <w:t>é</w:t>
      </w:r>
      <w:r w:rsidRPr="004837BE">
        <w:rPr>
          <w:lang w:val="fr-CH"/>
        </w:rPr>
        <w:t xml:space="preserve">tudes </w:t>
      </w:r>
      <w:r>
        <w:rPr>
          <w:lang w:val="fr-CH"/>
        </w:rPr>
        <w:t>11 de l</w:t>
      </w:r>
      <w:r w:rsidR="00331214">
        <w:rPr>
          <w:lang w:val="fr-CH"/>
        </w:rPr>
        <w:t>'</w:t>
      </w:r>
      <w:r>
        <w:rPr>
          <w:lang w:val="fr-CH"/>
        </w:rPr>
        <w:t>UIT-T</w:t>
      </w:r>
      <w:r w:rsidR="007D2933">
        <w:rPr>
          <w:lang w:val="fr-CH"/>
        </w:rPr>
        <w:t xml:space="preserve"> </w:t>
      </w:r>
    </w:p>
    <w:p w:rsidR="00711253" w:rsidRPr="00F22684" w:rsidRDefault="00F22684" w:rsidP="00926C69">
      <w:pPr>
        <w:rPr>
          <w:lang w:val="fr-CH"/>
        </w:rPr>
      </w:pPr>
      <w:r w:rsidRPr="00F22684">
        <w:rPr>
          <w:lang w:val="fr-CH"/>
        </w:rPr>
        <w:t>d</w:t>
      </w:r>
      <w:r w:rsidR="00331214">
        <w:rPr>
          <w:lang w:val="fr-CH"/>
        </w:rPr>
        <w:t>'</w:t>
      </w:r>
      <w:r w:rsidRPr="00F22684">
        <w:rPr>
          <w:lang w:val="fr-CH"/>
        </w:rPr>
        <w:t>encourager les études relatives</w:t>
      </w:r>
      <w:r w:rsidR="007D2933">
        <w:rPr>
          <w:lang w:val="fr-CH"/>
        </w:rPr>
        <w:t xml:space="preserve"> </w:t>
      </w:r>
      <w:r w:rsidRPr="00F22684">
        <w:rPr>
          <w:lang w:val="fr-CH"/>
        </w:rPr>
        <w:t xml:space="preserve">aux activités de normalisation </w:t>
      </w:r>
      <w:r w:rsidR="00926C69">
        <w:rPr>
          <w:lang w:val="fr-CH"/>
        </w:rPr>
        <w:t xml:space="preserve">sur </w:t>
      </w:r>
      <w:r>
        <w:rPr>
          <w:lang w:val="fr-CH"/>
        </w:rPr>
        <w:t>la signalisation, les protocoles et les tests pour les</w:t>
      </w:r>
      <w:r w:rsidR="007D2933">
        <w:rPr>
          <w:lang w:val="fr-CH"/>
        </w:rPr>
        <w:t xml:space="preserve"> </w:t>
      </w:r>
      <w:r w:rsidR="00711253" w:rsidRPr="00F22684">
        <w:rPr>
          <w:lang w:val="fr-CH"/>
        </w:rPr>
        <w:t>IMT</w:t>
      </w:r>
      <w:r w:rsidR="00926C69">
        <w:rPr>
          <w:lang w:val="fr-CH"/>
        </w:rPr>
        <w:t>,</w:t>
      </w:r>
      <w:r w:rsidR="007D2933">
        <w:rPr>
          <w:lang w:val="fr-CH"/>
        </w:rPr>
        <w:t xml:space="preserve"> </w:t>
      </w:r>
    </w:p>
    <w:p w:rsidR="00F22684" w:rsidRPr="004837BE" w:rsidRDefault="00F22684" w:rsidP="00E338F5">
      <w:pPr>
        <w:pStyle w:val="Call"/>
        <w:rPr>
          <w:lang w:val="fr-CH"/>
        </w:rPr>
      </w:pPr>
      <w:r w:rsidRPr="004837BE">
        <w:rPr>
          <w:lang w:val="fr-CH"/>
        </w:rPr>
        <w:t xml:space="preserve">charge </w:t>
      </w:r>
      <w:r w:rsidR="005D6531">
        <w:rPr>
          <w:lang w:val="fr-CH"/>
        </w:rPr>
        <w:t>la Commission d</w:t>
      </w:r>
      <w:r w:rsidR="00331214">
        <w:rPr>
          <w:lang w:val="fr-CH"/>
        </w:rPr>
        <w:t>'</w:t>
      </w:r>
      <w:r w:rsidR="005D6531">
        <w:rPr>
          <w:lang w:val="fr-CH"/>
        </w:rPr>
        <w:t>é</w:t>
      </w:r>
      <w:r w:rsidRPr="004837BE">
        <w:rPr>
          <w:lang w:val="fr-CH"/>
        </w:rPr>
        <w:t xml:space="preserve">tudes </w:t>
      </w:r>
      <w:r>
        <w:rPr>
          <w:lang w:val="fr-CH"/>
        </w:rPr>
        <w:t>12 de l</w:t>
      </w:r>
      <w:r w:rsidR="00331214">
        <w:rPr>
          <w:lang w:val="fr-CH"/>
        </w:rPr>
        <w:t>'</w:t>
      </w:r>
      <w:r>
        <w:rPr>
          <w:lang w:val="fr-CH"/>
        </w:rPr>
        <w:t>UIT-T</w:t>
      </w:r>
      <w:r w:rsidR="007D2933">
        <w:rPr>
          <w:lang w:val="fr-CH"/>
        </w:rPr>
        <w:t xml:space="preserve"> </w:t>
      </w:r>
    </w:p>
    <w:p w:rsidR="00711253" w:rsidRPr="00F22684" w:rsidRDefault="00F22684" w:rsidP="00E338F5">
      <w:pPr>
        <w:rPr>
          <w:lang w:val="fr-CH"/>
        </w:rPr>
      </w:pPr>
      <w:r w:rsidRPr="00F22684">
        <w:rPr>
          <w:lang w:val="fr-CH"/>
        </w:rPr>
        <w:t>d</w:t>
      </w:r>
      <w:r w:rsidR="00331214">
        <w:rPr>
          <w:lang w:val="fr-CH"/>
        </w:rPr>
        <w:t>'</w:t>
      </w:r>
      <w:r w:rsidRPr="00F22684">
        <w:rPr>
          <w:lang w:val="fr-CH"/>
        </w:rPr>
        <w:t xml:space="preserve">encourager les études relatives aux activités de normalisation se rapportant </w:t>
      </w:r>
      <w:r>
        <w:rPr>
          <w:lang w:val="fr-CH"/>
        </w:rPr>
        <w:t>aux services, à la qualité de service et à la qualité d</w:t>
      </w:r>
      <w:r w:rsidR="00331214">
        <w:rPr>
          <w:lang w:val="fr-CH"/>
        </w:rPr>
        <w:t>'</w:t>
      </w:r>
      <w:r>
        <w:rPr>
          <w:lang w:val="fr-CH"/>
        </w:rPr>
        <w:t>expérience</w:t>
      </w:r>
      <w:r w:rsidRPr="00F22684">
        <w:rPr>
          <w:lang w:val="fr-CH"/>
        </w:rPr>
        <w:t xml:space="preserve"> </w:t>
      </w:r>
      <w:r>
        <w:rPr>
          <w:lang w:val="fr-CH"/>
        </w:rPr>
        <w:t>pour les</w:t>
      </w:r>
      <w:r w:rsidR="007D2933">
        <w:rPr>
          <w:lang w:val="fr-CH"/>
        </w:rPr>
        <w:t xml:space="preserve"> </w:t>
      </w:r>
      <w:r w:rsidRPr="00F22684">
        <w:rPr>
          <w:lang w:val="fr-CH"/>
        </w:rPr>
        <w:t>IMT</w:t>
      </w:r>
      <w:r w:rsidR="00926C69">
        <w:rPr>
          <w:lang w:val="fr-CH"/>
        </w:rPr>
        <w:t>,</w:t>
      </w:r>
      <w:r w:rsidR="007D2933">
        <w:rPr>
          <w:lang w:val="fr-CH"/>
        </w:rPr>
        <w:t xml:space="preserve"> </w:t>
      </w:r>
    </w:p>
    <w:p w:rsidR="00F22684" w:rsidRPr="004837BE" w:rsidRDefault="00F22684" w:rsidP="00E338F5">
      <w:pPr>
        <w:pStyle w:val="Call"/>
        <w:rPr>
          <w:lang w:val="fr-CH"/>
        </w:rPr>
      </w:pPr>
      <w:r w:rsidRPr="004837BE">
        <w:rPr>
          <w:lang w:val="fr-CH"/>
        </w:rPr>
        <w:t xml:space="preserve">charge </w:t>
      </w:r>
      <w:r w:rsidR="005D6531">
        <w:rPr>
          <w:lang w:val="fr-CH"/>
        </w:rPr>
        <w:t>la Commission d</w:t>
      </w:r>
      <w:r w:rsidR="00331214">
        <w:rPr>
          <w:lang w:val="fr-CH"/>
        </w:rPr>
        <w:t>'</w:t>
      </w:r>
      <w:r w:rsidR="005D6531">
        <w:rPr>
          <w:lang w:val="fr-CH"/>
        </w:rPr>
        <w:t>é</w:t>
      </w:r>
      <w:r w:rsidRPr="004837BE">
        <w:rPr>
          <w:lang w:val="fr-CH"/>
        </w:rPr>
        <w:t xml:space="preserve">tudes </w:t>
      </w:r>
      <w:r>
        <w:rPr>
          <w:lang w:val="fr-CH"/>
        </w:rPr>
        <w:t>17 de l</w:t>
      </w:r>
      <w:r w:rsidR="00331214">
        <w:rPr>
          <w:lang w:val="fr-CH"/>
        </w:rPr>
        <w:t>'</w:t>
      </w:r>
      <w:r>
        <w:rPr>
          <w:lang w:val="fr-CH"/>
        </w:rPr>
        <w:t>UIT-T</w:t>
      </w:r>
      <w:r w:rsidR="007D2933">
        <w:rPr>
          <w:lang w:val="fr-CH"/>
        </w:rPr>
        <w:t xml:space="preserve"> </w:t>
      </w:r>
    </w:p>
    <w:p w:rsidR="00711253" w:rsidRPr="00F22684" w:rsidRDefault="00F22684" w:rsidP="00E338F5">
      <w:pPr>
        <w:rPr>
          <w:lang w:val="fr-CH"/>
        </w:rPr>
      </w:pPr>
      <w:r w:rsidRPr="00F22684">
        <w:rPr>
          <w:lang w:val="fr-CH"/>
        </w:rPr>
        <w:t>d</w:t>
      </w:r>
      <w:r w:rsidR="00331214">
        <w:rPr>
          <w:lang w:val="fr-CH"/>
        </w:rPr>
        <w:t>'</w:t>
      </w:r>
      <w:r w:rsidRPr="00F22684">
        <w:rPr>
          <w:lang w:val="fr-CH"/>
        </w:rPr>
        <w:t xml:space="preserve">encourager les études relatives aux activités de normalisation se rapportant </w:t>
      </w:r>
      <w:r>
        <w:rPr>
          <w:lang w:val="fr-CH"/>
        </w:rPr>
        <w:t xml:space="preserve">à la sécurité des réseaux et </w:t>
      </w:r>
      <w:r w:rsidR="00926C69">
        <w:rPr>
          <w:lang w:val="fr-CH"/>
        </w:rPr>
        <w:t xml:space="preserve">des </w:t>
      </w:r>
      <w:r>
        <w:rPr>
          <w:lang w:val="fr-CH"/>
        </w:rPr>
        <w:t>applications</w:t>
      </w:r>
      <w:r w:rsidR="007D2933">
        <w:rPr>
          <w:lang w:val="fr-CH"/>
        </w:rPr>
        <w:t xml:space="preserve"> </w:t>
      </w:r>
      <w:r>
        <w:rPr>
          <w:lang w:val="fr-CH"/>
        </w:rPr>
        <w:t>pour les</w:t>
      </w:r>
      <w:r w:rsidR="007D2933">
        <w:rPr>
          <w:lang w:val="fr-CH"/>
        </w:rPr>
        <w:t xml:space="preserve"> </w:t>
      </w:r>
      <w:r w:rsidRPr="00F22684">
        <w:rPr>
          <w:lang w:val="fr-CH"/>
        </w:rPr>
        <w:t>IMT</w:t>
      </w:r>
      <w:r w:rsidR="00926C69">
        <w:rPr>
          <w:lang w:val="fr-CH"/>
        </w:rPr>
        <w:t>,</w:t>
      </w:r>
      <w:r w:rsidR="007D2933">
        <w:rPr>
          <w:lang w:val="fr-CH"/>
        </w:rPr>
        <w:t xml:space="preserve"> </w:t>
      </w:r>
    </w:p>
    <w:p w:rsidR="00711253" w:rsidRPr="00F22684" w:rsidRDefault="00F22684" w:rsidP="00E338F5">
      <w:pPr>
        <w:pStyle w:val="Call"/>
        <w:rPr>
          <w:lang w:val="fr-CH"/>
        </w:rPr>
      </w:pPr>
      <w:r w:rsidRPr="00F22684">
        <w:rPr>
          <w:lang w:val="fr-CH"/>
        </w:rPr>
        <w:lastRenderedPageBreak/>
        <w:t>charge le Directeur du Bureau de la normalisation des télécommunications</w:t>
      </w:r>
      <w:r w:rsidR="007D2933">
        <w:rPr>
          <w:lang w:val="fr-CH"/>
        </w:rPr>
        <w:t xml:space="preserve"> </w:t>
      </w:r>
    </w:p>
    <w:p w:rsidR="00711253" w:rsidRPr="00C84317" w:rsidRDefault="00711253" w:rsidP="00E338F5">
      <w:pPr>
        <w:rPr>
          <w:lang w:val="fr-FR"/>
        </w:rPr>
      </w:pPr>
      <w:r w:rsidRPr="00C84317">
        <w:rPr>
          <w:lang w:val="fr-FR"/>
        </w:rPr>
        <w:t>1</w:t>
      </w:r>
      <w:r w:rsidRPr="00C84317">
        <w:rPr>
          <w:lang w:val="fr-FR"/>
        </w:rPr>
        <w:tab/>
      </w:r>
      <w:r w:rsidR="00C84317" w:rsidRPr="00C84317">
        <w:rPr>
          <w:lang w:val="fr-FR"/>
        </w:rPr>
        <w:t>de porter la présente Résolution à l</w:t>
      </w:r>
      <w:r w:rsidR="00331214">
        <w:rPr>
          <w:lang w:val="fr-FR"/>
        </w:rPr>
        <w:t>'</w:t>
      </w:r>
      <w:r w:rsidR="00C84317" w:rsidRPr="00C84317">
        <w:rPr>
          <w:lang w:val="fr-FR"/>
        </w:rPr>
        <w:t>attention des Directeurs du BR et du BDT</w:t>
      </w:r>
      <w:r w:rsidRPr="00C84317">
        <w:rPr>
          <w:lang w:val="fr-FR"/>
        </w:rPr>
        <w:t>;</w:t>
      </w:r>
    </w:p>
    <w:p w:rsidR="00711253" w:rsidRPr="00D475FE" w:rsidRDefault="00711253" w:rsidP="008410F1">
      <w:pPr>
        <w:rPr>
          <w:lang w:val="fr-FR"/>
        </w:rPr>
      </w:pPr>
      <w:r w:rsidRPr="00D475FE">
        <w:rPr>
          <w:lang w:val="fr-FR"/>
        </w:rPr>
        <w:t>2</w:t>
      </w:r>
      <w:r w:rsidRPr="00D475FE">
        <w:rPr>
          <w:lang w:val="fr-FR"/>
        </w:rPr>
        <w:tab/>
      </w:r>
      <w:r w:rsidR="00D475FE" w:rsidRPr="00140EB3">
        <w:rPr>
          <w:lang w:val="fr-CH"/>
        </w:rPr>
        <w:t>d</w:t>
      </w:r>
      <w:r w:rsidR="00331214">
        <w:rPr>
          <w:lang w:val="fr-CH"/>
        </w:rPr>
        <w:t>'</w:t>
      </w:r>
      <w:r w:rsidR="00D475FE" w:rsidRPr="00140EB3">
        <w:rPr>
          <w:lang w:val="fr-CH"/>
        </w:rPr>
        <w:t>organiser des séminaires</w:t>
      </w:r>
      <w:r w:rsidR="00926C69">
        <w:rPr>
          <w:lang w:val="fr-CH"/>
        </w:rPr>
        <w:t xml:space="preserve"> et</w:t>
      </w:r>
      <w:r w:rsidR="00D475FE" w:rsidRPr="00140EB3">
        <w:rPr>
          <w:lang w:val="fr-CH"/>
        </w:rPr>
        <w:t xml:space="preserve"> des ateliers sur la stratégi</w:t>
      </w:r>
      <w:r w:rsidR="00926C69">
        <w:rPr>
          <w:lang w:val="fr-CH"/>
        </w:rPr>
        <w:t>e en matière de normalisation</w:t>
      </w:r>
      <w:r w:rsidR="00F22684">
        <w:rPr>
          <w:lang w:val="fr-CH"/>
        </w:rPr>
        <w:t>,</w:t>
      </w:r>
      <w:r w:rsidR="00D475FE" w:rsidRPr="00140EB3">
        <w:rPr>
          <w:lang w:val="fr-CH"/>
        </w:rPr>
        <w:t xml:space="preserve"> </w:t>
      </w:r>
      <w:r w:rsidR="00F22684">
        <w:rPr>
          <w:lang w:val="fr-CH"/>
        </w:rPr>
        <w:t xml:space="preserve">les solutions techniques et les applications de réseaux pour les IMT (en particulier les </w:t>
      </w:r>
      <w:r w:rsidR="005E1BB5">
        <w:rPr>
          <w:lang w:val="fr-CH"/>
        </w:rPr>
        <w:t>IMT</w:t>
      </w:r>
      <w:r w:rsidR="005E1BB5">
        <w:rPr>
          <w:lang w:val="fr-CH"/>
        </w:rPr>
        <w:noBreakHyphen/>
        <w:t>2020</w:t>
      </w:r>
      <w:r w:rsidR="00F22684">
        <w:rPr>
          <w:lang w:val="fr-CH"/>
        </w:rPr>
        <w:t xml:space="preserve">), </w:t>
      </w:r>
      <w:r w:rsidR="00D475FE" w:rsidRPr="00140EB3">
        <w:rPr>
          <w:lang w:val="fr-CH"/>
        </w:rPr>
        <w:t xml:space="preserve">compte tenu des caractéristiques et des besoins </w:t>
      </w:r>
      <w:r w:rsidR="00926C69">
        <w:rPr>
          <w:lang w:val="fr-CH"/>
        </w:rPr>
        <w:t>propres aux pays e</w:t>
      </w:r>
      <w:r w:rsidR="008410F1">
        <w:rPr>
          <w:lang w:val="fr-CH"/>
        </w:rPr>
        <w:t>t</w:t>
      </w:r>
      <w:r w:rsidR="00926C69">
        <w:rPr>
          <w:lang w:val="fr-CH"/>
        </w:rPr>
        <w:t xml:space="preserve"> aux régions,</w:t>
      </w:r>
      <w:r w:rsidR="007D2933">
        <w:rPr>
          <w:lang w:val="fr-CH"/>
        </w:rPr>
        <w:t xml:space="preserve"> </w:t>
      </w:r>
    </w:p>
    <w:p w:rsidR="00711253" w:rsidRPr="00F22684" w:rsidRDefault="00A8355C" w:rsidP="00E338F5">
      <w:pPr>
        <w:pStyle w:val="Call"/>
        <w:rPr>
          <w:lang w:val="fr-CH"/>
        </w:rPr>
      </w:pPr>
      <w:r w:rsidRPr="00F22684">
        <w:rPr>
          <w:lang w:val="fr-CH"/>
        </w:rPr>
        <w:t xml:space="preserve">encourage </w:t>
      </w:r>
      <w:r w:rsidR="00F22684" w:rsidRPr="00F22684">
        <w:rPr>
          <w:lang w:val="fr-CH"/>
        </w:rPr>
        <w:t>les Directeurs des trois Bureaux</w:t>
      </w:r>
      <w:r w:rsidR="007D2933">
        <w:rPr>
          <w:lang w:val="fr-CH"/>
        </w:rPr>
        <w:t xml:space="preserve"> </w:t>
      </w:r>
    </w:p>
    <w:p w:rsidR="00711253" w:rsidRPr="00102619" w:rsidRDefault="00102619" w:rsidP="009D1B8E">
      <w:pPr>
        <w:rPr>
          <w:lang w:val="fr-FR"/>
        </w:rPr>
      </w:pPr>
      <w:r w:rsidRPr="00102619">
        <w:rPr>
          <w:lang w:val="fr-FR"/>
        </w:rPr>
        <w:t>à rechercher de nouveaux moyens d</w:t>
      </w:r>
      <w:r w:rsidR="00331214">
        <w:rPr>
          <w:lang w:val="fr-FR"/>
        </w:rPr>
        <w:t>'</w:t>
      </w:r>
      <w:r w:rsidRPr="00102619">
        <w:rPr>
          <w:lang w:val="fr-FR"/>
        </w:rPr>
        <w:t>améliorer l</w:t>
      </w:r>
      <w:r w:rsidR="00331214">
        <w:rPr>
          <w:lang w:val="fr-FR"/>
        </w:rPr>
        <w:t>'</w:t>
      </w:r>
      <w:r w:rsidRPr="00102619">
        <w:rPr>
          <w:lang w:val="fr-FR"/>
        </w:rPr>
        <w:t>efficacité des travaux de l</w:t>
      </w:r>
      <w:r w:rsidR="00331214">
        <w:rPr>
          <w:lang w:val="fr-FR"/>
        </w:rPr>
        <w:t>'</w:t>
      </w:r>
      <w:r w:rsidRPr="00102619">
        <w:rPr>
          <w:lang w:val="fr-FR"/>
        </w:rPr>
        <w:t xml:space="preserve">UIT </w:t>
      </w:r>
      <w:r w:rsidR="009D1B8E">
        <w:rPr>
          <w:lang w:val="fr-FR"/>
        </w:rPr>
        <w:t>consacrés aux</w:t>
      </w:r>
      <w:r w:rsidRPr="00102619">
        <w:rPr>
          <w:lang w:val="fr-FR"/>
        </w:rPr>
        <w:t xml:space="preserve"> IMT</w:t>
      </w:r>
      <w:r>
        <w:rPr>
          <w:lang w:val="fr-FR"/>
        </w:rPr>
        <w:t>,</w:t>
      </w:r>
    </w:p>
    <w:p w:rsidR="00711253" w:rsidRPr="00F22684" w:rsidRDefault="00F22684" w:rsidP="00E338F5">
      <w:pPr>
        <w:pStyle w:val="Call"/>
        <w:rPr>
          <w:lang w:val="fr-CH"/>
        </w:rPr>
      </w:pPr>
      <w:r w:rsidRPr="00F22684">
        <w:rPr>
          <w:lang w:val="fr-CH"/>
        </w:rPr>
        <w:t xml:space="preserve">invite </w:t>
      </w:r>
      <w:r>
        <w:rPr>
          <w:lang w:val="fr-CH"/>
        </w:rPr>
        <w:t>l</w:t>
      </w:r>
      <w:r w:rsidR="00CE2696">
        <w:rPr>
          <w:lang w:val="fr-CH"/>
        </w:rPr>
        <w:t>es E</w:t>
      </w:r>
      <w:r w:rsidRPr="00F22684">
        <w:rPr>
          <w:lang w:val="fr-CH"/>
        </w:rPr>
        <w:t xml:space="preserve">tats Membres, les Membres de </w:t>
      </w:r>
      <w:r w:rsidR="001116E7" w:rsidRPr="00F22684">
        <w:rPr>
          <w:lang w:val="fr-CH"/>
        </w:rPr>
        <w:t>Secteur</w:t>
      </w:r>
      <w:r w:rsidRPr="00F22684">
        <w:rPr>
          <w:lang w:val="fr-CH"/>
        </w:rPr>
        <w:t>, les Associés et les établissements universitaires</w:t>
      </w:r>
      <w:r w:rsidR="007D2933">
        <w:rPr>
          <w:lang w:val="fr-CH"/>
        </w:rPr>
        <w:t xml:space="preserve"> </w:t>
      </w:r>
    </w:p>
    <w:p w:rsidR="00711253" w:rsidRPr="00F22684" w:rsidRDefault="00711253" w:rsidP="009D1B8E">
      <w:pPr>
        <w:rPr>
          <w:lang w:val="fr-CH"/>
        </w:rPr>
      </w:pPr>
      <w:r w:rsidRPr="00F22684">
        <w:rPr>
          <w:lang w:val="fr-CH"/>
        </w:rPr>
        <w:t>1</w:t>
      </w:r>
      <w:r w:rsidRPr="00F22684">
        <w:rPr>
          <w:lang w:val="fr-CH"/>
        </w:rPr>
        <w:tab/>
      </w:r>
      <w:r w:rsidR="00F22684" w:rsidRPr="00F22684">
        <w:rPr>
          <w:lang w:val="fr-CH"/>
        </w:rPr>
        <w:t>à participer activement aux travaux de normalisation de l</w:t>
      </w:r>
      <w:r w:rsidR="00331214">
        <w:rPr>
          <w:lang w:val="fr-CH"/>
        </w:rPr>
        <w:t>'</w:t>
      </w:r>
      <w:r w:rsidR="000F2F97">
        <w:rPr>
          <w:lang w:val="fr-CH"/>
        </w:rPr>
        <w:t>UIT</w:t>
      </w:r>
      <w:r w:rsidR="000F2F97">
        <w:rPr>
          <w:lang w:val="fr-CH"/>
        </w:rPr>
        <w:noBreakHyphen/>
        <w:t>T</w:t>
      </w:r>
      <w:r w:rsidR="00F22684" w:rsidRPr="00F22684">
        <w:rPr>
          <w:lang w:val="fr-CH"/>
        </w:rPr>
        <w:t xml:space="preserve"> sur</w:t>
      </w:r>
      <w:r w:rsidR="007D2933">
        <w:rPr>
          <w:lang w:val="fr-CH"/>
        </w:rPr>
        <w:t xml:space="preserve"> </w:t>
      </w:r>
      <w:r w:rsidR="00F22684">
        <w:rPr>
          <w:lang w:val="fr-CH"/>
        </w:rPr>
        <w:t>l</w:t>
      </w:r>
      <w:r w:rsidR="00331214">
        <w:rPr>
          <w:lang w:val="fr-CH"/>
        </w:rPr>
        <w:t>'</w:t>
      </w:r>
      <w:r w:rsidR="00F22684">
        <w:rPr>
          <w:lang w:val="fr-CH"/>
        </w:rPr>
        <w:t xml:space="preserve">élaboration de </w:t>
      </w:r>
      <w:r w:rsidR="009D1B8E">
        <w:rPr>
          <w:lang w:val="fr-CH"/>
        </w:rPr>
        <w:t xml:space="preserve">Recommandations </w:t>
      </w:r>
      <w:r w:rsidR="00F22684">
        <w:rPr>
          <w:lang w:val="fr-CH"/>
        </w:rPr>
        <w:t xml:space="preserve">relatives aux éléments non radioélectriques des </w:t>
      </w:r>
      <w:r w:rsidR="00F22684" w:rsidRPr="00F22684">
        <w:rPr>
          <w:lang w:val="fr-CH"/>
        </w:rPr>
        <w:t>IMT</w:t>
      </w:r>
      <w:r w:rsidR="007D2933">
        <w:rPr>
          <w:lang w:val="fr-CH"/>
        </w:rPr>
        <w:t xml:space="preserve"> </w:t>
      </w:r>
      <w:r w:rsidR="00F22684">
        <w:rPr>
          <w:lang w:val="fr-CH"/>
        </w:rPr>
        <w:t xml:space="preserve">(en particulier des </w:t>
      </w:r>
      <w:r w:rsidR="005E1BB5">
        <w:rPr>
          <w:lang w:val="fr-CH"/>
        </w:rPr>
        <w:t>IMT</w:t>
      </w:r>
      <w:r w:rsidR="005E1BB5">
        <w:rPr>
          <w:lang w:val="fr-CH"/>
        </w:rPr>
        <w:noBreakHyphen/>
        <w:t>2020</w:t>
      </w:r>
      <w:r w:rsidR="00F22684">
        <w:rPr>
          <w:lang w:val="fr-CH"/>
        </w:rPr>
        <w:t>)</w:t>
      </w:r>
      <w:r w:rsidR="009D1B8E">
        <w:rPr>
          <w:lang w:val="fr-CH"/>
        </w:rPr>
        <w:t>;</w:t>
      </w:r>
      <w:r w:rsidR="007D2933">
        <w:rPr>
          <w:lang w:val="fr-CH"/>
        </w:rPr>
        <w:t xml:space="preserve"> </w:t>
      </w:r>
    </w:p>
    <w:p w:rsidR="00711253" w:rsidRPr="007D2933" w:rsidRDefault="00711253" w:rsidP="00E338F5">
      <w:pPr>
        <w:rPr>
          <w:lang w:val="fr-CH"/>
        </w:rPr>
      </w:pPr>
      <w:r w:rsidRPr="00F22684">
        <w:rPr>
          <w:lang w:val="fr-CH"/>
        </w:rPr>
        <w:t>2</w:t>
      </w:r>
      <w:r w:rsidRPr="00F22684">
        <w:rPr>
          <w:lang w:val="fr-CH"/>
        </w:rPr>
        <w:tab/>
      </w:r>
      <w:r w:rsidR="00F22684">
        <w:rPr>
          <w:lang w:val="fr-CH"/>
        </w:rPr>
        <w:t>à</w:t>
      </w:r>
      <w:r w:rsidR="00F22684" w:rsidRPr="00F22684">
        <w:rPr>
          <w:lang w:val="fr-CH"/>
        </w:rPr>
        <w:t xml:space="preserve"> présent</w:t>
      </w:r>
      <w:r w:rsidR="00F22684">
        <w:rPr>
          <w:lang w:val="fr-CH"/>
        </w:rPr>
        <w:t>er</w:t>
      </w:r>
      <w:r w:rsidR="00F22684" w:rsidRPr="00F22684">
        <w:rPr>
          <w:lang w:val="fr-CH"/>
        </w:rPr>
        <w:t>, à l</w:t>
      </w:r>
      <w:r w:rsidR="00331214">
        <w:rPr>
          <w:lang w:val="fr-CH"/>
        </w:rPr>
        <w:t>'</w:t>
      </w:r>
      <w:r w:rsidR="00F22684" w:rsidRPr="00F22684">
        <w:rPr>
          <w:lang w:val="fr-CH"/>
        </w:rPr>
        <w:t>occasion de séminaires et d</w:t>
      </w:r>
      <w:r w:rsidR="00331214">
        <w:rPr>
          <w:lang w:val="fr-CH"/>
        </w:rPr>
        <w:t>'</w:t>
      </w:r>
      <w:r w:rsidR="00F22684" w:rsidRPr="00F22684">
        <w:rPr>
          <w:lang w:val="fr-CH"/>
        </w:rPr>
        <w:t xml:space="preserve">ateliers sur la question, </w:t>
      </w:r>
      <w:r w:rsidR="00FA30EB">
        <w:rPr>
          <w:lang w:val="fr-CH"/>
        </w:rPr>
        <w:t>des stratégies en matière de normalisation, des données d</w:t>
      </w:r>
      <w:r w:rsidR="00331214">
        <w:rPr>
          <w:lang w:val="fr-CH"/>
        </w:rPr>
        <w:t>'</w:t>
      </w:r>
      <w:r w:rsidR="00FA30EB">
        <w:rPr>
          <w:lang w:val="fr-CH"/>
        </w:rPr>
        <w:t>expérience sur l</w:t>
      </w:r>
      <w:r w:rsidR="00331214">
        <w:rPr>
          <w:lang w:val="fr-CH"/>
        </w:rPr>
        <w:t>'</w:t>
      </w:r>
      <w:r w:rsidR="00FA30EB">
        <w:rPr>
          <w:lang w:val="fr-CH"/>
        </w:rPr>
        <w:t xml:space="preserve">évolution du réseau et des cas </w:t>
      </w:r>
      <w:r w:rsidR="009D1B8E">
        <w:rPr>
          <w:lang w:val="fr-CH"/>
        </w:rPr>
        <w:t>d'</w:t>
      </w:r>
      <w:r w:rsidR="00FA30EB">
        <w:rPr>
          <w:lang w:val="fr-CH"/>
        </w:rPr>
        <w:t xml:space="preserve">application concernant les IMT (en particulier les </w:t>
      </w:r>
      <w:r w:rsidR="005E1BB5">
        <w:rPr>
          <w:lang w:val="fr-CH"/>
        </w:rPr>
        <w:t>IMT</w:t>
      </w:r>
      <w:r w:rsidR="005E1BB5">
        <w:rPr>
          <w:lang w:val="fr-CH"/>
        </w:rPr>
        <w:noBreakHyphen/>
        <w:t>2020</w:t>
      </w:r>
      <w:r w:rsidR="00FA30EB">
        <w:rPr>
          <w:lang w:val="fr-CH"/>
        </w:rPr>
        <w:t>)</w:t>
      </w:r>
      <w:r w:rsidR="007D2933">
        <w:rPr>
          <w:lang w:val="fr-CH"/>
        </w:rPr>
        <w:t>.</w:t>
      </w:r>
    </w:p>
    <w:p w:rsidR="009F28ED" w:rsidRPr="007D2933" w:rsidRDefault="009F28ED" w:rsidP="00E338F5">
      <w:pPr>
        <w:pStyle w:val="Reasons"/>
        <w:rPr>
          <w:lang w:val="fr-CH"/>
        </w:rPr>
      </w:pPr>
    </w:p>
    <w:p w:rsidR="009F28ED" w:rsidRDefault="009F28ED" w:rsidP="00E338F5">
      <w:pPr>
        <w:jc w:val="center"/>
      </w:pPr>
      <w:r>
        <w:t>______________</w:t>
      </w:r>
    </w:p>
    <w:p w:rsidR="00F13EAF" w:rsidRPr="002F05FD" w:rsidRDefault="00F13EAF" w:rsidP="00A8355C">
      <w:pPr>
        <w:pStyle w:val="Reasons"/>
      </w:pPr>
    </w:p>
    <w:sectPr w:rsidR="00F13EAF" w:rsidRPr="002F05FD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684" w:rsidRDefault="00F22684">
      <w:r>
        <w:separator/>
      </w:r>
    </w:p>
  </w:endnote>
  <w:endnote w:type="continuationSeparator" w:id="0">
    <w:p w:rsidR="00F22684" w:rsidRDefault="00F22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84" w:rsidRDefault="00F2268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22684" w:rsidRPr="007D2933" w:rsidRDefault="00F22684">
    <w:pPr>
      <w:ind w:right="360"/>
      <w:rPr>
        <w:lang w:val="fr-CH"/>
      </w:rPr>
    </w:pPr>
    <w:r>
      <w:fldChar w:fldCharType="begin"/>
    </w:r>
    <w:r w:rsidRPr="007D2933">
      <w:rPr>
        <w:lang w:val="fr-CH"/>
      </w:rPr>
      <w:instrText xml:space="preserve"> FILENAME \p  \* MERGEFORMAT </w:instrText>
    </w:r>
    <w:r>
      <w:fldChar w:fldCharType="separate"/>
    </w:r>
    <w:r w:rsidR="00166C9A">
      <w:rPr>
        <w:noProof/>
        <w:lang w:val="fr-CH"/>
      </w:rPr>
      <w:t>P:\FRA\ITU-T\CONF-T\WTSA16\000\044ADD10F.docx</w:t>
    </w:r>
    <w:r>
      <w:fldChar w:fldCharType="end"/>
    </w:r>
    <w:r w:rsidRPr="007D2933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8225A">
      <w:rPr>
        <w:noProof/>
      </w:rPr>
      <w:t>12.10.16</w:t>
    </w:r>
    <w:r>
      <w:fldChar w:fldCharType="end"/>
    </w:r>
    <w:r w:rsidRPr="007D2933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6C9A">
      <w:rPr>
        <w:noProof/>
      </w:rPr>
      <w:t>12.10.16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84" w:rsidRPr="00AC5C83" w:rsidRDefault="00F22684" w:rsidP="00526703">
    <w:pPr>
      <w:pStyle w:val="Footer"/>
      <w:rPr>
        <w:lang w:val="fr-FR"/>
      </w:rPr>
    </w:pPr>
    <w:r>
      <w:fldChar w:fldCharType="begin"/>
    </w:r>
    <w:r w:rsidRPr="00AC5C83">
      <w:rPr>
        <w:lang w:val="fr-FR"/>
      </w:rPr>
      <w:instrText xml:space="preserve"> FILENAME \p  \* MERGEFORMAT </w:instrText>
    </w:r>
    <w:r>
      <w:fldChar w:fldCharType="separate"/>
    </w:r>
    <w:r w:rsidR="00166C9A">
      <w:rPr>
        <w:lang w:val="fr-FR"/>
      </w:rPr>
      <w:t>P:\FRA\ITU-T\CONF-T\WTSA16\000\044ADD10F.docx</w:t>
    </w:r>
    <w:r>
      <w:fldChar w:fldCharType="end"/>
    </w:r>
    <w:r w:rsidRPr="00AC5C83">
      <w:rPr>
        <w:lang w:val="fr-FR"/>
      </w:rPr>
      <w:t xml:space="preserve"> (405899)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84" w:rsidRPr="0086504D" w:rsidRDefault="00F22684" w:rsidP="00526703">
    <w:pPr>
      <w:pStyle w:val="Footer"/>
      <w:rPr>
        <w:lang w:val="fr-FR"/>
      </w:rPr>
    </w:pPr>
    <w:r>
      <w:fldChar w:fldCharType="begin"/>
    </w:r>
    <w:r w:rsidRPr="0086504D">
      <w:rPr>
        <w:lang w:val="fr-FR"/>
      </w:rPr>
      <w:instrText xml:space="preserve"> FILENAME \p  \* MERGEFORMAT </w:instrText>
    </w:r>
    <w:r>
      <w:fldChar w:fldCharType="separate"/>
    </w:r>
    <w:r w:rsidR="00166C9A">
      <w:rPr>
        <w:lang w:val="fr-FR"/>
      </w:rPr>
      <w:t>P:\FRA\ITU-T\CONF-T\WTSA16\000\044ADD10F.docx</w:t>
    </w:r>
    <w:r>
      <w:fldChar w:fldCharType="end"/>
    </w:r>
    <w:r w:rsidRPr="0086504D">
      <w:rPr>
        <w:lang w:val="fr-FR"/>
      </w:rPr>
      <w:t xml:space="preserve"> (405899)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684" w:rsidRDefault="00F22684">
      <w:r>
        <w:rPr>
          <w:b/>
        </w:rPr>
        <w:t>_______________</w:t>
      </w:r>
    </w:p>
  </w:footnote>
  <w:footnote w:type="continuationSeparator" w:id="0">
    <w:p w:rsidR="00F22684" w:rsidRDefault="00F22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684" w:rsidRDefault="00F22684" w:rsidP="00987C1F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D35C5D">
      <w:rPr>
        <w:noProof/>
      </w:rPr>
      <w:t>6</w:t>
    </w:r>
    <w:r>
      <w:fldChar w:fldCharType="end"/>
    </w:r>
  </w:p>
  <w:p w:rsidR="00F22684" w:rsidRDefault="00F22684" w:rsidP="00987C1F">
    <w:pPr>
      <w:pStyle w:val="Header"/>
    </w:pPr>
    <w:r>
      <w:t>AMNT16/44(Add.10)-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D997ABF-E5FF-4E13-A70C-52C556A208E1}"/>
    <w:docVar w:name="dgnword-eventsink" w:val="216005632"/>
  </w:docVars>
  <w:rsids>
    <w:rsidRoot w:val="00B31EF6"/>
    <w:rsid w:val="00000CFE"/>
    <w:rsid w:val="000032AD"/>
    <w:rsid w:val="000041EA"/>
    <w:rsid w:val="00022A29"/>
    <w:rsid w:val="000355FD"/>
    <w:rsid w:val="00051E39"/>
    <w:rsid w:val="00077239"/>
    <w:rsid w:val="00086491"/>
    <w:rsid w:val="00091346"/>
    <w:rsid w:val="00096467"/>
    <w:rsid w:val="0009706C"/>
    <w:rsid w:val="000A14AF"/>
    <w:rsid w:val="000B2BEA"/>
    <w:rsid w:val="000B641A"/>
    <w:rsid w:val="000E5EF9"/>
    <w:rsid w:val="000F18B8"/>
    <w:rsid w:val="000F2F97"/>
    <w:rsid w:val="000F4EB0"/>
    <w:rsid w:val="000F73FF"/>
    <w:rsid w:val="00102619"/>
    <w:rsid w:val="00110A4E"/>
    <w:rsid w:val="001116E7"/>
    <w:rsid w:val="00114CF7"/>
    <w:rsid w:val="00123B68"/>
    <w:rsid w:val="00124DC5"/>
    <w:rsid w:val="00126F2E"/>
    <w:rsid w:val="00146F6F"/>
    <w:rsid w:val="0016004D"/>
    <w:rsid w:val="00164C14"/>
    <w:rsid w:val="00166C9A"/>
    <w:rsid w:val="00187BD9"/>
    <w:rsid w:val="00190B55"/>
    <w:rsid w:val="001978FA"/>
    <w:rsid w:val="001A0F27"/>
    <w:rsid w:val="001A7FEC"/>
    <w:rsid w:val="001C3B5F"/>
    <w:rsid w:val="001D058F"/>
    <w:rsid w:val="001D581B"/>
    <w:rsid w:val="001D77E9"/>
    <w:rsid w:val="001E1430"/>
    <w:rsid w:val="002009EA"/>
    <w:rsid w:val="00202CA0"/>
    <w:rsid w:val="00205EB9"/>
    <w:rsid w:val="00216B6D"/>
    <w:rsid w:val="00250AF4"/>
    <w:rsid w:val="00271316"/>
    <w:rsid w:val="00271648"/>
    <w:rsid w:val="0028210B"/>
    <w:rsid w:val="002B2A75"/>
    <w:rsid w:val="002D58BE"/>
    <w:rsid w:val="002E210D"/>
    <w:rsid w:val="002E6C59"/>
    <w:rsid w:val="002F0006"/>
    <w:rsid w:val="002F05FD"/>
    <w:rsid w:val="003236A6"/>
    <w:rsid w:val="00331214"/>
    <w:rsid w:val="00332C56"/>
    <w:rsid w:val="00345A52"/>
    <w:rsid w:val="003547F1"/>
    <w:rsid w:val="00377BD3"/>
    <w:rsid w:val="003832C0"/>
    <w:rsid w:val="00384088"/>
    <w:rsid w:val="003846CA"/>
    <w:rsid w:val="0039169B"/>
    <w:rsid w:val="003A503A"/>
    <w:rsid w:val="003A7F8C"/>
    <w:rsid w:val="003B532E"/>
    <w:rsid w:val="003C5D60"/>
    <w:rsid w:val="003C7B66"/>
    <w:rsid w:val="003D0F8B"/>
    <w:rsid w:val="003E21EA"/>
    <w:rsid w:val="003F1D37"/>
    <w:rsid w:val="004054F5"/>
    <w:rsid w:val="004079B0"/>
    <w:rsid w:val="0041348E"/>
    <w:rsid w:val="00417AD4"/>
    <w:rsid w:val="00444030"/>
    <w:rsid w:val="004508E2"/>
    <w:rsid w:val="004711C9"/>
    <w:rsid w:val="00476533"/>
    <w:rsid w:val="004837BE"/>
    <w:rsid w:val="00492075"/>
    <w:rsid w:val="00494E87"/>
    <w:rsid w:val="004969AD"/>
    <w:rsid w:val="004A26C4"/>
    <w:rsid w:val="004B13CB"/>
    <w:rsid w:val="004B1887"/>
    <w:rsid w:val="004D5D5C"/>
    <w:rsid w:val="004E42A3"/>
    <w:rsid w:val="00500E71"/>
    <w:rsid w:val="0050139F"/>
    <w:rsid w:val="00526703"/>
    <w:rsid w:val="00530525"/>
    <w:rsid w:val="0055140B"/>
    <w:rsid w:val="005715BE"/>
    <w:rsid w:val="00595780"/>
    <w:rsid w:val="005964AB"/>
    <w:rsid w:val="005C099A"/>
    <w:rsid w:val="005C31A5"/>
    <w:rsid w:val="005D6531"/>
    <w:rsid w:val="005E10C9"/>
    <w:rsid w:val="005E1BB5"/>
    <w:rsid w:val="005E47DD"/>
    <w:rsid w:val="005E61DD"/>
    <w:rsid w:val="006023DF"/>
    <w:rsid w:val="00630B4A"/>
    <w:rsid w:val="00632A1B"/>
    <w:rsid w:val="00657DE0"/>
    <w:rsid w:val="00666119"/>
    <w:rsid w:val="00671CFB"/>
    <w:rsid w:val="00685313"/>
    <w:rsid w:val="0069092B"/>
    <w:rsid w:val="00692833"/>
    <w:rsid w:val="006A6E9B"/>
    <w:rsid w:val="006B249F"/>
    <w:rsid w:val="006B7C2A"/>
    <w:rsid w:val="006C23DA"/>
    <w:rsid w:val="006D053F"/>
    <w:rsid w:val="006E013B"/>
    <w:rsid w:val="006E3516"/>
    <w:rsid w:val="006E3D45"/>
    <w:rsid w:val="006F580E"/>
    <w:rsid w:val="00710921"/>
    <w:rsid w:val="00711253"/>
    <w:rsid w:val="007149F9"/>
    <w:rsid w:val="00714CDB"/>
    <w:rsid w:val="00733A30"/>
    <w:rsid w:val="00745AEE"/>
    <w:rsid w:val="00750F10"/>
    <w:rsid w:val="00763A22"/>
    <w:rsid w:val="007663E2"/>
    <w:rsid w:val="007742CA"/>
    <w:rsid w:val="00790D70"/>
    <w:rsid w:val="0079356C"/>
    <w:rsid w:val="007947E8"/>
    <w:rsid w:val="007D00C5"/>
    <w:rsid w:val="007D2933"/>
    <w:rsid w:val="007D5320"/>
    <w:rsid w:val="008006C5"/>
    <w:rsid w:val="00800972"/>
    <w:rsid w:val="00804475"/>
    <w:rsid w:val="00811633"/>
    <w:rsid w:val="00813B79"/>
    <w:rsid w:val="008179E2"/>
    <w:rsid w:val="008410F1"/>
    <w:rsid w:val="008619F1"/>
    <w:rsid w:val="00864CD2"/>
    <w:rsid w:val="0086504D"/>
    <w:rsid w:val="00872FC8"/>
    <w:rsid w:val="008745F8"/>
    <w:rsid w:val="008845D0"/>
    <w:rsid w:val="008950F7"/>
    <w:rsid w:val="008A69FB"/>
    <w:rsid w:val="008B1A3E"/>
    <w:rsid w:val="008B1AEA"/>
    <w:rsid w:val="008B43F2"/>
    <w:rsid w:val="008B6CFF"/>
    <w:rsid w:val="008C27E9"/>
    <w:rsid w:val="008C6BAA"/>
    <w:rsid w:val="008C79A1"/>
    <w:rsid w:val="0091195D"/>
    <w:rsid w:val="0092425C"/>
    <w:rsid w:val="00926C69"/>
    <w:rsid w:val="009274B4"/>
    <w:rsid w:val="00934EA2"/>
    <w:rsid w:val="00940614"/>
    <w:rsid w:val="00944A5C"/>
    <w:rsid w:val="00952A66"/>
    <w:rsid w:val="00957670"/>
    <w:rsid w:val="009647E1"/>
    <w:rsid w:val="0098225A"/>
    <w:rsid w:val="00987C1F"/>
    <w:rsid w:val="009B2540"/>
    <w:rsid w:val="009C3191"/>
    <w:rsid w:val="009C56E5"/>
    <w:rsid w:val="009D1B8E"/>
    <w:rsid w:val="009E5FC8"/>
    <w:rsid w:val="009E687A"/>
    <w:rsid w:val="009F28ED"/>
    <w:rsid w:val="009F63E2"/>
    <w:rsid w:val="00A00CA3"/>
    <w:rsid w:val="00A066F1"/>
    <w:rsid w:val="00A141AF"/>
    <w:rsid w:val="00A16D29"/>
    <w:rsid w:val="00A2639E"/>
    <w:rsid w:val="00A30305"/>
    <w:rsid w:val="00A31D2D"/>
    <w:rsid w:val="00A4600A"/>
    <w:rsid w:val="00A538A6"/>
    <w:rsid w:val="00A54C25"/>
    <w:rsid w:val="00A64D44"/>
    <w:rsid w:val="00A669DB"/>
    <w:rsid w:val="00A710E7"/>
    <w:rsid w:val="00A7372E"/>
    <w:rsid w:val="00A811DC"/>
    <w:rsid w:val="00A8355C"/>
    <w:rsid w:val="00A84B27"/>
    <w:rsid w:val="00A90939"/>
    <w:rsid w:val="00A9269D"/>
    <w:rsid w:val="00A93B85"/>
    <w:rsid w:val="00A94A88"/>
    <w:rsid w:val="00AA0B18"/>
    <w:rsid w:val="00AA666F"/>
    <w:rsid w:val="00AB5A50"/>
    <w:rsid w:val="00AB7C5F"/>
    <w:rsid w:val="00AC5C83"/>
    <w:rsid w:val="00B31EF6"/>
    <w:rsid w:val="00B639E9"/>
    <w:rsid w:val="00B7391E"/>
    <w:rsid w:val="00B7792D"/>
    <w:rsid w:val="00B817CD"/>
    <w:rsid w:val="00B94AD0"/>
    <w:rsid w:val="00BA5265"/>
    <w:rsid w:val="00BB3A95"/>
    <w:rsid w:val="00BB6D50"/>
    <w:rsid w:val="00BD7246"/>
    <w:rsid w:val="00C0018F"/>
    <w:rsid w:val="00C16A5A"/>
    <w:rsid w:val="00C20466"/>
    <w:rsid w:val="00C214ED"/>
    <w:rsid w:val="00C234E6"/>
    <w:rsid w:val="00C26768"/>
    <w:rsid w:val="00C26BA2"/>
    <w:rsid w:val="00C324A8"/>
    <w:rsid w:val="00C51009"/>
    <w:rsid w:val="00C5228E"/>
    <w:rsid w:val="00C54517"/>
    <w:rsid w:val="00C64CD8"/>
    <w:rsid w:val="00C84317"/>
    <w:rsid w:val="00C97C68"/>
    <w:rsid w:val="00CA1A47"/>
    <w:rsid w:val="00CC247A"/>
    <w:rsid w:val="00CE2696"/>
    <w:rsid w:val="00CE388F"/>
    <w:rsid w:val="00CE5E47"/>
    <w:rsid w:val="00CF020F"/>
    <w:rsid w:val="00CF1E9D"/>
    <w:rsid w:val="00CF2B5B"/>
    <w:rsid w:val="00D00220"/>
    <w:rsid w:val="00D14CE0"/>
    <w:rsid w:val="00D35C5D"/>
    <w:rsid w:val="00D475FE"/>
    <w:rsid w:val="00D54009"/>
    <w:rsid w:val="00D5651D"/>
    <w:rsid w:val="00D56980"/>
    <w:rsid w:val="00D57A34"/>
    <w:rsid w:val="00D6112A"/>
    <w:rsid w:val="00D74898"/>
    <w:rsid w:val="00D801ED"/>
    <w:rsid w:val="00D92522"/>
    <w:rsid w:val="00D936BC"/>
    <w:rsid w:val="00D96530"/>
    <w:rsid w:val="00DB09A5"/>
    <w:rsid w:val="00DC3000"/>
    <w:rsid w:val="00DD2642"/>
    <w:rsid w:val="00DD44AF"/>
    <w:rsid w:val="00DE2AC3"/>
    <w:rsid w:val="00DE5692"/>
    <w:rsid w:val="00E03C94"/>
    <w:rsid w:val="00E07AF5"/>
    <w:rsid w:val="00E11197"/>
    <w:rsid w:val="00E14E2A"/>
    <w:rsid w:val="00E26226"/>
    <w:rsid w:val="00E2720D"/>
    <w:rsid w:val="00E338F5"/>
    <w:rsid w:val="00E45D05"/>
    <w:rsid w:val="00E55816"/>
    <w:rsid w:val="00E55AEF"/>
    <w:rsid w:val="00E67CB8"/>
    <w:rsid w:val="00E80469"/>
    <w:rsid w:val="00E84E12"/>
    <w:rsid w:val="00E84ED7"/>
    <w:rsid w:val="00E866E5"/>
    <w:rsid w:val="00E917FD"/>
    <w:rsid w:val="00E976C1"/>
    <w:rsid w:val="00EA12E5"/>
    <w:rsid w:val="00EB55C6"/>
    <w:rsid w:val="00EF2B09"/>
    <w:rsid w:val="00F02766"/>
    <w:rsid w:val="00F05BD4"/>
    <w:rsid w:val="00F13EAF"/>
    <w:rsid w:val="00F22684"/>
    <w:rsid w:val="00F31B1E"/>
    <w:rsid w:val="00F361D8"/>
    <w:rsid w:val="00F6155B"/>
    <w:rsid w:val="00F65C19"/>
    <w:rsid w:val="00F7356B"/>
    <w:rsid w:val="00F776DF"/>
    <w:rsid w:val="00F840C7"/>
    <w:rsid w:val="00FA0A85"/>
    <w:rsid w:val="00FA30EB"/>
    <w:rsid w:val="00FD2546"/>
    <w:rsid w:val="00FD3ECB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8F8817FD-C12C-4D5B-9D52-1DDB7F8B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Committee">
    <w:name w:val="Committee"/>
    <w:basedOn w:val="Normal"/>
    <w:qFormat/>
    <w:rsid w:val="0069092B"/>
    <w:pPr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69092B"/>
    <w:pPr>
      <w:jc w:val="center"/>
    </w:pPr>
    <w:rPr>
      <w:b/>
      <w:bCs/>
      <w:sz w:val="28"/>
      <w:szCs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69092B"/>
    <w:rPr>
      <w:rFonts w:ascii="Times New Roman Bold" w:hAnsi="Times New Roman Bold"/>
      <w:b/>
    </w:rPr>
  </w:style>
  <w:style w:type="paragraph" w:customStyle="1" w:styleId="Chaptitle">
    <w:name w:val="Chap_title"/>
    <w:basedOn w:val="Normal"/>
    <w:next w:val="Normal"/>
    <w:rsid w:val="0069092B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13B79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813B79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6B249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Resref">
    <w:name w:val="Res_ref"/>
    <w:basedOn w:val="Normal"/>
    <w:next w:val="Normal"/>
    <w:qFormat/>
    <w:rsid w:val="00813B79"/>
    <w:pPr>
      <w:keepNext/>
      <w:keepLines/>
      <w:jc w:val="center"/>
    </w:pPr>
    <w:rPr>
      <w:i/>
      <w:lang w:val="fr-FR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BB6D50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E1430"/>
    <w:pPr>
      <w:keepNext/>
      <w:keepLines/>
      <w:jc w:val="right"/>
    </w:pPr>
    <w:rPr>
      <w:rFonts w:ascii="Times New Roman italic" w:hAnsi="Times New Roman italic" w:cs="Times New Roman italic"/>
      <w:i/>
    </w:rPr>
  </w:style>
  <w:style w:type="paragraph" w:customStyle="1" w:styleId="RecNo">
    <w:name w:val="Rec_No"/>
    <w:basedOn w:val="Normal"/>
    <w:next w:val="Normal"/>
    <w:rsid w:val="00A811DC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A811DC"/>
    <w:pPr>
      <w:spacing w:before="240"/>
      <w:jc w:val="center"/>
    </w:pPr>
    <w:rPr>
      <w:rFonts w:ascii="Times New Roman" w:cs="Times New Roman"/>
      <w:bCs/>
    </w:rPr>
  </w:style>
  <w:style w:type="paragraph" w:customStyle="1" w:styleId="ResNo">
    <w:name w:val="Res_No"/>
    <w:basedOn w:val="RecNo"/>
    <w:next w:val="Normal"/>
    <w:rsid w:val="000A14AF"/>
    <w:pPr>
      <w:jc w:val="center"/>
    </w:pPr>
    <w:rPr>
      <w:rFonts w:ascii="Times New Roman" w:hAnsi="Times New Roman" w:cs="Times New Roman"/>
      <w:b w:val="0"/>
      <w:bCs/>
      <w:caps/>
    </w:rPr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Opiniontitle">
    <w:name w:val="Opinion_title"/>
    <w:basedOn w:val="Normal"/>
    <w:next w:val="Normal"/>
    <w:qFormat/>
    <w:rsid w:val="00987C1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OpinionNo">
    <w:name w:val="Opinion_No"/>
    <w:basedOn w:val="ResNo"/>
    <w:next w:val="Opiniontitle"/>
    <w:qFormat/>
    <w:rsid w:val="00987C1F"/>
    <w:rPr>
      <w:bCs w:val="0"/>
      <w:lang w:val="fr-CH"/>
    </w:rPr>
  </w:style>
  <w:style w:type="paragraph" w:customStyle="1" w:styleId="Opinionref">
    <w:name w:val="Opinion_ref"/>
    <w:basedOn w:val="Annexref"/>
    <w:next w:val="Opiniontitle"/>
    <w:qFormat/>
    <w:rsid w:val="00987C1F"/>
    <w:rPr>
      <w:i/>
      <w:iCs/>
      <w:sz w:val="22"/>
      <w:szCs w:val="22"/>
      <w:lang w:val="fr-CH"/>
    </w:rPr>
  </w:style>
  <w:style w:type="paragraph" w:customStyle="1" w:styleId="Recref">
    <w:name w:val="Rec_ref"/>
    <w:basedOn w:val="Resref"/>
    <w:qFormat/>
    <w:rsid w:val="00813B79"/>
    <w:rPr>
      <w:lang w:val="en-GB"/>
    </w:rPr>
  </w:style>
  <w:style w:type="paragraph" w:customStyle="1" w:styleId="HeadingSummary">
    <w:name w:val="HeadingSummary"/>
    <w:basedOn w:val="Headingb"/>
    <w:qFormat/>
    <w:rsid w:val="00444030"/>
  </w:style>
  <w:style w:type="character" w:styleId="PlaceholderText">
    <w:name w:val="Placeholder Text"/>
    <w:basedOn w:val="DefaultParagraphFont"/>
    <w:uiPriority w:val="99"/>
    <w:semiHidden/>
    <w:rsid w:val="00E11197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67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57670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112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71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en/ITU-R/study-groups/rsg5/rwp5d/imt-2020/Pages/default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E745BEEE9F419F86EEA3D133F44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6B1B2-EC3D-4925-8249-3C41D6D19905}"/>
      </w:docPartPr>
      <w:docPartBody>
        <w:p w:rsidR="000A0197" w:rsidRDefault="001304C0" w:rsidP="001304C0">
          <w:pPr>
            <w:pStyle w:val="A0E745BEEE9F419F86EEA3D133F44AB1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31"/>
    <w:rsid w:val="000A0197"/>
    <w:rsid w:val="001304C0"/>
    <w:rsid w:val="00306CFA"/>
    <w:rsid w:val="003C792E"/>
    <w:rsid w:val="004228CC"/>
    <w:rsid w:val="00430751"/>
    <w:rsid w:val="004852F1"/>
    <w:rsid w:val="007007B4"/>
    <w:rsid w:val="00832CBF"/>
    <w:rsid w:val="008B3C62"/>
    <w:rsid w:val="00B95CAC"/>
    <w:rsid w:val="00CD1303"/>
    <w:rsid w:val="00D83E31"/>
    <w:rsid w:val="00E52BE5"/>
    <w:rsid w:val="00E927AD"/>
    <w:rsid w:val="00EB6FEA"/>
    <w:rsid w:val="00F3304D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4C0"/>
    <w:rPr>
      <w:color w:val="808080"/>
    </w:rPr>
  </w:style>
  <w:style w:type="paragraph" w:customStyle="1" w:styleId="CEF0515E39224C1BB445B352EB3113A9">
    <w:name w:val="CEF0515E39224C1BB445B352EB3113A9"/>
    <w:rsid w:val="00D83E31"/>
  </w:style>
  <w:style w:type="paragraph" w:customStyle="1" w:styleId="A0E745BEEE9F419F86EEA3D133F44AB1">
    <w:name w:val="A0E745BEEE9F419F86EEA3D133F44AB1"/>
    <w:rsid w:val="001304C0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e24cbbbf-5b85-4e20-9693-135f4fea735b">Documents Proposals Manager (DPM)</DPM_x0020_Author>
    <DPM_x0020_File_x0020_name xmlns="e24cbbbf-5b85-4e20-9693-135f4fea735b">T13-WTSA.16-C-0044!A10!MSW-F</DPM_x0020_File_x0020_name>
    <DPM_x0020_Version xmlns="e24cbbbf-5b85-4e20-9693-135f4fea735b">DPM_v2016.10.6.1_prod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e24cbbbf-5b85-4e20-9693-135f4fea735b" targetNamespace="http://schemas.microsoft.com/office/2006/metadata/properties" ma:root="true" ma:fieldsID="d41af5c836d734370eb92e7ee5f83852" ns2:_="" ns3:_="">
    <xsd:import namespace="996b2e75-67fd-4955-a3b0-5ab9934cb50b"/>
    <xsd:import namespace="e24cbbbf-5b85-4e20-9693-135f4fea735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cbbbf-5b85-4e20-9693-135f4fea735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e24cbbbf-5b85-4e20-9693-135f4fea73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e24cbbbf-5b85-4e20-9693-135f4fea7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759D7A-15EF-4972-BB3A-65038B154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2296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T13-WTSA.16-C-0044!A10!MSW-F</vt:lpstr>
    </vt:vector>
  </TitlesOfParts>
  <Manager>General Secretariat - Pool</Manager>
  <Company>International Telecommunication Union (ITU)</Company>
  <LinksUpToDate>false</LinksUpToDate>
  <CharactersWithSpaces>15425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T13-WTSA.16-C-0044!A10!MSW-F</dc:title>
  <dc:subject>World Telecommunication Standardization Assembly</dc:subject>
  <dc:creator>Documents Proposals Manager (DPM)</dc:creator>
  <cp:keywords>DPM_v2016.10.6.1_prod</cp:keywords>
  <dc:description>Template used by DPM and CPI for the WTSA-16</dc:description>
  <cp:lastModifiedBy>Saxod, Nathalie</cp:lastModifiedBy>
  <cp:revision>50</cp:revision>
  <cp:lastPrinted>2016-10-12T14:38:00Z</cp:lastPrinted>
  <dcterms:created xsi:type="dcterms:W3CDTF">2016-10-12T13:20:00Z</dcterms:created>
  <dcterms:modified xsi:type="dcterms:W3CDTF">2016-10-13T13:52:00Z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