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82"/>
        <w:gridCol w:w="530"/>
        <w:gridCol w:w="4892"/>
        <w:gridCol w:w="567"/>
        <w:gridCol w:w="2440"/>
      </w:tblGrid>
      <w:tr w:rsidR="001D581B" w:rsidRPr="00417288" w14:paraId="5657EAE2" w14:textId="77777777" w:rsidTr="00530525">
        <w:trPr>
          <w:cantSplit/>
        </w:trPr>
        <w:tc>
          <w:tcPr>
            <w:tcW w:w="1382" w:type="dxa"/>
            <w:vAlign w:val="center"/>
          </w:tcPr>
          <w:p w14:paraId="56431A66" w14:textId="77777777" w:rsidR="00CF1E9D" w:rsidRPr="00417288" w:rsidRDefault="00CF1E9D" w:rsidP="00D022DF">
            <w:pPr>
              <w:rPr>
                <w:rFonts w:ascii="Verdana" w:hAnsi="Verdana" w:cs="Times New Roman Bold"/>
                <w:b/>
                <w:bCs/>
                <w:sz w:val="22"/>
                <w:szCs w:val="22"/>
                <w:lang w:val="fr-FR"/>
              </w:rPr>
            </w:pPr>
            <w:bookmarkStart w:id="0" w:name="_GoBack"/>
            <w:bookmarkEnd w:id="0"/>
            <w:r w:rsidRPr="00417288">
              <w:rPr>
                <w:noProof/>
                <w:lang w:eastAsia="zh-CN"/>
              </w:rPr>
              <w:drawing>
                <wp:inline distT="0" distB="0" distL="0" distR="0" wp14:anchorId="7F48F976" wp14:editId="2D972891">
                  <wp:extent cx="717701" cy="799465"/>
                  <wp:effectExtent l="0" t="0" r="6350" b="635"/>
                  <wp:docPr id="3" name="Picture 3"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5989" w:type="dxa"/>
            <w:gridSpan w:val="3"/>
            <w:vAlign w:val="center"/>
          </w:tcPr>
          <w:p w14:paraId="67589DA9" w14:textId="77777777" w:rsidR="00CF1E9D" w:rsidRPr="00417288" w:rsidRDefault="001D581B" w:rsidP="00D022DF">
            <w:pPr>
              <w:rPr>
                <w:rFonts w:ascii="Verdana" w:hAnsi="Verdana" w:cs="Times New Roman Bold"/>
                <w:b/>
                <w:bCs/>
                <w:sz w:val="22"/>
                <w:szCs w:val="22"/>
                <w:lang w:val="fr-FR"/>
              </w:rPr>
            </w:pPr>
            <w:r w:rsidRPr="00417288">
              <w:rPr>
                <w:rFonts w:ascii="Verdana" w:hAnsi="Verdana" w:cs="Times New Roman Bold"/>
                <w:b/>
                <w:bCs/>
                <w:szCs w:val="24"/>
                <w:lang w:val="fr-FR"/>
              </w:rPr>
              <w:t xml:space="preserve">Assemblée mondiale de normalisation </w:t>
            </w:r>
            <w:r w:rsidR="00C26BA2" w:rsidRPr="00417288">
              <w:rPr>
                <w:rFonts w:ascii="Verdana" w:hAnsi="Verdana" w:cs="Times New Roman Bold"/>
                <w:b/>
                <w:bCs/>
                <w:szCs w:val="24"/>
                <w:lang w:val="fr-FR"/>
              </w:rPr>
              <w:br/>
            </w:r>
            <w:r w:rsidRPr="00417288">
              <w:rPr>
                <w:rFonts w:ascii="Verdana" w:hAnsi="Verdana" w:cs="Times New Roman Bold"/>
                <w:b/>
                <w:bCs/>
                <w:szCs w:val="24"/>
                <w:lang w:val="fr-FR"/>
              </w:rPr>
              <w:t xml:space="preserve">des télécommunications </w:t>
            </w:r>
            <w:r w:rsidR="00CF1E9D" w:rsidRPr="00417288">
              <w:rPr>
                <w:rFonts w:ascii="Verdana" w:hAnsi="Verdana" w:cs="Times New Roman Bold"/>
                <w:b/>
                <w:bCs/>
                <w:szCs w:val="24"/>
                <w:lang w:val="fr-FR"/>
              </w:rPr>
              <w:t>(</w:t>
            </w:r>
            <w:r w:rsidRPr="00417288">
              <w:rPr>
                <w:rFonts w:ascii="Verdana" w:hAnsi="Verdana" w:cs="Times New Roman Bold"/>
                <w:b/>
                <w:bCs/>
                <w:szCs w:val="24"/>
                <w:lang w:val="fr-FR"/>
              </w:rPr>
              <w:t>AMNT</w:t>
            </w:r>
            <w:r w:rsidR="00CF1E9D" w:rsidRPr="00417288">
              <w:rPr>
                <w:rFonts w:ascii="Verdana" w:hAnsi="Verdana" w:cs="Times New Roman Bold"/>
                <w:b/>
                <w:bCs/>
                <w:szCs w:val="24"/>
                <w:lang w:val="fr-FR"/>
              </w:rPr>
              <w:t>-16)</w:t>
            </w:r>
            <w:r w:rsidR="00CF1E9D" w:rsidRPr="00417288">
              <w:rPr>
                <w:rFonts w:ascii="Verdana" w:hAnsi="Verdana" w:cs="Times New Roman Bold"/>
                <w:b/>
                <w:bCs/>
                <w:sz w:val="22"/>
                <w:szCs w:val="22"/>
                <w:lang w:val="fr-FR"/>
              </w:rPr>
              <w:br/>
            </w:r>
            <w:r w:rsidR="00CF1E9D" w:rsidRPr="00417288">
              <w:rPr>
                <w:rFonts w:ascii="Verdana" w:hAnsi="Verdana" w:cs="Times New Roman Bold"/>
                <w:b/>
                <w:bCs/>
                <w:sz w:val="18"/>
                <w:szCs w:val="18"/>
                <w:lang w:val="fr-FR"/>
              </w:rPr>
              <w:t xml:space="preserve">Hammamet, 25 </w:t>
            </w:r>
            <w:r w:rsidRPr="00417288">
              <w:rPr>
                <w:rFonts w:ascii="Verdana" w:hAnsi="Verdana" w:cs="Times New Roman Bold"/>
                <w:b/>
                <w:bCs/>
                <w:sz w:val="18"/>
                <w:szCs w:val="18"/>
                <w:lang w:val="fr-FR"/>
              </w:rPr>
              <w:t>o</w:t>
            </w:r>
            <w:r w:rsidR="00CF1E9D" w:rsidRPr="00417288">
              <w:rPr>
                <w:rFonts w:ascii="Verdana" w:hAnsi="Verdana" w:cs="Times New Roman Bold"/>
                <w:b/>
                <w:bCs/>
                <w:sz w:val="18"/>
                <w:szCs w:val="18"/>
                <w:lang w:val="fr-FR"/>
              </w:rPr>
              <w:t>ct</w:t>
            </w:r>
            <w:r w:rsidR="00C26BA2" w:rsidRPr="00417288">
              <w:rPr>
                <w:rFonts w:ascii="Verdana" w:hAnsi="Verdana" w:cs="Times New Roman Bold"/>
                <w:b/>
                <w:bCs/>
                <w:sz w:val="18"/>
                <w:szCs w:val="18"/>
                <w:lang w:val="fr-FR"/>
              </w:rPr>
              <w:t xml:space="preserve">obre </w:t>
            </w:r>
            <w:r w:rsidR="00CF1E9D" w:rsidRPr="00417288">
              <w:rPr>
                <w:rFonts w:ascii="Verdana" w:hAnsi="Verdana" w:cs="Times New Roman Bold"/>
                <w:b/>
                <w:bCs/>
                <w:sz w:val="18"/>
                <w:szCs w:val="18"/>
                <w:lang w:val="fr-FR"/>
              </w:rPr>
              <w:t>-</w:t>
            </w:r>
            <w:r w:rsidR="00C26BA2" w:rsidRPr="00417288">
              <w:rPr>
                <w:rFonts w:ascii="Verdana" w:hAnsi="Verdana" w:cs="Times New Roman Bold"/>
                <w:b/>
                <w:bCs/>
                <w:sz w:val="18"/>
                <w:szCs w:val="18"/>
                <w:lang w:val="fr-FR"/>
              </w:rPr>
              <w:t xml:space="preserve"> </w:t>
            </w:r>
            <w:r w:rsidR="00CF1E9D" w:rsidRPr="00417288">
              <w:rPr>
                <w:rFonts w:ascii="Verdana" w:hAnsi="Verdana" w:cs="Times New Roman Bold"/>
                <w:b/>
                <w:bCs/>
                <w:sz w:val="18"/>
                <w:szCs w:val="18"/>
                <w:lang w:val="fr-FR"/>
              </w:rPr>
              <w:t xml:space="preserve">3 </w:t>
            </w:r>
            <w:r w:rsidRPr="00417288">
              <w:rPr>
                <w:rFonts w:ascii="Verdana" w:hAnsi="Verdana" w:cs="Times New Roman Bold"/>
                <w:b/>
                <w:bCs/>
                <w:sz w:val="18"/>
                <w:szCs w:val="18"/>
                <w:lang w:val="fr-FR"/>
              </w:rPr>
              <w:t>n</w:t>
            </w:r>
            <w:r w:rsidR="00CF1E9D" w:rsidRPr="00417288">
              <w:rPr>
                <w:rFonts w:ascii="Verdana" w:hAnsi="Verdana" w:cs="Times New Roman Bold"/>
                <w:b/>
                <w:bCs/>
                <w:sz w:val="18"/>
                <w:szCs w:val="18"/>
                <w:lang w:val="fr-FR"/>
              </w:rPr>
              <w:t>ov</w:t>
            </w:r>
            <w:r w:rsidR="00C26BA2" w:rsidRPr="00417288">
              <w:rPr>
                <w:rFonts w:ascii="Verdana" w:hAnsi="Verdana" w:cs="Times New Roman Bold"/>
                <w:b/>
                <w:bCs/>
                <w:sz w:val="18"/>
                <w:szCs w:val="18"/>
                <w:lang w:val="fr-FR"/>
              </w:rPr>
              <w:t>embre</w:t>
            </w:r>
            <w:r w:rsidR="00CF1E9D" w:rsidRPr="00417288">
              <w:rPr>
                <w:rFonts w:ascii="Verdana" w:hAnsi="Verdana" w:cs="Times New Roman Bold"/>
                <w:b/>
                <w:bCs/>
                <w:sz w:val="18"/>
                <w:szCs w:val="18"/>
                <w:lang w:val="fr-FR"/>
              </w:rPr>
              <w:t xml:space="preserve"> 2016</w:t>
            </w:r>
          </w:p>
        </w:tc>
        <w:tc>
          <w:tcPr>
            <w:tcW w:w="2440" w:type="dxa"/>
            <w:vAlign w:val="center"/>
          </w:tcPr>
          <w:p w14:paraId="4DA537BB" w14:textId="77777777" w:rsidR="00CF1E9D" w:rsidRPr="00417288" w:rsidRDefault="00CF1E9D" w:rsidP="00D022DF">
            <w:pPr>
              <w:spacing w:before="0"/>
              <w:jc w:val="right"/>
              <w:rPr>
                <w:lang w:val="fr-FR"/>
              </w:rPr>
            </w:pPr>
            <w:r w:rsidRPr="00417288">
              <w:rPr>
                <w:noProof/>
                <w:lang w:eastAsia="zh-CN"/>
              </w:rPr>
              <w:drawing>
                <wp:inline distT="0" distB="0" distL="0" distR="0" wp14:anchorId="1AFC1087" wp14:editId="5312DA51">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1D581B" w:rsidRPr="00417288" w14:paraId="07188D11" w14:textId="77777777" w:rsidTr="00530525">
        <w:trPr>
          <w:cantSplit/>
        </w:trPr>
        <w:tc>
          <w:tcPr>
            <w:tcW w:w="6804" w:type="dxa"/>
            <w:gridSpan w:val="3"/>
            <w:tcBorders>
              <w:bottom w:val="single" w:sz="12" w:space="0" w:color="auto"/>
            </w:tcBorders>
          </w:tcPr>
          <w:p w14:paraId="05DAB3CD" w14:textId="77777777" w:rsidR="00595780" w:rsidRPr="00417288" w:rsidRDefault="00595780" w:rsidP="00D022DF">
            <w:pPr>
              <w:spacing w:before="0"/>
              <w:rPr>
                <w:lang w:val="fr-FR"/>
              </w:rPr>
            </w:pPr>
          </w:p>
        </w:tc>
        <w:tc>
          <w:tcPr>
            <w:tcW w:w="3007" w:type="dxa"/>
            <w:gridSpan w:val="2"/>
            <w:tcBorders>
              <w:bottom w:val="single" w:sz="12" w:space="0" w:color="auto"/>
            </w:tcBorders>
          </w:tcPr>
          <w:p w14:paraId="32306ED4" w14:textId="77777777" w:rsidR="00595780" w:rsidRPr="00417288" w:rsidRDefault="00595780" w:rsidP="00D022DF">
            <w:pPr>
              <w:spacing w:before="0"/>
              <w:rPr>
                <w:lang w:val="fr-FR"/>
              </w:rPr>
            </w:pPr>
          </w:p>
        </w:tc>
      </w:tr>
      <w:tr w:rsidR="001D581B" w:rsidRPr="00417288" w14:paraId="4B73A6CA" w14:textId="77777777" w:rsidTr="00530525">
        <w:trPr>
          <w:cantSplit/>
        </w:trPr>
        <w:tc>
          <w:tcPr>
            <w:tcW w:w="6804" w:type="dxa"/>
            <w:gridSpan w:val="3"/>
            <w:tcBorders>
              <w:top w:val="single" w:sz="12" w:space="0" w:color="auto"/>
            </w:tcBorders>
          </w:tcPr>
          <w:p w14:paraId="53E874AE" w14:textId="77777777" w:rsidR="00595780" w:rsidRPr="00417288" w:rsidRDefault="00595780" w:rsidP="00D022DF">
            <w:pPr>
              <w:spacing w:before="0"/>
              <w:rPr>
                <w:lang w:val="fr-FR"/>
              </w:rPr>
            </w:pPr>
          </w:p>
        </w:tc>
        <w:tc>
          <w:tcPr>
            <w:tcW w:w="3007" w:type="dxa"/>
            <w:gridSpan w:val="2"/>
          </w:tcPr>
          <w:p w14:paraId="17D11732" w14:textId="77777777" w:rsidR="00595780" w:rsidRPr="00417288" w:rsidRDefault="00595780" w:rsidP="00D022DF">
            <w:pPr>
              <w:spacing w:before="0"/>
              <w:rPr>
                <w:rFonts w:ascii="Verdana" w:hAnsi="Verdana"/>
                <w:b/>
                <w:bCs/>
                <w:sz w:val="20"/>
                <w:lang w:val="fr-FR"/>
              </w:rPr>
            </w:pPr>
          </w:p>
        </w:tc>
      </w:tr>
      <w:tr w:rsidR="00C26BA2" w:rsidRPr="00417288" w14:paraId="2F847192" w14:textId="77777777" w:rsidTr="00530525">
        <w:trPr>
          <w:cantSplit/>
        </w:trPr>
        <w:tc>
          <w:tcPr>
            <w:tcW w:w="6804" w:type="dxa"/>
            <w:gridSpan w:val="3"/>
          </w:tcPr>
          <w:p w14:paraId="2ED2741E" w14:textId="77777777" w:rsidR="00C26BA2" w:rsidRPr="00417288" w:rsidRDefault="00C26BA2" w:rsidP="00D022DF">
            <w:pPr>
              <w:spacing w:before="0"/>
              <w:rPr>
                <w:lang w:val="fr-FR"/>
              </w:rPr>
            </w:pPr>
            <w:r w:rsidRPr="00417288">
              <w:rPr>
                <w:rFonts w:ascii="Verdana" w:hAnsi="Verdana"/>
                <w:b/>
                <w:sz w:val="20"/>
                <w:lang w:val="fr-FR"/>
              </w:rPr>
              <w:t>SÉANCE PLÉNIÈRE</w:t>
            </w:r>
          </w:p>
        </w:tc>
        <w:tc>
          <w:tcPr>
            <w:tcW w:w="3007" w:type="dxa"/>
            <w:gridSpan w:val="2"/>
          </w:tcPr>
          <w:p w14:paraId="5ABD697B" w14:textId="77777777" w:rsidR="00C26BA2" w:rsidRPr="00417288" w:rsidRDefault="00C26BA2" w:rsidP="00D022DF">
            <w:pPr>
              <w:spacing w:before="0"/>
              <w:rPr>
                <w:rFonts w:ascii="Verdana" w:hAnsi="Verdana"/>
                <w:sz w:val="20"/>
                <w:lang w:val="fr-FR"/>
              </w:rPr>
            </w:pPr>
            <w:r w:rsidRPr="00417288">
              <w:rPr>
                <w:rFonts w:ascii="Verdana" w:hAnsi="Verdana"/>
                <w:b/>
                <w:sz w:val="20"/>
                <w:lang w:val="fr-FR"/>
              </w:rPr>
              <w:t>Addendum 1 au</w:t>
            </w:r>
            <w:r w:rsidRPr="00417288">
              <w:rPr>
                <w:rFonts w:ascii="Verdana" w:hAnsi="Verdana"/>
                <w:b/>
                <w:sz w:val="20"/>
                <w:lang w:val="fr-FR"/>
              </w:rPr>
              <w:br/>
              <w:t>Document 44-F</w:t>
            </w:r>
          </w:p>
        </w:tc>
      </w:tr>
      <w:tr w:rsidR="001D581B" w:rsidRPr="00417288" w14:paraId="78DEFA2A" w14:textId="77777777" w:rsidTr="00530525">
        <w:trPr>
          <w:cantSplit/>
        </w:trPr>
        <w:tc>
          <w:tcPr>
            <w:tcW w:w="6804" w:type="dxa"/>
            <w:gridSpan w:val="3"/>
          </w:tcPr>
          <w:p w14:paraId="0705B85F" w14:textId="77777777" w:rsidR="00595780" w:rsidRPr="00417288" w:rsidRDefault="00595780" w:rsidP="00D022DF">
            <w:pPr>
              <w:spacing w:before="0"/>
              <w:rPr>
                <w:lang w:val="fr-FR"/>
              </w:rPr>
            </w:pPr>
          </w:p>
        </w:tc>
        <w:tc>
          <w:tcPr>
            <w:tcW w:w="3007" w:type="dxa"/>
            <w:gridSpan w:val="2"/>
          </w:tcPr>
          <w:p w14:paraId="017ECF2F" w14:textId="77777777" w:rsidR="00595780" w:rsidRPr="00417288" w:rsidRDefault="00C26BA2" w:rsidP="00D022DF">
            <w:pPr>
              <w:spacing w:before="0"/>
              <w:rPr>
                <w:lang w:val="fr-FR"/>
              </w:rPr>
            </w:pPr>
            <w:r w:rsidRPr="00417288">
              <w:rPr>
                <w:rFonts w:ascii="Verdana" w:hAnsi="Verdana"/>
                <w:b/>
                <w:sz w:val="20"/>
                <w:lang w:val="fr-FR"/>
              </w:rPr>
              <w:t>3 octobre 2016</w:t>
            </w:r>
          </w:p>
        </w:tc>
      </w:tr>
      <w:tr w:rsidR="001D581B" w:rsidRPr="00417288" w14:paraId="0F7AAEA1" w14:textId="77777777" w:rsidTr="00530525">
        <w:trPr>
          <w:cantSplit/>
        </w:trPr>
        <w:tc>
          <w:tcPr>
            <w:tcW w:w="6804" w:type="dxa"/>
            <w:gridSpan w:val="3"/>
          </w:tcPr>
          <w:p w14:paraId="1D301107" w14:textId="77777777" w:rsidR="00595780" w:rsidRPr="00417288" w:rsidRDefault="00595780" w:rsidP="00D022DF">
            <w:pPr>
              <w:spacing w:before="0"/>
              <w:rPr>
                <w:lang w:val="fr-FR"/>
              </w:rPr>
            </w:pPr>
          </w:p>
        </w:tc>
        <w:tc>
          <w:tcPr>
            <w:tcW w:w="3007" w:type="dxa"/>
            <w:gridSpan w:val="2"/>
          </w:tcPr>
          <w:p w14:paraId="5809EA9F" w14:textId="77777777" w:rsidR="00595780" w:rsidRPr="00417288" w:rsidRDefault="00C26BA2" w:rsidP="00D022DF">
            <w:pPr>
              <w:spacing w:before="0"/>
              <w:rPr>
                <w:lang w:val="fr-FR"/>
              </w:rPr>
            </w:pPr>
            <w:r w:rsidRPr="00417288">
              <w:rPr>
                <w:rFonts w:ascii="Verdana" w:hAnsi="Verdana"/>
                <w:b/>
                <w:sz w:val="20"/>
                <w:lang w:val="fr-FR"/>
              </w:rPr>
              <w:t>Original: anglais</w:t>
            </w:r>
          </w:p>
        </w:tc>
      </w:tr>
      <w:tr w:rsidR="000032AD" w:rsidRPr="00417288" w14:paraId="7D1FBE35" w14:textId="77777777" w:rsidTr="00530525">
        <w:trPr>
          <w:cantSplit/>
        </w:trPr>
        <w:tc>
          <w:tcPr>
            <w:tcW w:w="9811" w:type="dxa"/>
            <w:gridSpan w:val="5"/>
          </w:tcPr>
          <w:p w14:paraId="708A1A4C" w14:textId="77777777" w:rsidR="000032AD" w:rsidRPr="00417288" w:rsidRDefault="000032AD" w:rsidP="00D022DF">
            <w:pPr>
              <w:spacing w:before="0"/>
              <w:rPr>
                <w:rFonts w:ascii="Verdana" w:hAnsi="Verdana"/>
                <w:b/>
                <w:bCs/>
                <w:sz w:val="20"/>
                <w:lang w:val="fr-FR"/>
              </w:rPr>
            </w:pPr>
          </w:p>
        </w:tc>
      </w:tr>
      <w:tr w:rsidR="00595780" w:rsidRPr="00C062A9" w14:paraId="7A39B1B3" w14:textId="77777777" w:rsidTr="00530525">
        <w:trPr>
          <w:cantSplit/>
        </w:trPr>
        <w:tc>
          <w:tcPr>
            <w:tcW w:w="9811" w:type="dxa"/>
            <w:gridSpan w:val="5"/>
          </w:tcPr>
          <w:p w14:paraId="45D0E6F9" w14:textId="77777777" w:rsidR="00595780" w:rsidRPr="00417288" w:rsidRDefault="00C26BA2" w:rsidP="00D022DF">
            <w:pPr>
              <w:pStyle w:val="Source"/>
              <w:rPr>
                <w:lang w:val="fr-FR"/>
              </w:rPr>
            </w:pPr>
            <w:r w:rsidRPr="00417288">
              <w:rPr>
                <w:lang w:val="fr-FR"/>
              </w:rPr>
              <w:t>Administrations des pays membres de la Télécommunauté Asie-Pacifique</w:t>
            </w:r>
          </w:p>
        </w:tc>
      </w:tr>
      <w:tr w:rsidR="00595780" w:rsidRPr="00C062A9" w14:paraId="7EB5F650" w14:textId="77777777" w:rsidTr="00530525">
        <w:trPr>
          <w:cantSplit/>
        </w:trPr>
        <w:tc>
          <w:tcPr>
            <w:tcW w:w="9811" w:type="dxa"/>
            <w:gridSpan w:val="5"/>
          </w:tcPr>
          <w:p w14:paraId="126318AA" w14:textId="7A603F4D" w:rsidR="00595780" w:rsidRPr="00417288" w:rsidRDefault="00417288" w:rsidP="007705F0">
            <w:pPr>
              <w:pStyle w:val="Title1"/>
              <w:rPr>
                <w:lang w:val="fr-FR"/>
              </w:rPr>
            </w:pPr>
            <w:r w:rsidRPr="00417288">
              <w:rPr>
                <w:lang w:val="fr-FR"/>
              </w:rPr>
              <w:t xml:space="preserve">proposition </w:t>
            </w:r>
            <w:r w:rsidR="00751636">
              <w:rPr>
                <w:lang w:val="fr-FR"/>
              </w:rPr>
              <w:t xml:space="preserve">visant </w:t>
            </w:r>
            <w:r w:rsidR="00295507">
              <w:rPr>
                <w:lang w:val="fr-FR"/>
              </w:rPr>
              <w:t>À</w:t>
            </w:r>
            <w:r w:rsidR="00751636">
              <w:rPr>
                <w:lang w:val="fr-FR"/>
              </w:rPr>
              <w:t xml:space="preserve"> laisser inchang</w:t>
            </w:r>
            <w:r w:rsidR="007705F0">
              <w:rPr>
                <w:lang w:val="fr-FR"/>
              </w:rPr>
              <w:t>é</w:t>
            </w:r>
            <w:r w:rsidR="0010072D">
              <w:rPr>
                <w:lang w:val="fr-FR"/>
              </w:rPr>
              <w:t>e</w:t>
            </w:r>
            <w:r w:rsidRPr="00417288">
              <w:rPr>
                <w:lang w:val="fr-FR"/>
              </w:rPr>
              <w:t xml:space="preserve"> la recommandation</w:t>
            </w:r>
            <w:r w:rsidR="00C26BA2" w:rsidRPr="00417288">
              <w:rPr>
                <w:lang w:val="fr-FR"/>
              </w:rPr>
              <w:t xml:space="preserve"> </w:t>
            </w:r>
            <w:r w:rsidRPr="00417288">
              <w:rPr>
                <w:lang w:val="fr-FR"/>
              </w:rPr>
              <w:t>uit</w:t>
            </w:r>
            <w:r w:rsidR="00C26BA2" w:rsidRPr="00417288">
              <w:rPr>
                <w:lang w:val="fr-FR"/>
              </w:rPr>
              <w:t>-T A.1</w:t>
            </w:r>
            <w:r w:rsidR="00751636">
              <w:rPr>
                <w:lang w:val="fr-FR"/>
              </w:rPr>
              <w:t xml:space="preserve"> –</w:t>
            </w:r>
            <w:r w:rsidR="00C26BA2" w:rsidRPr="00417288">
              <w:rPr>
                <w:lang w:val="fr-FR"/>
              </w:rPr>
              <w:t xml:space="preserve"> </w:t>
            </w:r>
            <w:r w:rsidR="005331C0" w:rsidRPr="00417288">
              <w:rPr>
                <w:lang w:val="fr-FR"/>
              </w:rPr>
              <w:t>Méthodes de t</w:t>
            </w:r>
            <w:r w:rsidR="00295507">
              <w:rPr>
                <w:lang w:val="fr-FR"/>
              </w:rPr>
              <w:t xml:space="preserve">ravail des Commissions d'études </w:t>
            </w:r>
            <w:r w:rsidR="005331C0" w:rsidRPr="00417288">
              <w:rPr>
                <w:lang w:val="fr-FR"/>
              </w:rPr>
              <w:t>du Secteur de</w:t>
            </w:r>
            <w:r w:rsidR="0010072D">
              <w:rPr>
                <w:lang w:val="fr-FR"/>
              </w:rPr>
              <w:t xml:space="preserve"> </w:t>
            </w:r>
            <w:r w:rsidR="005331C0" w:rsidRPr="00417288">
              <w:rPr>
                <w:lang w:val="fr-FR"/>
              </w:rPr>
              <w:t xml:space="preserve">la normalisation des </w:t>
            </w:r>
            <w:r w:rsidR="00295507">
              <w:rPr>
                <w:lang w:val="fr-FR"/>
              </w:rPr>
              <w:t xml:space="preserve">télécommunications </w:t>
            </w:r>
            <w:r w:rsidR="005331C0" w:rsidRPr="00417288">
              <w:rPr>
                <w:lang w:val="fr-FR"/>
              </w:rPr>
              <w:t>de l'UIT</w:t>
            </w:r>
          </w:p>
        </w:tc>
      </w:tr>
      <w:tr w:rsidR="00C26BA2" w:rsidRPr="00C062A9" w14:paraId="6B5C3C98" w14:textId="77777777" w:rsidTr="00530525">
        <w:trPr>
          <w:cantSplit/>
        </w:trPr>
        <w:tc>
          <w:tcPr>
            <w:tcW w:w="9811" w:type="dxa"/>
            <w:gridSpan w:val="5"/>
          </w:tcPr>
          <w:p w14:paraId="1B42C3BF" w14:textId="77777777" w:rsidR="00C26BA2" w:rsidRPr="00417288" w:rsidRDefault="00C26BA2" w:rsidP="00D022DF">
            <w:pPr>
              <w:pStyle w:val="Agendaitem"/>
              <w:rPr>
                <w:lang w:val="fr-FR"/>
              </w:rPr>
            </w:pPr>
          </w:p>
        </w:tc>
      </w:tr>
      <w:tr w:rsidR="00E11197" w:rsidRPr="00C062A9" w14:paraId="369CB960" w14:textId="77777777" w:rsidTr="00295507">
        <w:trPr>
          <w:cantSplit/>
        </w:trPr>
        <w:tc>
          <w:tcPr>
            <w:tcW w:w="1912" w:type="dxa"/>
            <w:gridSpan w:val="2"/>
          </w:tcPr>
          <w:p w14:paraId="69BFFD0F" w14:textId="77777777" w:rsidR="00E11197" w:rsidRPr="00417288" w:rsidRDefault="00E11197" w:rsidP="00D022DF">
            <w:pPr>
              <w:rPr>
                <w:lang w:val="fr-FR"/>
              </w:rPr>
            </w:pPr>
            <w:r w:rsidRPr="00417288">
              <w:rPr>
                <w:b/>
                <w:bCs/>
                <w:lang w:val="fr-FR"/>
              </w:rPr>
              <w:t>Résumé:</w:t>
            </w:r>
          </w:p>
        </w:tc>
        <w:sdt>
          <w:sdtPr>
            <w:rPr>
              <w:color w:val="000000" w:themeColor="text1"/>
              <w:lang w:val="fr-FR"/>
            </w:rPr>
            <w:alias w:val="Abstract"/>
            <w:tag w:val="Abstract"/>
            <w:id w:val="-939903723"/>
            <w:placeholder>
              <w:docPart w:val="CEF0515E39224C1BB445B352EB3113A9"/>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7899" w:type="dxa"/>
                <w:gridSpan w:val="3"/>
              </w:tcPr>
              <w:p w14:paraId="055C079D" w14:textId="2B96EC41" w:rsidR="00E11197" w:rsidRPr="00417288" w:rsidRDefault="00417288" w:rsidP="00D022DF">
                <w:pPr>
                  <w:rPr>
                    <w:color w:val="000000" w:themeColor="text1"/>
                    <w:lang w:val="fr-FR"/>
                  </w:rPr>
                </w:pPr>
                <w:r w:rsidRPr="00417288">
                  <w:rPr>
                    <w:color w:val="000000" w:themeColor="text1"/>
                    <w:lang w:val="fr-FR"/>
                  </w:rPr>
                  <w:t xml:space="preserve">Dans le présent document, les Administrations des pays membres de la Télécommunauté Asie-Pacifique </w:t>
                </w:r>
                <w:r w:rsidR="00BE7A73">
                  <w:rPr>
                    <w:color w:val="000000" w:themeColor="text1"/>
                    <w:lang w:val="fr-FR"/>
                  </w:rPr>
                  <w:t xml:space="preserve">proposent </w:t>
                </w:r>
                <w:r w:rsidRPr="00417288">
                  <w:rPr>
                    <w:color w:val="000000" w:themeColor="text1"/>
                    <w:lang w:val="fr-FR"/>
                  </w:rPr>
                  <w:t xml:space="preserve">de </w:t>
                </w:r>
                <w:r w:rsidR="00CD1887">
                  <w:rPr>
                    <w:color w:val="000000" w:themeColor="text1"/>
                    <w:lang w:val="fr-FR"/>
                  </w:rPr>
                  <w:t>ne pas modifier</w:t>
                </w:r>
                <w:r w:rsidRPr="00417288">
                  <w:rPr>
                    <w:color w:val="000000" w:themeColor="text1"/>
                    <w:lang w:val="fr-FR"/>
                  </w:rPr>
                  <w:t xml:space="preserve"> la Recommandation UIT-T A.1.</w:t>
                </w:r>
              </w:p>
            </w:tc>
          </w:sdtContent>
        </w:sdt>
      </w:tr>
    </w:tbl>
    <w:p w14:paraId="17EB5572" w14:textId="77777777" w:rsidR="00A57F3E" w:rsidRPr="007265F1" w:rsidRDefault="00A57F3E" w:rsidP="00D022DF">
      <w:pPr>
        <w:pStyle w:val="Headingb"/>
      </w:pPr>
      <w:r w:rsidRPr="007265F1">
        <w:t>Introduction</w:t>
      </w:r>
    </w:p>
    <w:p w14:paraId="3A39AE50" w14:textId="3F9C613C" w:rsidR="00417288" w:rsidRDefault="00417288" w:rsidP="00DB4477">
      <w:pPr>
        <w:rPr>
          <w:lang w:val="fr-FR"/>
        </w:rPr>
      </w:pPr>
      <w:r w:rsidRPr="00417288">
        <w:rPr>
          <w:lang w:val="fr-FR"/>
        </w:rPr>
        <w:t>Lors de la dernière réunion du GCNT en juillet 2016, il a été longuement débattu d'un</w:t>
      </w:r>
      <w:r w:rsidR="004A2B21">
        <w:rPr>
          <w:lang w:val="fr-FR"/>
        </w:rPr>
        <w:t>e</w:t>
      </w:r>
      <w:r w:rsidRPr="00417288">
        <w:rPr>
          <w:lang w:val="fr-FR"/>
        </w:rPr>
        <w:t xml:space="preserve"> possible ré</w:t>
      </w:r>
      <w:r w:rsidR="004A2B21">
        <w:rPr>
          <w:lang w:val="fr-FR"/>
        </w:rPr>
        <w:t>vision</w:t>
      </w:r>
      <w:r w:rsidRPr="00417288">
        <w:rPr>
          <w:lang w:val="fr-FR"/>
        </w:rPr>
        <w:t xml:space="preserve"> de la</w:t>
      </w:r>
      <w:r>
        <w:rPr>
          <w:lang w:val="fr-FR"/>
        </w:rPr>
        <w:t xml:space="preserve"> Recommandation UIT-T A.1, "</w:t>
      </w:r>
      <w:r w:rsidRPr="00417288">
        <w:rPr>
          <w:lang w:val="fr-FR"/>
        </w:rPr>
        <w:t>Méthodes de travail des Commissions d'études du Secteur de</w:t>
      </w:r>
      <w:r>
        <w:rPr>
          <w:lang w:val="fr-FR"/>
        </w:rPr>
        <w:t xml:space="preserve"> </w:t>
      </w:r>
      <w:r w:rsidRPr="00417288">
        <w:rPr>
          <w:lang w:val="fr-FR"/>
        </w:rPr>
        <w:t>la normalisation des télécommunications de l'UIT</w:t>
      </w:r>
      <w:r>
        <w:rPr>
          <w:lang w:val="fr-FR"/>
        </w:rPr>
        <w:t>".</w:t>
      </w:r>
      <w:r w:rsidR="005970B0">
        <w:rPr>
          <w:lang w:val="fr-FR"/>
        </w:rPr>
        <w:t xml:space="preserve"> Parmi plu</w:t>
      </w:r>
      <w:r w:rsidR="00DB4477">
        <w:rPr>
          <w:lang w:val="fr-FR"/>
        </w:rPr>
        <w:t>sieurs suggestions concernant la</w:t>
      </w:r>
      <w:r w:rsidR="005970B0">
        <w:rPr>
          <w:lang w:val="fr-FR"/>
        </w:rPr>
        <w:t xml:space="preserve"> ré</w:t>
      </w:r>
      <w:r w:rsidR="004A2B21">
        <w:rPr>
          <w:lang w:val="fr-FR"/>
        </w:rPr>
        <w:t>vision</w:t>
      </w:r>
      <w:r w:rsidR="005970B0">
        <w:rPr>
          <w:lang w:val="fr-FR"/>
        </w:rPr>
        <w:t xml:space="preserve"> de la Recommandation UIT-T A.1, l'APT souhaite attirer l'attention sur </w:t>
      </w:r>
      <w:r w:rsidR="00EB5EDF">
        <w:rPr>
          <w:lang w:val="fr-FR"/>
        </w:rPr>
        <w:t>la condition</w:t>
      </w:r>
      <w:r w:rsidR="005970B0">
        <w:rPr>
          <w:lang w:val="fr-FR"/>
        </w:rPr>
        <w:t xml:space="preserve"> relative à un nouveau sujet d'études, qui a été proposée par la France et le Royaume-Uni (</w:t>
      </w:r>
      <w:hyperlink r:id="rId12" w:history="1">
        <w:r w:rsidR="005970B0" w:rsidRPr="00DB4477">
          <w:rPr>
            <w:rStyle w:val="Hyperlink"/>
            <w:lang w:val="fr-FR"/>
          </w:rPr>
          <w:t>GCNT C-86</w:t>
        </w:r>
      </w:hyperlink>
      <w:r w:rsidR="00DB4477">
        <w:rPr>
          <w:lang w:val="fr-FR"/>
        </w:rPr>
        <w:t>),</w:t>
      </w:r>
      <w:r w:rsidR="005970B0">
        <w:rPr>
          <w:lang w:val="fr-FR"/>
        </w:rPr>
        <w:t xml:space="preserve"> </w:t>
      </w:r>
      <w:r w:rsidR="00DB4477">
        <w:rPr>
          <w:lang w:val="fr-FR"/>
        </w:rPr>
        <w:t>l</w:t>
      </w:r>
      <w:r w:rsidR="00EB5EDF">
        <w:rPr>
          <w:lang w:val="fr-FR"/>
        </w:rPr>
        <w:t xml:space="preserve">a proposition </w:t>
      </w:r>
      <w:r w:rsidR="004A2B21">
        <w:rPr>
          <w:lang w:val="fr-FR"/>
        </w:rPr>
        <w:t xml:space="preserve">motivée par le fait qu'il est nécessaire </w:t>
      </w:r>
      <w:r w:rsidR="0032186C">
        <w:rPr>
          <w:lang w:val="fr-FR"/>
        </w:rPr>
        <w:t>de disposer de normes internationales de qualité et élaborées en fonction de la demande.</w:t>
      </w:r>
    </w:p>
    <w:p w14:paraId="24B96598" w14:textId="77777777" w:rsidR="007265F1" w:rsidRDefault="0032186C" w:rsidP="00D022DF">
      <w:pPr>
        <w:rPr>
          <w:lang w:val="fr-FR"/>
        </w:rPr>
      </w:pPr>
      <w:r>
        <w:rPr>
          <w:lang w:val="fr-FR"/>
        </w:rPr>
        <w:t xml:space="preserve">On trouvera ci-dessous quelques observations au sujet de </w:t>
      </w:r>
      <w:r w:rsidR="00EB5EDF">
        <w:rPr>
          <w:lang w:val="fr-FR"/>
        </w:rPr>
        <w:t>la condition proposée</w:t>
      </w:r>
      <w:r>
        <w:rPr>
          <w:lang w:val="fr-FR"/>
        </w:rPr>
        <w:t xml:space="preserve"> dont il est question ci-dessus:</w:t>
      </w:r>
    </w:p>
    <w:p w14:paraId="3EDEAC70" w14:textId="37DF2AD6" w:rsidR="0032186C" w:rsidRDefault="007265F1" w:rsidP="00723F74">
      <w:pPr>
        <w:pStyle w:val="enumlev1"/>
        <w:rPr>
          <w:lang w:val="fr-FR"/>
        </w:rPr>
      </w:pPr>
      <w:r>
        <w:rPr>
          <w:lang w:val="fr-FR"/>
        </w:rPr>
        <w:t>1</w:t>
      </w:r>
      <w:r w:rsidR="004761DD">
        <w:rPr>
          <w:lang w:val="fr-FR"/>
        </w:rPr>
        <w:t>)</w:t>
      </w:r>
      <w:r>
        <w:rPr>
          <w:lang w:val="fr-FR"/>
        </w:rPr>
        <w:tab/>
      </w:r>
      <w:r w:rsidR="00EB5EDF">
        <w:rPr>
          <w:lang w:val="fr-FR"/>
        </w:rPr>
        <w:t>La condition</w:t>
      </w:r>
      <w:r w:rsidR="0032186C">
        <w:rPr>
          <w:lang w:val="fr-FR"/>
        </w:rPr>
        <w:t xml:space="preserve"> obligatoire qui est proposée relativement à un nouveau sujet d'études </w:t>
      </w:r>
      <w:r w:rsidR="005E17E9">
        <w:rPr>
          <w:lang w:val="fr-FR"/>
        </w:rPr>
        <w:t>porte sur</w:t>
      </w:r>
      <w:r w:rsidR="007F1565">
        <w:rPr>
          <w:lang w:val="fr-FR"/>
        </w:rPr>
        <w:t xml:space="preserve"> </w:t>
      </w:r>
      <w:r w:rsidR="00EB5EDF">
        <w:rPr>
          <w:lang w:val="fr-FR"/>
        </w:rPr>
        <w:t>"au moins quatre entités de quatre pays différents". Toutefois, le "nombre" ne garantit pas la qualité d'une Recommandation. Si la préoccupation principale est la "qualité", il existe déjà des procédures bien établies pour l'approbation finale des Recom</w:t>
      </w:r>
      <w:r w:rsidR="0010072D">
        <w:rPr>
          <w:lang w:val="fr-FR"/>
        </w:rPr>
        <w:t>mandations. Pendant les débats de la dernière réunion du GCNT, il a ég</w:t>
      </w:r>
      <w:r w:rsidR="004A2B21">
        <w:rPr>
          <w:lang w:val="fr-FR"/>
        </w:rPr>
        <w:t>alement</w:t>
      </w:r>
      <w:r w:rsidR="009D4A04">
        <w:rPr>
          <w:lang w:val="fr-FR"/>
        </w:rPr>
        <w:t xml:space="preserve"> été suggéré que </w:t>
      </w:r>
      <w:r w:rsidR="004A2B21">
        <w:rPr>
          <w:lang w:val="fr-FR"/>
        </w:rPr>
        <w:t>"plus d</w:t>
      </w:r>
      <w:r w:rsidR="0010072D">
        <w:rPr>
          <w:lang w:val="fr-FR"/>
        </w:rPr>
        <w:t xml:space="preserve">'un pays" soit la condition à remplir </w:t>
      </w:r>
      <w:r w:rsidR="005E17E9">
        <w:rPr>
          <w:lang w:val="fr-FR"/>
        </w:rPr>
        <w:t>pour entreprendre l'élaboration de normes internationales. Néanmoins, la p</w:t>
      </w:r>
      <w:r w:rsidR="004A2B21">
        <w:rPr>
          <w:lang w:val="fr-FR"/>
        </w:rPr>
        <w:t>roposition d'un nombre, "plus d</w:t>
      </w:r>
      <w:r w:rsidR="005E17E9">
        <w:rPr>
          <w:lang w:val="fr-FR"/>
        </w:rPr>
        <w:t>'un pays" ou "au moins quatre</w:t>
      </w:r>
      <w:r w:rsidR="004A2B21">
        <w:rPr>
          <w:lang w:val="fr-FR"/>
        </w:rPr>
        <w:t xml:space="preserve">", ne saurait garantir </w:t>
      </w:r>
      <w:r w:rsidR="005E17E9">
        <w:rPr>
          <w:lang w:val="fr-FR"/>
        </w:rPr>
        <w:t>la qualité d'une norme internationale.</w:t>
      </w:r>
    </w:p>
    <w:p w14:paraId="7F8A2903" w14:textId="6A7C8B04" w:rsidR="005E17E9" w:rsidRDefault="007265F1" w:rsidP="00D022DF">
      <w:pPr>
        <w:pStyle w:val="enumlev1"/>
        <w:rPr>
          <w:lang w:val="fr-FR"/>
        </w:rPr>
      </w:pPr>
      <w:r>
        <w:rPr>
          <w:lang w:val="fr-FR"/>
        </w:rPr>
        <w:t>2</w:t>
      </w:r>
      <w:r w:rsidR="004761DD">
        <w:rPr>
          <w:lang w:val="fr-FR"/>
        </w:rPr>
        <w:t>)</w:t>
      </w:r>
      <w:r>
        <w:rPr>
          <w:lang w:val="fr-FR"/>
        </w:rPr>
        <w:tab/>
      </w:r>
      <w:r w:rsidR="007F1565">
        <w:rPr>
          <w:lang w:val="fr-FR"/>
        </w:rPr>
        <w:t xml:space="preserve">Certains membres ont évoqué la condition pour une proposition d'étude nouvelle de l'ISO/CEI JTC 1. Cependant, les deux organisations ont des procédures d'approbation </w:t>
      </w:r>
      <w:r w:rsidR="007F1565">
        <w:rPr>
          <w:lang w:val="fr-FR"/>
        </w:rPr>
        <w:lastRenderedPageBreak/>
        <w:t>des normes différentes. L'ISO/CEI JTC 1 travaille avec un système de vote, tandis que l'UIT-T travaille par consensus. En raison de</w:t>
      </w:r>
      <w:r w:rsidR="00305B78">
        <w:rPr>
          <w:lang w:val="fr-FR"/>
        </w:rPr>
        <w:t>s différences fondamentales dans leurs procédures d'approbation, u</w:t>
      </w:r>
      <w:r w:rsidR="007F1565">
        <w:rPr>
          <w:lang w:val="fr-FR"/>
        </w:rPr>
        <w:t xml:space="preserve">ne simple comparaison des deux organisations n'est pas </w:t>
      </w:r>
      <w:r w:rsidR="00305B78">
        <w:rPr>
          <w:lang w:val="fr-FR"/>
        </w:rPr>
        <w:t>pertinente</w:t>
      </w:r>
      <w:r w:rsidR="007F1565">
        <w:rPr>
          <w:lang w:val="fr-FR"/>
        </w:rPr>
        <w:t xml:space="preserve"> lorsqu'il s'agit d'identifier les conditions relatives à un nouveau sujet d'études.</w:t>
      </w:r>
    </w:p>
    <w:p w14:paraId="7254609B" w14:textId="46EE0F4A" w:rsidR="00305B78" w:rsidRDefault="007265F1" w:rsidP="00D022DF">
      <w:pPr>
        <w:pStyle w:val="enumlev1"/>
        <w:rPr>
          <w:lang w:val="fr-FR"/>
        </w:rPr>
      </w:pPr>
      <w:r>
        <w:rPr>
          <w:lang w:val="fr-FR"/>
        </w:rPr>
        <w:t>3</w:t>
      </w:r>
      <w:r w:rsidR="004761DD">
        <w:rPr>
          <w:lang w:val="fr-FR"/>
        </w:rPr>
        <w:t>)</w:t>
      </w:r>
      <w:r>
        <w:rPr>
          <w:lang w:val="fr-FR"/>
        </w:rPr>
        <w:tab/>
      </w:r>
      <w:r w:rsidR="00305B78">
        <w:rPr>
          <w:lang w:val="fr-FR"/>
        </w:rPr>
        <w:t>Le gabarit</w:t>
      </w:r>
      <w:r w:rsidR="00D921CE">
        <w:rPr>
          <w:lang w:val="fr-FR"/>
        </w:rPr>
        <w:t xml:space="preserve"> à utiliser pour un nouveau sujet d'études, qui figure à l'Annexe A de la Recommandation UIT-T A.1, a été élaboré par le GCNT pendant la dernière période d'études</w:t>
      </w:r>
      <w:r w:rsidR="00E30749">
        <w:rPr>
          <w:lang w:val="fr-FR"/>
        </w:rPr>
        <w:t xml:space="preserve">; il avait à l'origine été proposé pour permettre un examen sans encombre pendant les séances plénières des groupes de travail ou les séances plénières de clôture et pour aider les Rapporteurs à </w:t>
      </w:r>
      <w:r w:rsidR="00661027">
        <w:rPr>
          <w:lang w:val="fr-FR"/>
        </w:rPr>
        <w:t>mener à bien la tâche qui leur incombait, à savoir veiller à la qualité du programme de travail de chaque commission d'études</w:t>
      </w:r>
      <w:r w:rsidR="004A2B21">
        <w:rPr>
          <w:lang w:val="fr-FR"/>
        </w:rPr>
        <w:t xml:space="preserve"> et garantir qu'il soit mené à bonne fin</w:t>
      </w:r>
      <w:r w:rsidR="00661027">
        <w:rPr>
          <w:lang w:val="fr-FR"/>
        </w:rPr>
        <w:t>.</w:t>
      </w:r>
    </w:p>
    <w:p w14:paraId="02D1B0AA" w14:textId="714D1403" w:rsidR="00297E53" w:rsidRDefault="007265F1" w:rsidP="00D022DF">
      <w:pPr>
        <w:pStyle w:val="enumlev1"/>
        <w:rPr>
          <w:lang w:val="fr-FR"/>
        </w:rPr>
      </w:pPr>
      <w:r>
        <w:rPr>
          <w:lang w:val="fr-FR"/>
        </w:rPr>
        <w:tab/>
      </w:r>
      <w:r w:rsidR="00297E53">
        <w:rPr>
          <w:lang w:val="fr-FR"/>
        </w:rPr>
        <w:t xml:space="preserve">Cependant, l'ajout d'une condition obligatoire relative à un nouveau sujet d'études </w:t>
      </w:r>
      <w:r w:rsidR="00C56A6A">
        <w:rPr>
          <w:lang w:val="fr-FR"/>
        </w:rPr>
        <w:t xml:space="preserve">fera du gabarit une contrainte réglementaire supplémentaire susceptible de décourager les membres de participer activement à l'élaboration des Recommandations. De plus, il est possible que le gabarit ne soit pas utilisable par les commissions d'études qui élaborent des normes en </w:t>
      </w:r>
      <w:r w:rsidR="00295A45">
        <w:rPr>
          <w:lang w:val="fr-FR"/>
        </w:rPr>
        <w:t>collaboration</w:t>
      </w:r>
      <w:r w:rsidR="00C56A6A">
        <w:rPr>
          <w:lang w:val="fr-FR"/>
        </w:rPr>
        <w:t xml:space="preserve"> avec d'autres </w:t>
      </w:r>
      <w:r w:rsidR="00295A45">
        <w:rPr>
          <w:lang w:val="fr-FR"/>
        </w:rPr>
        <w:t>organismes</w:t>
      </w:r>
      <w:r w:rsidR="00C56A6A">
        <w:rPr>
          <w:lang w:val="fr-FR"/>
        </w:rPr>
        <w:t xml:space="preserve"> de normalisation (voir </w:t>
      </w:r>
      <w:hyperlink r:id="rId13" w:history="1">
        <w:r w:rsidR="00C56A6A" w:rsidRPr="00723F74">
          <w:rPr>
            <w:rStyle w:val="Hyperlink"/>
            <w:lang w:val="fr-FR"/>
          </w:rPr>
          <w:t>GCNT C58 (2009-2012), France</w:t>
        </w:r>
      </w:hyperlink>
      <w:r w:rsidR="00C56A6A">
        <w:rPr>
          <w:lang w:val="fr-FR"/>
        </w:rPr>
        <w:t>).</w:t>
      </w:r>
    </w:p>
    <w:p w14:paraId="7C873F20" w14:textId="49FB431F" w:rsidR="007265F1" w:rsidRDefault="007265F1" w:rsidP="00D022DF">
      <w:pPr>
        <w:pStyle w:val="enumlev1"/>
        <w:rPr>
          <w:lang w:val="fr-FR"/>
        </w:rPr>
      </w:pPr>
      <w:r>
        <w:rPr>
          <w:lang w:val="fr-FR"/>
        </w:rPr>
        <w:tab/>
      </w:r>
      <w:r w:rsidR="00C56A6A">
        <w:rPr>
          <w:lang w:val="fr-FR"/>
        </w:rPr>
        <w:t>La même question s'est posée lors d'une réunion ad hoc visant à ré</w:t>
      </w:r>
      <w:r w:rsidR="009D4A04">
        <w:rPr>
          <w:lang w:val="fr-FR"/>
        </w:rPr>
        <w:t>viser</w:t>
      </w:r>
      <w:r w:rsidR="00C56A6A">
        <w:rPr>
          <w:lang w:val="fr-FR"/>
        </w:rPr>
        <w:t xml:space="preserve"> la Recommandation </w:t>
      </w:r>
      <w:r w:rsidR="00295A45">
        <w:rPr>
          <w:lang w:val="fr-FR"/>
        </w:rPr>
        <w:t>UIT-T A.1, mais</w:t>
      </w:r>
      <w:r w:rsidR="00C56A6A">
        <w:rPr>
          <w:lang w:val="fr-FR"/>
        </w:rPr>
        <w:t xml:space="preserve"> </w:t>
      </w:r>
      <w:r w:rsidR="00295A45">
        <w:rPr>
          <w:lang w:val="fr-FR"/>
        </w:rPr>
        <w:t>a</w:t>
      </w:r>
      <w:r w:rsidR="00C56A6A">
        <w:rPr>
          <w:lang w:val="fr-FR"/>
        </w:rPr>
        <w:t xml:space="preserve">ucune décision n'a été prise (voir </w:t>
      </w:r>
      <w:hyperlink r:id="rId14" w:history="1">
        <w:r w:rsidR="00C56A6A" w:rsidRPr="00723F74">
          <w:rPr>
            <w:rStyle w:val="Hyperlink"/>
            <w:lang w:val="fr-FR"/>
          </w:rPr>
          <w:t>GCNT TD-354 (2009-2012</w:t>
        </w:r>
      </w:hyperlink>
      <w:r w:rsidR="00C56A6A">
        <w:rPr>
          <w:lang w:val="fr-FR"/>
        </w:rPr>
        <w:t>)).</w:t>
      </w:r>
    </w:p>
    <w:p w14:paraId="738C870A" w14:textId="35CD66DF" w:rsidR="00C56A6A" w:rsidRPr="00E44DAF" w:rsidRDefault="007265F1" w:rsidP="007705F0">
      <w:pPr>
        <w:pStyle w:val="enumlev1"/>
        <w:rPr>
          <w:lang w:val="fr-FR"/>
        </w:rPr>
      </w:pPr>
      <w:r>
        <w:rPr>
          <w:lang w:val="fr-FR"/>
        </w:rPr>
        <w:t>4</w:t>
      </w:r>
      <w:r w:rsidR="004761DD">
        <w:rPr>
          <w:lang w:val="fr-FR"/>
        </w:rPr>
        <w:t>)</w:t>
      </w:r>
      <w:r>
        <w:rPr>
          <w:lang w:val="fr-FR"/>
        </w:rPr>
        <w:tab/>
      </w:r>
      <w:r w:rsidR="00C56A6A">
        <w:rPr>
          <w:lang w:val="fr-FR"/>
        </w:rPr>
        <w:t>La participation des pays en développement est encouragée par plusieurs Résolutions de l'AMNT, par exemple les Résolutions 44, 59, 74, etc.</w:t>
      </w:r>
      <w:r w:rsidR="001C539A">
        <w:rPr>
          <w:lang w:val="fr-FR"/>
        </w:rPr>
        <w:t xml:space="preserve"> </w:t>
      </w:r>
      <w:r w:rsidR="00A86021">
        <w:rPr>
          <w:lang w:val="fr-FR"/>
        </w:rPr>
        <w:t xml:space="preserve">Afin de tenir compte de ces Résolutions et </w:t>
      </w:r>
      <w:r w:rsidR="001C539A">
        <w:rPr>
          <w:lang w:val="fr-FR"/>
        </w:rPr>
        <w:t xml:space="preserve">de favoriser la participation des pays en développement, il est nécessaire de </w:t>
      </w:r>
      <w:r w:rsidR="00A86021">
        <w:rPr>
          <w:lang w:val="fr-FR"/>
        </w:rPr>
        <w:t>redoubler d'efforts.</w:t>
      </w:r>
      <w:r w:rsidR="00FD45D3">
        <w:rPr>
          <w:lang w:val="fr-FR"/>
        </w:rPr>
        <w:t xml:space="preserve"> </w:t>
      </w:r>
      <w:r w:rsidR="003D131D">
        <w:rPr>
          <w:lang w:val="fr-FR"/>
        </w:rPr>
        <w:t>L'ajout</w:t>
      </w:r>
      <w:r w:rsidR="00FD45D3">
        <w:rPr>
          <w:lang w:val="fr-FR"/>
        </w:rPr>
        <w:t xml:space="preserve"> de conditions obligatoires</w:t>
      </w:r>
      <w:r w:rsidR="00E44DAF">
        <w:rPr>
          <w:lang w:val="fr-FR"/>
        </w:rPr>
        <w:t xml:space="preserve"> pour l'élaboration de Recommandations peut avoir des conséquences négatives sur la participation de</w:t>
      </w:r>
      <w:r w:rsidR="003D131D">
        <w:rPr>
          <w:lang w:val="fr-FR"/>
        </w:rPr>
        <w:t xml:space="preserve"> ce</w:t>
      </w:r>
      <w:r w:rsidR="00E44DAF">
        <w:rPr>
          <w:lang w:val="fr-FR"/>
        </w:rPr>
        <w:t>s pays.</w:t>
      </w:r>
    </w:p>
    <w:p w14:paraId="06BFE872" w14:textId="77777777" w:rsidR="00A57F3E" w:rsidRPr="007265F1" w:rsidRDefault="00A57F3E" w:rsidP="00D022DF">
      <w:pPr>
        <w:pStyle w:val="Headingb"/>
      </w:pPr>
      <w:r w:rsidRPr="007265F1">
        <w:t>Proposition</w:t>
      </w:r>
    </w:p>
    <w:p w14:paraId="0B45073A" w14:textId="7F0CDFF7" w:rsidR="00A57F3E" w:rsidRDefault="00E44DAF" w:rsidP="00D022DF">
      <w:pPr>
        <w:rPr>
          <w:lang w:val="fr-FR"/>
        </w:rPr>
      </w:pPr>
      <w:r>
        <w:rPr>
          <w:lang w:val="fr-FR"/>
        </w:rPr>
        <w:t>Les Administrations des pays membres de l'APT participent activement aux travaux de normalisation d</w:t>
      </w:r>
      <w:r w:rsidR="009D4A04">
        <w:rPr>
          <w:lang w:val="fr-FR"/>
        </w:rPr>
        <w:t>e l'UIT-T. Toutefois, l'ajout d'une condition obligatoire</w:t>
      </w:r>
      <w:r w:rsidR="00024C35">
        <w:rPr>
          <w:lang w:val="fr-FR"/>
        </w:rPr>
        <w:t xml:space="preserve">, à savoir "au moins quatre entités (Etats Membres, </w:t>
      </w:r>
      <w:r w:rsidR="009D4A04">
        <w:rPr>
          <w:lang w:val="fr-FR"/>
        </w:rPr>
        <w:t xml:space="preserve">Membres de Secteur, Associés, établissements universitaires) </w:t>
      </w:r>
      <w:r w:rsidR="00024C35">
        <w:rPr>
          <w:lang w:val="fr-FR"/>
        </w:rPr>
        <w:t>de quatre pays différents pour un nouveau sujet d'études", au paragraphe 1.4.7 de la Recommandation UIT-T A.1, peut être un frein à la participation des membres pour les raisons exposées dans le paragraphe 1 ci-dessus.</w:t>
      </w:r>
    </w:p>
    <w:p w14:paraId="47085D4B" w14:textId="4496E0BC" w:rsidR="00024C35" w:rsidRPr="00417288" w:rsidRDefault="00024C35" w:rsidP="00D022DF">
      <w:pPr>
        <w:rPr>
          <w:lang w:val="fr-FR"/>
        </w:rPr>
      </w:pPr>
      <w:r>
        <w:rPr>
          <w:lang w:val="fr-FR"/>
        </w:rPr>
        <w:t xml:space="preserve">Par conséquent, les Administrations des pays membres de l'APT proposent de laisser le paragraphe 1.4.7 de la Recommandation UIT-T A.1 inchangé et de ne pas ajouter de condition obligatoire. Nous souhaiterions également que le TSB </w:t>
      </w:r>
      <w:r w:rsidR="00A5352E">
        <w:rPr>
          <w:lang w:val="fr-FR"/>
        </w:rPr>
        <w:t xml:space="preserve">fournisse </w:t>
      </w:r>
      <w:r>
        <w:rPr>
          <w:lang w:val="fr-FR"/>
        </w:rPr>
        <w:t xml:space="preserve">des </w:t>
      </w:r>
      <w:r w:rsidR="00A5352E">
        <w:rPr>
          <w:lang w:val="fr-FR"/>
        </w:rPr>
        <w:t>directives claires et raisonnables concernant les règles de procédure pour la création de nouveaux sujets d'études, qui seront utilisables par toutes les commissions d'études.</w:t>
      </w:r>
      <w:r>
        <w:rPr>
          <w:lang w:val="fr-FR"/>
        </w:rPr>
        <w:t xml:space="preserve"> </w:t>
      </w:r>
    </w:p>
    <w:p w14:paraId="763045E5" w14:textId="77777777" w:rsidR="0015183D" w:rsidRPr="00417288" w:rsidRDefault="00A57F3E" w:rsidP="00D022DF">
      <w:pPr>
        <w:pStyle w:val="Proposal"/>
        <w:rPr>
          <w:lang w:val="fr-FR"/>
        </w:rPr>
      </w:pPr>
      <w:r w:rsidRPr="00417288">
        <w:rPr>
          <w:u w:val="single"/>
          <w:lang w:val="fr-FR"/>
        </w:rPr>
        <w:lastRenderedPageBreak/>
        <w:t>NOC</w:t>
      </w:r>
      <w:r w:rsidRPr="00417288">
        <w:rPr>
          <w:lang w:val="fr-FR"/>
        </w:rPr>
        <w:tab/>
        <w:t>APT/44A1/1</w:t>
      </w:r>
    </w:p>
    <w:p w14:paraId="34F64E3D" w14:textId="77777777" w:rsidR="00381885" w:rsidRPr="00417288" w:rsidRDefault="00A57F3E" w:rsidP="00D022DF">
      <w:pPr>
        <w:pStyle w:val="RecNo"/>
        <w:rPr>
          <w:lang w:val="fr-FR"/>
        </w:rPr>
      </w:pPr>
      <w:r w:rsidRPr="00417288">
        <w:rPr>
          <w:lang w:val="fr-FR"/>
        </w:rPr>
        <w:t xml:space="preserve">Recommandation UIT-T </w:t>
      </w:r>
      <w:r w:rsidRPr="00417288">
        <w:rPr>
          <w:rStyle w:val="href"/>
          <w:lang w:val="fr-FR"/>
        </w:rPr>
        <w:t>A.1</w:t>
      </w:r>
    </w:p>
    <w:p w14:paraId="6824514D" w14:textId="77777777" w:rsidR="00381885" w:rsidRPr="00417288" w:rsidRDefault="00A57F3E" w:rsidP="009677F9">
      <w:pPr>
        <w:pStyle w:val="Rectitle"/>
        <w:rPr>
          <w:lang w:val="fr-FR"/>
        </w:rPr>
      </w:pPr>
      <w:bookmarkStart w:id="1" w:name="_Toc210104662"/>
      <w:r w:rsidRPr="00417288">
        <w:rPr>
          <w:lang w:val="fr-FR"/>
        </w:rPr>
        <w:t>M</w:t>
      </w:r>
      <w:r w:rsidRPr="00417288">
        <w:rPr>
          <w:lang w:val="fr-FR"/>
        </w:rPr>
        <w:t>é</w:t>
      </w:r>
      <w:r w:rsidRPr="00417288">
        <w:rPr>
          <w:lang w:val="fr-FR"/>
        </w:rPr>
        <w:t>thodes de travail des Commissions d'</w:t>
      </w:r>
      <w:r w:rsidRPr="00417288">
        <w:rPr>
          <w:lang w:val="fr-FR"/>
        </w:rPr>
        <w:t>é</w:t>
      </w:r>
      <w:r w:rsidRPr="00417288">
        <w:rPr>
          <w:lang w:val="fr-FR"/>
        </w:rPr>
        <w:t>tudes du Secteur de</w:t>
      </w:r>
      <w:r w:rsidRPr="00417288">
        <w:rPr>
          <w:lang w:val="fr-FR"/>
        </w:rPr>
        <w:br/>
        <w:t>la normalisation des t</w:t>
      </w:r>
      <w:r w:rsidRPr="00417288">
        <w:rPr>
          <w:lang w:val="fr-FR"/>
        </w:rPr>
        <w:t>é</w:t>
      </w:r>
      <w:r w:rsidRPr="00417288">
        <w:rPr>
          <w:lang w:val="fr-FR"/>
        </w:rPr>
        <w:t>l</w:t>
      </w:r>
      <w:r w:rsidRPr="00417288">
        <w:rPr>
          <w:lang w:val="fr-FR"/>
        </w:rPr>
        <w:t>é</w:t>
      </w:r>
      <w:r w:rsidRPr="00417288">
        <w:rPr>
          <w:lang w:val="fr-FR"/>
        </w:rPr>
        <w:t>communications de l'UIT</w:t>
      </w:r>
      <w:bookmarkEnd w:id="1"/>
    </w:p>
    <w:p w14:paraId="544FDA54" w14:textId="77777777" w:rsidR="00381885" w:rsidRPr="00417288" w:rsidRDefault="00A57F3E" w:rsidP="00D022DF">
      <w:pPr>
        <w:pStyle w:val="Recdate"/>
        <w:rPr>
          <w:rFonts w:hint="eastAsia"/>
          <w:lang w:val="fr-FR"/>
        </w:rPr>
      </w:pPr>
      <w:r w:rsidRPr="00417288">
        <w:rPr>
          <w:lang w:val="fr-FR"/>
        </w:rPr>
        <w:t>(1996; 2000; 2004; 2006; 2008; 2012)</w:t>
      </w:r>
    </w:p>
    <w:p w14:paraId="16779CD0" w14:textId="3437E8B0" w:rsidR="0015183D" w:rsidRDefault="00A57F3E" w:rsidP="00D022DF">
      <w:pPr>
        <w:pStyle w:val="Reasons"/>
        <w:rPr>
          <w:lang w:val="fr-FR"/>
        </w:rPr>
      </w:pPr>
      <w:r w:rsidRPr="00417288">
        <w:rPr>
          <w:b/>
          <w:lang w:val="fr-FR"/>
        </w:rPr>
        <w:t>Motifs:</w:t>
      </w:r>
      <w:r w:rsidRPr="00417288">
        <w:rPr>
          <w:lang w:val="fr-FR"/>
        </w:rPr>
        <w:tab/>
      </w:r>
      <w:r w:rsidR="00A5352E">
        <w:rPr>
          <w:lang w:val="fr-FR"/>
        </w:rPr>
        <w:t>Voir l'I</w:t>
      </w:r>
      <w:r w:rsidR="00315CFE">
        <w:rPr>
          <w:lang w:val="fr-FR"/>
        </w:rPr>
        <w:t>ntroduction et la Proposition de l'Addendum 1 au</w:t>
      </w:r>
      <w:r w:rsidR="00A5352E">
        <w:rPr>
          <w:lang w:val="fr-FR"/>
        </w:rPr>
        <w:t xml:space="preserve"> Document 44 de l'AMNT-16.</w:t>
      </w:r>
    </w:p>
    <w:p w14:paraId="3EF7FC46" w14:textId="77777777" w:rsidR="0073244A" w:rsidRPr="004761DD" w:rsidRDefault="0073244A" w:rsidP="00D022DF">
      <w:pPr>
        <w:pStyle w:val="Reasons"/>
        <w:rPr>
          <w:lang w:val="fr-FR"/>
        </w:rPr>
      </w:pPr>
    </w:p>
    <w:p w14:paraId="4A95ED9C" w14:textId="77777777" w:rsidR="0073244A" w:rsidRDefault="0073244A" w:rsidP="00D022DF">
      <w:pPr>
        <w:jc w:val="center"/>
      </w:pPr>
      <w:r>
        <w:t>______________</w:t>
      </w:r>
    </w:p>
    <w:sectPr w:rsidR="0073244A">
      <w:headerReference w:type="default" r:id="rId15"/>
      <w:footerReference w:type="even" r:id="rId16"/>
      <w:footerReference w:type="default" r:id="rId17"/>
      <w:footerReference w:type="first" r:id="rId18"/>
      <w:type w:val="continuous"/>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8C3FD" w14:textId="77777777" w:rsidR="00345A52" w:rsidRDefault="00345A52">
      <w:r>
        <w:separator/>
      </w:r>
    </w:p>
  </w:endnote>
  <w:endnote w:type="continuationSeparator" w:id="0">
    <w:p w14:paraId="4FCAEAE6" w14:textId="77777777" w:rsidR="00345A52" w:rsidRDefault="0034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A4973" w14:textId="77777777" w:rsidR="00E45D05" w:rsidRDefault="00E45D05">
    <w:pPr>
      <w:framePr w:wrap="around" w:vAnchor="text" w:hAnchor="margin" w:xAlign="right" w:y="1"/>
    </w:pPr>
    <w:r>
      <w:fldChar w:fldCharType="begin"/>
    </w:r>
    <w:r>
      <w:instrText xml:space="preserve">PAGE  </w:instrText>
    </w:r>
    <w:r>
      <w:fldChar w:fldCharType="end"/>
    </w:r>
  </w:p>
  <w:p w14:paraId="2CC08902" w14:textId="77777777" w:rsidR="00E45D05" w:rsidRPr="00295507" w:rsidRDefault="00E45D05">
    <w:pPr>
      <w:ind w:right="360"/>
      <w:rPr>
        <w:lang w:val="fr-FR"/>
      </w:rPr>
    </w:pPr>
    <w:r>
      <w:fldChar w:fldCharType="begin"/>
    </w:r>
    <w:r w:rsidRPr="00295507">
      <w:rPr>
        <w:lang w:val="fr-FR"/>
      </w:rPr>
      <w:instrText xml:space="preserve"> FILENAME \p  \* MERGEFORMAT </w:instrText>
    </w:r>
    <w:r>
      <w:fldChar w:fldCharType="separate"/>
    </w:r>
    <w:r w:rsidR="00295507">
      <w:rPr>
        <w:noProof/>
        <w:lang w:val="fr-FR"/>
      </w:rPr>
      <w:t>P:\FRA\ITU-T\CONF-T\WTSA16\000\044ADD01F.docx</w:t>
    </w:r>
    <w:r>
      <w:fldChar w:fldCharType="end"/>
    </w:r>
    <w:r w:rsidRPr="00295507">
      <w:rPr>
        <w:lang w:val="fr-FR"/>
      </w:rPr>
      <w:tab/>
    </w:r>
    <w:r>
      <w:fldChar w:fldCharType="begin"/>
    </w:r>
    <w:r>
      <w:instrText xml:space="preserve"> SAVEDATE \@ DD.MM.YY </w:instrText>
    </w:r>
    <w:r>
      <w:fldChar w:fldCharType="separate"/>
    </w:r>
    <w:r w:rsidR="00C062A9">
      <w:rPr>
        <w:noProof/>
      </w:rPr>
      <w:t>17.10.16</w:t>
    </w:r>
    <w:r>
      <w:fldChar w:fldCharType="end"/>
    </w:r>
    <w:r w:rsidRPr="00295507">
      <w:rPr>
        <w:lang w:val="fr-FR"/>
      </w:rPr>
      <w:tab/>
    </w:r>
    <w:r>
      <w:fldChar w:fldCharType="begin"/>
    </w:r>
    <w:r>
      <w:instrText xml:space="preserve"> PRINTDATE \@ DD.MM.YY </w:instrText>
    </w:r>
    <w:r>
      <w:fldChar w:fldCharType="separate"/>
    </w:r>
    <w:r w:rsidR="00295507">
      <w:rPr>
        <w:noProof/>
      </w:rPr>
      <w:t>17.10.16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3649F" w14:textId="4B17FB13" w:rsidR="00E45D05" w:rsidRPr="009D4A04" w:rsidRDefault="00E45D05" w:rsidP="00526703">
    <w:pPr>
      <w:pStyle w:val="Footer"/>
      <w:rPr>
        <w:lang w:val="fr-FR"/>
      </w:rPr>
    </w:pPr>
    <w:r>
      <w:fldChar w:fldCharType="begin"/>
    </w:r>
    <w:r w:rsidRPr="009D4A04">
      <w:rPr>
        <w:lang w:val="fr-FR"/>
      </w:rPr>
      <w:instrText xml:space="preserve"> FILENAME \p  \* MERGEFORMAT </w:instrText>
    </w:r>
    <w:r>
      <w:fldChar w:fldCharType="separate"/>
    </w:r>
    <w:r w:rsidR="00295507">
      <w:rPr>
        <w:lang w:val="fr-FR"/>
      </w:rPr>
      <w:t>P:\FRA\ITU-T\CONF-T\WTSA16\000\044ADD01F.docx</w:t>
    </w:r>
    <w:r>
      <w:fldChar w:fldCharType="end"/>
    </w:r>
    <w:r w:rsidR="009D4A04" w:rsidRPr="009D4A04">
      <w:rPr>
        <w:lang w:val="fr-FR"/>
      </w:rPr>
      <w:t xml:space="preserve"> (405889)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827B9" w14:textId="5E001CB9" w:rsidR="00987C1F" w:rsidRPr="009D4A04" w:rsidRDefault="00987C1F" w:rsidP="00526703">
    <w:pPr>
      <w:pStyle w:val="Footer"/>
      <w:rPr>
        <w:lang w:val="fr-FR"/>
      </w:rPr>
    </w:pPr>
    <w:r>
      <w:fldChar w:fldCharType="begin"/>
    </w:r>
    <w:r w:rsidRPr="009D4A04">
      <w:rPr>
        <w:lang w:val="fr-FR"/>
      </w:rPr>
      <w:instrText xml:space="preserve"> FILENAME \p  \* MERGEFORMAT </w:instrText>
    </w:r>
    <w:r>
      <w:fldChar w:fldCharType="separate"/>
    </w:r>
    <w:r w:rsidR="00295507">
      <w:rPr>
        <w:lang w:val="fr-FR"/>
      </w:rPr>
      <w:t>P:\FRA\ITU-T\CONF-T\WTSA16\000\044ADD01F.docx</w:t>
    </w:r>
    <w:r>
      <w:fldChar w:fldCharType="end"/>
    </w:r>
    <w:r w:rsidR="009D4A04" w:rsidRPr="009D4A04">
      <w:rPr>
        <w:lang w:val="fr-FR"/>
      </w:rPr>
      <w:t xml:space="preserve"> (405889)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A176D" w14:textId="77777777" w:rsidR="00345A52" w:rsidRDefault="00345A52">
      <w:r>
        <w:rPr>
          <w:b/>
        </w:rPr>
        <w:t>_______________</w:t>
      </w:r>
    </w:p>
  </w:footnote>
  <w:footnote w:type="continuationSeparator" w:id="0">
    <w:p w14:paraId="393BD84B" w14:textId="77777777" w:rsidR="00345A52" w:rsidRDefault="00345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F3135" w14:textId="77777777" w:rsidR="00987C1F" w:rsidRDefault="00987C1F" w:rsidP="00987C1F">
    <w:pPr>
      <w:pStyle w:val="Header"/>
    </w:pPr>
    <w:r>
      <w:fldChar w:fldCharType="begin"/>
    </w:r>
    <w:r>
      <w:instrText xml:space="preserve"> PAGE </w:instrText>
    </w:r>
    <w:r>
      <w:fldChar w:fldCharType="separate"/>
    </w:r>
    <w:r w:rsidR="00C062A9">
      <w:rPr>
        <w:noProof/>
      </w:rPr>
      <w:t>3</w:t>
    </w:r>
    <w:r>
      <w:fldChar w:fldCharType="end"/>
    </w:r>
  </w:p>
  <w:p w14:paraId="31DF7088" w14:textId="77777777" w:rsidR="00987C1F" w:rsidRDefault="00E07AF5" w:rsidP="00987C1F">
    <w:pPr>
      <w:pStyle w:val="Header"/>
    </w:pPr>
    <w:r>
      <w:t>AMNT16</w:t>
    </w:r>
    <w:r w:rsidR="00987C1F">
      <w:t>/44(Add.1)-</w:t>
    </w:r>
    <w:r w:rsidR="00987C1F"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9F48A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C20E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A44B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5691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9D45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58D0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0271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920D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9EE6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F063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2CBD7896"/>
    <w:multiLevelType w:val="hybridMultilevel"/>
    <w:tmpl w:val="91781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F6"/>
    <w:rsid w:val="000032AD"/>
    <w:rsid w:val="000041EA"/>
    <w:rsid w:val="00022A29"/>
    <w:rsid w:val="00024C35"/>
    <w:rsid w:val="000355FD"/>
    <w:rsid w:val="00051E39"/>
    <w:rsid w:val="0005380B"/>
    <w:rsid w:val="00077239"/>
    <w:rsid w:val="00086491"/>
    <w:rsid w:val="00091346"/>
    <w:rsid w:val="0009706C"/>
    <w:rsid w:val="000A14AF"/>
    <w:rsid w:val="000F73FF"/>
    <w:rsid w:val="0010072D"/>
    <w:rsid w:val="00114CF7"/>
    <w:rsid w:val="00123B68"/>
    <w:rsid w:val="00126F2E"/>
    <w:rsid w:val="00146F6F"/>
    <w:rsid w:val="0015183D"/>
    <w:rsid w:val="00164C14"/>
    <w:rsid w:val="00187BD9"/>
    <w:rsid w:val="00190B55"/>
    <w:rsid w:val="001978FA"/>
    <w:rsid w:val="001A0F27"/>
    <w:rsid w:val="001A265C"/>
    <w:rsid w:val="001C3B5F"/>
    <w:rsid w:val="001C539A"/>
    <w:rsid w:val="001D058F"/>
    <w:rsid w:val="001D581B"/>
    <w:rsid w:val="001D77E9"/>
    <w:rsid w:val="001E1430"/>
    <w:rsid w:val="002009EA"/>
    <w:rsid w:val="00202CA0"/>
    <w:rsid w:val="00216B6D"/>
    <w:rsid w:val="00250AF4"/>
    <w:rsid w:val="00271316"/>
    <w:rsid w:val="00295507"/>
    <w:rsid w:val="00295A45"/>
    <w:rsid w:val="00297E53"/>
    <w:rsid w:val="002B2A75"/>
    <w:rsid w:val="002D58BE"/>
    <w:rsid w:val="002E210D"/>
    <w:rsid w:val="00305B78"/>
    <w:rsid w:val="00315CFE"/>
    <w:rsid w:val="0032186C"/>
    <w:rsid w:val="003236A6"/>
    <w:rsid w:val="00332C56"/>
    <w:rsid w:val="00345A52"/>
    <w:rsid w:val="0035571F"/>
    <w:rsid w:val="00377BD3"/>
    <w:rsid w:val="003832C0"/>
    <w:rsid w:val="00384088"/>
    <w:rsid w:val="0039169B"/>
    <w:rsid w:val="003A7F8C"/>
    <w:rsid w:val="003B1423"/>
    <w:rsid w:val="003B532E"/>
    <w:rsid w:val="003D0F8B"/>
    <w:rsid w:val="003D131D"/>
    <w:rsid w:val="004054F5"/>
    <w:rsid w:val="004079B0"/>
    <w:rsid w:val="0041348E"/>
    <w:rsid w:val="00417288"/>
    <w:rsid w:val="00417AD4"/>
    <w:rsid w:val="00444030"/>
    <w:rsid w:val="004508E2"/>
    <w:rsid w:val="004761DD"/>
    <w:rsid w:val="00476533"/>
    <w:rsid w:val="00492075"/>
    <w:rsid w:val="004969AD"/>
    <w:rsid w:val="004A26C4"/>
    <w:rsid w:val="004A2B21"/>
    <w:rsid w:val="004B13CB"/>
    <w:rsid w:val="004D5D5C"/>
    <w:rsid w:val="004D7BBA"/>
    <w:rsid w:val="004E42A3"/>
    <w:rsid w:val="0050139F"/>
    <w:rsid w:val="00526703"/>
    <w:rsid w:val="00530525"/>
    <w:rsid w:val="005331C0"/>
    <w:rsid w:val="0055140B"/>
    <w:rsid w:val="00595780"/>
    <w:rsid w:val="005964AB"/>
    <w:rsid w:val="005970B0"/>
    <w:rsid w:val="005C099A"/>
    <w:rsid w:val="005C31A5"/>
    <w:rsid w:val="005E10C9"/>
    <w:rsid w:val="005E17E9"/>
    <w:rsid w:val="005E61DD"/>
    <w:rsid w:val="005F0D97"/>
    <w:rsid w:val="006023DF"/>
    <w:rsid w:val="00657DE0"/>
    <w:rsid w:val="00661027"/>
    <w:rsid w:val="00685313"/>
    <w:rsid w:val="0069092B"/>
    <w:rsid w:val="00692833"/>
    <w:rsid w:val="006A6E9B"/>
    <w:rsid w:val="006B249F"/>
    <w:rsid w:val="006B7C2A"/>
    <w:rsid w:val="006C23DA"/>
    <w:rsid w:val="006E013B"/>
    <w:rsid w:val="006E3D45"/>
    <w:rsid w:val="006F580E"/>
    <w:rsid w:val="007149F9"/>
    <w:rsid w:val="00723F74"/>
    <w:rsid w:val="007265F1"/>
    <w:rsid w:val="0073244A"/>
    <w:rsid w:val="00733A30"/>
    <w:rsid w:val="00745AEE"/>
    <w:rsid w:val="00750F10"/>
    <w:rsid w:val="00751636"/>
    <w:rsid w:val="007705F0"/>
    <w:rsid w:val="007742CA"/>
    <w:rsid w:val="00790D70"/>
    <w:rsid w:val="007D5320"/>
    <w:rsid w:val="007F1565"/>
    <w:rsid w:val="008006C5"/>
    <w:rsid w:val="00800972"/>
    <w:rsid w:val="00804475"/>
    <w:rsid w:val="00811633"/>
    <w:rsid w:val="00813B79"/>
    <w:rsid w:val="00864CD2"/>
    <w:rsid w:val="00872FC8"/>
    <w:rsid w:val="008845D0"/>
    <w:rsid w:val="008A69FB"/>
    <w:rsid w:val="008B1AEA"/>
    <w:rsid w:val="008B43F2"/>
    <w:rsid w:val="008B6CFF"/>
    <w:rsid w:val="008C27E9"/>
    <w:rsid w:val="008C6BAA"/>
    <w:rsid w:val="0092425C"/>
    <w:rsid w:val="009274B4"/>
    <w:rsid w:val="00934EA2"/>
    <w:rsid w:val="00940614"/>
    <w:rsid w:val="00944A5C"/>
    <w:rsid w:val="00952A66"/>
    <w:rsid w:val="00957670"/>
    <w:rsid w:val="009677F9"/>
    <w:rsid w:val="00987C1F"/>
    <w:rsid w:val="009C3191"/>
    <w:rsid w:val="009C56E5"/>
    <w:rsid w:val="009D4A04"/>
    <w:rsid w:val="009E5FC8"/>
    <w:rsid w:val="009E687A"/>
    <w:rsid w:val="009F63E2"/>
    <w:rsid w:val="00A066F1"/>
    <w:rsid w:val="00A141AF"/>
    <w:rsid w:val="00A16D29"/>
    <w:rsid w:val="00A30305"/>
    <w:rsid w:val="00A31D2D"/>
    <w:rsid w:val="00A4600A"/>
    <w:rsid w:val="00A5352E"/>
    <w:rsid w:val="00A538A6"/>
    <w:rsid w:val="00A54C25"/>
    <w:rsid w:val="00A57F3E"/>
    <w:rsid w:val="00A710E7"/>
    <w:rsid w:val="00A7372E"/>
    <w:rsid w:val="00A811DC"/>
    <w:rsid w:val="00A86021"/>
    <w:rsid w:val="00A90939"/>
    <w:rsid w:val="00A93B85"/>
    <w:rsid w:val="00A94A88"/>
    <w:rsid w:val="00AA0B18"/>
    <w:rsid w:val="00AA666F"/>
    <w:rsid w:val="00AB5A50"/>
    <w:rsid w:val="00AB7C5F"/>
    <w:rsid w:val="00B31EF6"/>
    <w:rsid w:val="00B639E9"/>
    <w:rsid w:val="00B817CD"/>
    <w:rsid w:val="00B94AD0"/>
    <w:rsid w:val="00BA5265"/>
    <w:rsid w:val="00BB3A95"/>
    <w:rsid w:val="00BB6D50"/>
    <w:rsid w:val="00BE7A73"/>
    <w:rsid w:val="00C0018F"/>
    <w:rsid w:val="00C062A9"/>
    <w:rsid w:val="00C16A5A"/>
    <w:rsid w:val="00C20466"/>
    <w:rsid w:val="00C214ED"/>
    <w:rsid w:val="00C234E6"/>
    <w:rsid w:val="00C26BA2"/>
    <w:rsid w:val="00C324A8"/>
    <w:rsid w:val="00C54517"/>
    <w:rsid w:val="00C56A6A"/>
    <w:rsid w:val="00C64CD8"/>
    <w:rsid w:val="00C97C68"/>
    <w:rsid w:val="00CA1A47"/>
    <w:rsid w:val="00CC247A"/>
    <w:rsid w:val="00CD1887"/>
    <w:rsid w:val="00CE388F"/>
    <w:rsid w:val="00CE5E47"/>
    <w:rsid w:val="00CF020F"/>
    <w:rsid w:val="00CF1E9D"/>
    <w:rsid w:val="00CF2B5B"/>
    <w:rsid w:val="00D022DF"/>
    <w:rsid w:val="00D14CE0"/>
    <w:rsid w:val="00D54009"/>
    <w:rsid w:val="00D5651D"/>
    <w:rsid w:val="00D57A34"/>
    <w:rsid w:val="00D6112A"/>
    <w:rsid w:val="00D74898"/>
    <w:rsid w:val="00D801ED"/>
    <w:rsid w:val="00D921CE"/>
    <w:rsid w:val="00D936BC"/>
    <w:rsid w:val="00D96530"/>
    <w:rsid w:val="00DB4477"/>
    <w:rsid w:val="00DD44AF"/>
    <w:rsid w:val="00DE2AC3"/>
    <w:rsid w:val="00DE5692"/>
    <w:rsid w:val="00E03C94"/>
    <w:rsid w:val="00E07AF5"/>
    <w:rsid w:val="00E11197"/>
    <w:rsid w:val="00E14E2A"/>
    <w:rsid w:val="00E26226"/>
    <w:rsid w:val="00E30749"/>
    <w:rsid w:val="00E44DAF"/>
    <w:rsid w:val="00E45D05"/>
    <w:rsid w:val="00E55816"/>
    <w:rsid w:val="00E55AEF"/>
    <w:rsid w:val="00E84ED7"/>
    <w:rsid w:val="00E917FD"/>
    <w:rsid w:val="00E976C1"/>
    <w:rsid w:val="00EA12E5"/>
    <w:rsid w:val="00EB55C6"/>
    <w:rsid w:val="00EB5EDF"/>
    <w:rsid w:val="00EF2B09"/>
    <w:rsid w:val="00F02766"/>
    <w:rsid w:val="00F05BD4"/>
    <w:rsid w:val="00F461C0"/>
    <w:rsid w:val="00F6155B"/>
    <w:rsid w:val="00F65C19"/>
    <w:rsid w:val="00F7356B"/>
    <w:rsid w:val="00F776DF"/>
    <w:rsid w:val="00F840C7"/>
    <w:rsid w:val="00FD2546"/>
    <w:rsid w:val="00FD45D3"/>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2AD8585"/>
  <w15:docId w15:val="{8F8817FD-C12C-4D5B-9D52-1DDB7F8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Committee">
    <w:name w:val="Committee"/>
    <w:basedOn w:val="Normal"/>
    <w:qFormat/>
    <w:rsid w:val="0069092B"/>
    <w:pPr>
      <w:tabs>
        <w:tab w:val="left" w:pos="851"/>
      </w:tabs>
      <w:spacing w:before="0" w:line="240" w:lineRule="atLeast"/>
    </w:pPr>
    <w:rPr>
      <w:rFonts w:cstheme="minorHAnsi"/>
      <w:b/>
      <w:szCs w:val="24"/>
    </w:rPr>
  </w:style>
  <w:style w:type="paragraph" w:customStyle="1" w:styleId="Volumetitle">
    <w:name w:val="Volume_title"/>
    <w:basedOn w:val="Normal"/>
    <w:qFormat/>
    <w:rsid w:val="0069092B"/>
    <w:pPr>
      <w:jc w:val="center"/>
    </w:pPr>
    <w:rPr>
      <w:b/>
      <w:bCs/>
      <w:sz w:val="28"/>
      <w:szCs w:val="28"/>
    </w:rPr>
  </w:style>
  <w:style w:type="paragraph" w:customStyle="1" w:styleId="AppendixNo">
    <w:name w:val="Appendix_No"/>
    <w:basedOn w:val="AnnexNo"/>
    <w:next w:val="Annexref"/>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69092B"/>
    <w:rPr>
      <w:rFonts w:ascii="Times New Roman Bold" w:hAnsi="Times New Roman Bold"/>
      <w:b/>
    </w:rPr>
  </w:style>
  <w:style w:type="paragraph" w:customStyle="1" w:styleId="Chaptitle">
    <w:name w:val="Chap_title"/>
    <w:basedOn w:val="Normal"/>
    <w:next w:val="Normal"/>
    <w:rsid w:val="0069092B"/>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813B79"/>
    <w:pPr>
      <w:keepNext/>
      <w:keepLines/>
      <w:spacing w:before="480" w:after="120"/>
      <w:jc w:val="center"/>
    </w:pPr>
    <w:rPr>
      <w:caps/>
    </w:rPr>
  </w:style>
  <w:style w:type="paragraph" w:customStyle="1" w:styleId="Figuretitle">
    <w:name w:val="Figure_title"/>
    <w:basedOn w:val="Normal"/>
    <w:next w:val="Normal"/>
    <w:rsid w:val="00813B79"/>
    <w:pPr>
      <w:keepNext/>
      <w:keepLines/>
      <w:spacing w:before="0" w:after="480"/>
      <w:jc w:val="center"/>
    </w:pPr>
    <w:rPr>
      <w:rFonts w:ascii="Times New Roman Bold" w:hAnsi="Times New Roman Bold"/>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745AEE"/>
    <w:rPr>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6B249F"/>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Resref">
    <w:name w:val="Res_ref"/>
    <w:basedOn w:val="Normal"/>
    <w:next w:val="Normal"/>
    <w:qFormat/>
    <w:rsid w:val="00813B79"/>
    <w:pPr>
      <w:keepNext/>
      <w:keepLines/>
      <w:jc w:val="center"/>
    </w:pPr>
    <w:rPr>
      <w:i/>
      <w:lang w:val="fr-FR"/>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BB6D50"/>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E1430"/>
    <w:pPr>
      <w:keepNext/>
      <w:keepLines/>
      <w:jc w:val="right"/>
    </w:pPr>
    <w:rPr>
      <w:rFonts w:ascii="Times New Roman italic" w:hAnsi="Times New Roman italic" w:cs="Times New Roman italic"/>
      <w:i/>
    </w:rPr>
  </w:style>
  <w:style w:type="paragraph" w:customStyle="1" w:styleId="RecNo">
    <w:name w:val="Rec_No"/>
    <w:basedOn w:val="Normal"/>
    <w:next w:val="Normal"/>
    <w:rsid w:val="00A811DC"/>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A811DC"/>
    <w:pPr>
      <w:spacing w:before="240"/>
      <w:jc w:val="center"/>
    </w:pPr>
    <w:rPr>
      <w:rFonts w:ascii="Times New Roman" w:cs="Times New Roman"/>
      <w:bCs/>
    </w:rPr>
  </w:style>
  <w:style w:type="paragraph" w:customStyle="1" w:styleId="ResNo">
    <w:name w:val="Res_No"/>
    <w:basedOn w:val="RecNo"/>
    <w:next w:val="Normal"/>
    <w:rsid w:val="000A14AF"/>
    <w:pPr>
      <w:jc w:val="center"/>
    </w:pPr>
    <w:rPr>
      <w:rFonts w:ascii="Times New Roman" w:hAnsi="Times New Roman" w:cs="Times New Roman"/>
      <w:b w:val="0"/>
      <w:bCs/>
      <w:caps/>
    </w:rPr>
  </w:style>
  <w:style w:type="paragraph" w:customStyle="1" w:styleId="Restitle">
    <w:name w:val="Res_title"/>
    <w:basedOn w:val="Rectitle"/>
    <w:next w:val="Normal"/>
    <w:rsid w:val="00DE2AC3"/>
  </w:style>
  <w:style w:type="paragraph" w:customStyle="1" w:styleId="Opiniontitle">
    <w:name w:val="Opinion_title"/>
    <w:basedOn w:val="Normal"/>
    <w:next w:val="Normal"/>
    <w:qFormat/>
    <w:rsid w:val="00987C1F"/>
    <w:pPr>
      <w:keepNext/>
      <w:keepLines/>
      <w:spacing w:before="240"/>
      <w:jc w:val="center"/>
    </w:pPr>
    <w:rPr>
      <w:rFonts w:ascii="Times New Roman Bold" w:hAnsi="Times New Roman Bold"/>
      <w:b/>
      <w:sz w:val="28"/>
    </w:rPr>
  </w:style>
  <w:style w:type="paragraph" w:customStyle="1" w:styleId="OpinionNo">
    <w:name w:val="Opinion_No"/>
    <w:basedOn w:val="ResNo"/>
    <w:next w:val="Opiniontitle"/>
    <w:qFormat/>
    <w:rsid w:val="00987C1F"/>
    <w:rPr>
      <w:bCs w:val="0"/>
      <w:lang w:val="fr-CH"/>
    </w:rPr>
  </w:style>
  <w:style w:type="paragraph" w:customStyle="1" w:styleId="Opinionref">
    <w:name w:val="Opinion_ref"/>
    <w:basedOn w:val="Annexref"/>
    <w:next w:val="Opiniontitle"/>
    <w:qFormat/>
    <w:rsid w:val="00987C1F"/>
    <w:rPr>
      <w:i/>
      <w:iCs/>
      <w:sz w:val="22"/>
      <w:szCs w:val="22"/>
      <w:lang w:val="fr-CH"/>
    </w:rPr>
  </w:style>
  <w:style w:type="paragraph" w:customStyle="1" w:styleId="Recref">
    <w:name w:val="Rec_ref"/>
    <w:basedOn w:val="Resref"/>
    <w:qFormat/>
    <w:rsid w:val="00813B79"/>
    <w:rPr>
      <w:lang w:val="en-GB"/>
    </w:rPr>
  </w:style>
  <w:style w:type="paragraph" w:customStyle="1" w:styleId="HeadingSummary">
    <w:name w:val="HeadingSummary"/>
    <w:basedOn w:val="Headingb"/>
    <w:qFormat/>
    <w:rsid w:val="00444030"/>
  </w:style>
  <w:style w:type="character" w:styleId="PlaceholderText">
    <w:name w:val="Placeholder Text"/>
    <w:basedOn w:val="DefaultParagraphFont"/>
    <w:uiPriority w:val="99"/>
    <w:semiHidden/>
    <w:rsid w:val="00E11197"/>
    <w:rPr>
      <w:color w:val="808080"/>
    </w:rPr>
  </w:style>
  <w:style w:type="paragraph" w:styleId="BalloonText">
    <w:name w:val="Balloon Text"/>
    <w:basedOn w:val="Normal"/>
    <w:link w:val="BalloonTextChar"/>
    <w:semiHidden/>
    <w:unhideWhenUsed/>
    <w:rsid w:val="0095767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57670"/>
    <w:rPr>
      <w:rFonts w:ascii="Segoe UI" w:hAnsi="Segoe UI" w:cs="Segoe UI"/>
      <w:sz w:val="18"/>
      <w:szCs w:val="18"/>
      <w:lang w:val="en-GB" w:eastAsia="en-US"/>
    </w:rPr>
  </w:style>
  <w:style w:type="character" w:customStyle="1" w:styleId="href">
    <w:name w:val="href"/>
    <w:basedOn w:val="DefaultParagraphFont"/>
    <w:uiPriority w:val="99"/>
    <w:rsid w:val="00381885"/>
  </w:style>
  <w:style w:type="paragraph" w:styleId="ListParagraph">
    <w:name w:val="List Paragraph"/>
    <w:basedOn w:val="Normal"/>
    <w:uiPriority w:val="34"/>
    <w:qFormat/>
    <w:rsid w:val="0032186C"/>
    <w:pPr>
      <w:ind w:left="720"/>
      <w:contextualSpacing/>
    </w:pPr>
  </w:style>
  <w:style w:type="character" w:styleId="CommentReference">
    <w:name w:val="annotation reference"/>
    <w:basedOn w:val="DefaultParagraphFont"/>
    <w:semiHidden/>
    <w:unhideWhenUsed/>
    <w:rsid w:val="001A265C"/>
    <w:rPr>
      <w:sz w:val="16"/>
      <w:szCs w:val="16"/>
    </w:rPr>
  </w:style>
  <w:style w:type="paragraph" w:styleId="CommentText">
    <w:name w:val="annotation text"/>
    <w:basedOn w:val="Normal"/>
    <w:link w:val="CommentTextChar"/>
    <w:semiHidden/>
    <w:unhideWhenUsed/>
    <w:rsid w:val="001A265C"/>
    <w:rPr>
      <w:sz w:val="20"/>
    </w:rPr>
  </w:style>
  <w:style w:type="character" w:customStyle="1" w:styleId="CommentTextChar">
    <w:name w:val="Comment Text Char"/>
    <w:basedOn w:val="DefaultParagraphFont"/>
    <w:link w:val="CommentText"/>
    <w:semiHidden/>
    <w:rsid w:val="001A265C"/>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1A265C"/>
    <w:rPr>
      <w:b/>
      <w:bCs/>
    </w:rPr>
  </w:style>
  <w:style w:type="character" w:customStyle="1" w:styleId="CommentSubjectChar">
    <w:name w:val="Comment Subject Char"/>
    <w:basedOn w:val="CommentTextChar"/>
    <w:link w:val="CommentSubject"/>
    <w:semiHidden/>
    <w:rsid w:val="001A265C"/>
    <w:rPr>
      <w:rFonts w:ascii="Times New Roman" w:hAnsi="Times New Roman"/>
      <w:b/>
      <w:bCs/>
      <w:lang w:val="en-GB" w:eastAsia="en-US"/>
    </w:rPr>
  </w:style>
  <w:style w:type="character" w:styleId="Hyperlink">
    <w:name w:val="Hyperlink"/>
    <w:basedOn w:val="DefaultParagraphFont"/>
    <w:unhideWhenUsed/>
    <w:rsid w:val="00DB4477"/>
    <w:rPr>
      <w:color w:val="0000FF" w:themeColor="hyperlink"/>
      <w:u w:val="single"/>
    </w:rPr>
  </w:style>
  <w:style w:type="character" w:styleId="FollowedHyperlink">
    <w:name w:val="FollowedHyperlink"/>
    <w:basedOn w:val="DefaultParagraphFont"/>
    <w:semiHidden/>
    <w:unhideWhenUsed/>
    <w:rsid w:val="00DB4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u.int/md/T09-TSAG-C-0058"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itu.int/md/T13-TSAG-C-0086/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md/T09-TSAG-120110-TD-GEN-0354/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F0515E39224C1BB445B352EB3113A9"/>
        <w:category>
          <w:name w:val="General"/>
          <w:gallery w:val="placeholder"/>
        </w:category>
        <w:types>
          <w:type w:val="bbPlcHdr"/>
        </w:types>
        <w:behaviors>
          <w:behavior w:val="content"/>
        </w:behaviors>
        <w:guid w:val="{770CC6A0-6393-4EA1-964C-339330291F37}"/>
      </w:docPartPr>
      <w:docPartBody>
        <w:p w:rsidR="00F85344" w:rsidRDefault="00D83E31" w:rsidP="00D83E31">
          <w:pPr>
            <w:pStyle w:val="CEF0515E39224C1BB445B352EB3113A9"/>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31"/>
    <w:rsid w:val="003C792E"/>
    <w:rsid w:val="004228CC"/>
    <w:rsid w:val="00430751"/>
    <w:rsid w:val="004852F1"/>
    <w:rsid w:val="007007B4"/>
    <w:rsid w:val="00832CBF"/>
    <w:rsid w:val="008B3C62"/>
    <w:rsid w:val="00B95CAC"/>
    <w:rsid w:val="00CD1303"/>
    <w:rsid w:val="00D83E31"/>
    <w:rsid w:val="00E52BE5"/>
    <w:rsid w:val="00E927AD"/>
    <w:rsid w:val="00EB6FEA"/>
    <w:rsid w:val="00F3304D"/>
    <w:rsid w:val="00F853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31"/>
    <w:rPr>
      <w:color w:val="808080"/>
    </w:rPr>
  </w:style>
  <w:style w:type="paragraph" w:customStyle="1" w:styleId="CEF0515E39224C1BB445B352EB3113A9">
    <w:name w:val="CEF0515E39224C1BB445B352EB3113A9"/>
    <w:rsid w:val="00D83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95757f5-4c2b-4a67-a869-d4c0e721bfef" targetNamespace="http://schemas.microsoft.com/office/2006/metadata/properties" ma:root="true" ma:fieldsID="d41af5c836d734370eb92e7ee5f83852" ns2:_="" ns3:_="">
    <xsd:import namespace="996b2e75-67fd-4955-a3b0-5ab9934cb50b"/>
    <xsd:import namespace="a95757f5-4c2b-4a67-a869-d4c0e721bfe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95757f5-4c2b-4a67-a869-d4c0e721bfe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a95757f5-4c2b-4a67-a869-d4c0e721bfef">Documents Proposals Manager (DPM)</DPM_x0020_Author>
    <DPM_x0020_File_x0020_name xmlns="a95757f5-4c2b-4a67-a869-d4c0e721bfef">T13-WTSA.16-C-0044!A1!MSW-F</DPM_x0020_File_x0020_name>
    <DPM_x0020_Version xmlns="a95757f5-4c2b-4a67-a869-d4c0e721bfef">DPM_v2016.10.7.1_prod</DPM_x0020_Vers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95757f5-4c2b-4a67-a869-d4c0e721b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infopath/2007/PartnerControls"/>
    <ds:schemaRef ds:uri="http://purl.org/dc/elements/1.1/"/>
    <ds:schemaRef ds:uri="http://purl.org/dc/terms/"/>
    <ds:schemaRef ds:uri="http://schemas.microsoft.com/office/2006/documentManagement/types"/>
    <ds:schemaRef ds:uri="http://schemas.microsoft.com/office/2006/metadata/properties"/>
    <ds:schemaRef ds:uri="996b2e75-67fd-4955-a3b0-5ab9934cb50b"/>
    <ds:schemaRef ds:uri="a95757f5-4c2b-4a67-a869-d4c0e721bfef"/>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DB4CDD4-06CA-4044-9BB7-A41246C5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784</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T13-WTSA.16-C-0044!A1!MSW-F</vt:lpstr>
    </vt:vector>
  </TitlesOfParts>
  <Manager>General Secretariat - Pool</Manager>
  <Company>International Telecommunication Union (ITU)</Company>
  <LinksUpToDate>false</LinksUpToDate>
  <CharactersWithSpaces>5552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T13-WTSA.16-C-0044!A1!MSW-F</dc:title>
  <dc:subject>World Telecommunication Standardization Assembly</dc:subject>
  <dc:creator>Documents Proposals Manager (DPM)</dc:creator>
  <cp:keywords>DPM_v2016.10.7.1_prod</cp:keywords>
  <dc:description>Template used by DPM and CPI for the WTSA-16</dc:description>
  <cp:lastModifiedBy>Jones, Jacqueline</cp:lastModifiedBy>
  <cp:revision>14</cp:revision>
  <cp:lastPrinted>2016-10-17T07:09:00Z</cp:lastPrinted>
  <dcterms:created xsi:type="dcterms:W3CDTF">2016-10-17T06:48:00Z</dcterms:created>
  <dcterms:modified xsi:type="dcterms:W3CDTF">2016-10-17T12:20:00Z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