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110B22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110B2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110B22" w:rsidRDefault="0022345D" w:rsidP="00C52612">
            <w:pPr>
              <w:pStyle w:val="Adress"/>
              <w:framePr w:hSpace="0" w:wrap="auto" w:xAlign="left" w:yAlign="inline"/>
              <w:rPr>
                <w:rtl/>
              </w:rPr>
            </w:pPr>
            <w:r w:rsidRPr="00110B22">
              <w:rPr>
                <w:rtl/>
              </w:rPr>
              <w:t xml:space="preserve">الإضافة </w:t>
            </w:r>
            <w:r w:rsidRPr="00110B22">
              <w:t>1</w:t>
            </w:r>
            <w:r w:rsidRPr="00110B22">
              <w:br/>
            </w:r>
            <w:r w:rsidRPr="00110B22">
              <w:rPr>
                <w:rtl/>
              </w:rPr>
              <w:t>للوثيقة</w:t>
            </w:r>
            <w:r w:rsidR="00C52612">
              <w:rPr>
                <w:rFonts w:hint="eastAsia"/>
                <w:rtl/>
              </w:rPr>
              <w:t> </w:t>
            </w:r>
            <w:r w:rsidRPr="00110B22">
              <w:t>44-</w:t>
            </w:r>
            <w:r w:rsidR="00110B22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110B22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110B22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110B22">
              <w:rPr>
                <w:rFonts w:eastAsia="SimSun"/>
              </w:rPr>
              <w:t>3</w:t>
            </w:r>
            <w:r w:rsidRPr="00110B22">
              <w:rPr>
                <w:rFonts w:eastAsia="SimSun"/>
                <w:rtl/>
              </w:rPr>
              <w:t xml:space="preserve"> أكتوبر </w:t>
            </w:r>
            <w:r w:rsidRPr="00110B22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110B22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110B22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110B22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110B22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أعضاء جماعة آسيا والمحيط الهادئ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110B22" w:rsidRDefault="001D34A3" w:rsidP="00123847">
            <w:pPr>
              <w:pStyle w:val="Title1"/>
              <w:spacing w:before="240"/>
              <w:rPr>
                <w:rtl/>
              </w:rPr>
            </w:pPr>
            <w:r w:rsidRPr="00123847">
              <w:rPr>
                <w:rFonts w:hint="cs"/>
                <w:rtl/>
              </w:rPr>
              <w:t xml:space="preserve">مقترحات بعدم </w:t>
            </w:r>
            <w:r w:rsidR="00123847">
              <w:rPr>
                <w:rFonts w:hint="cs"/>
                <w:rtl/>
              </w:rPr>
              <w:t>إجراء</w:t>
            </w:r>
            <w:r w:rsidRPr="00123847">
              <w:rPr>
                <w:rFonts w:hint="cs"/>
                <w:rtl/>
              </w:rPr>
              <w:t xml:space="preserve"> أي تغيير على</w:t>
            </w:r>
            <w:r w:rsidR="00F5617A" w:rsidRPr="00123847">
              <w:rPr>
                <w:rFonts w:hint="cs"/>
                <w:rtl/>
              </w:rPr>
              <w:t xml:space="preserve"> التوصيـة</w:t>
            </w:r>
            <w:r w:rsidR="00F5617A" w:rsidRPr="00123847">
              <w:rPr>
                <w:rFonts w:hint="eastAsia"/>
                <w:rtl/>
              </w:rPr>
              <w:t> </w:t>
            </w:r>
            <w:r w:rsidR="00F5617A" w:rsidRPr="00123847">
              <w:rPr>
                <w:rStyle w:val="href"/>
              </w:rPr>
              <w:t>ITU-T A.1</w:t>
            </w:r>
            <w:r w:rsidR="00F5617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BD6D99">
              <w:rPr>
                <w:rtl/>
              </w:rPr>
              <w:br/>
            </w:r>
            <w:r w:rsidR="00F5617A">
              <w:rPr>
                <w:rFonts w:hint="cs"/>
                <w:rtl/>
              </w:rPr>
              <w:t xml:space="preserve">طرائق عمل لجان الدراسات التابعة لقطاع تقييس الاتصالات </w:t>
            </w:r>
            <w:r w:rsidR="00F5617A">
              <w:rPr>
                <w:rtl/>
              </w:rPr>
              <w:br/>
            </w:r>
            <w:r w:rsidR="00F5617A">
              <w:rPr>
                <w:rFonts w:hint="cs"/>
                <w:rtl/>
              </w:rPr>
              <w:t xml:space="preserve">للاتحاد الدولي للاتصالات 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8587"/>
        <w:gridCol w:w="1052"/>
      </w:tblGrid>
      <w:tr w:rsidR="006157A3" w:rsidRPr="00E70E87" w:rsidTr="00BD6D99">
        <w:trPr>
          <w:cantSplit/>
          <w:jc w:val="right"/>
        </w:trPr>
        <w:tc>
          <w:tcPr>
            <w:tcW w:w="8648" w:type="dxa"/>
          </w:tcPr>
          <w:p w:rsidR="006157A3" w:rsidRPr="001D34A3" w:rsidRDefault="001D34A3" w:rsidP="00110B22">
            <w:pPr>
              <w:rPr>
                <w:highlight w:val="yellow"/>
                <w:rtl/>
                <w:lang w:bidi="ar-EG"/>
              </w:rPr>
            </w:pPr>
            <w:r w:rsidRPr="00123847">
              <w:rPr>
                <w:rFonts w:hint="cs"/>
                <w:rtl/>
              </w:rPr>
              <w:t xml:space="preserve">تقترح </w:t>
            </w:r>
            <w:r w:rsidRPr="00123847">
              <w:rPr>
                <w:rtl/>
              </w:rPr>
              <w:t>إدارات أعضاء جماعة آسيا والمحيط الهادئ للاتصالات</w:t>
            </w:r>
            <w:r w:rsidRPr="00123847">
              <w:rPr>
                <w:rFonts w:hint="cs"/>
                <w:rtl/>
              </w:rPr>
              <w:t xml:space="preserve"> في هذه الوثيقة عدم إجراء أي تغيير على التوصية </w:t>
            </w:r>
            <w:r w:rsidRPr="00123847">
              <w:t>ITU</w:t>
            </w:r>
            <w:r w:rsidRPr="00123847">
              <w:noBreakHyphen/>
              <w:t>T A.1</w:t>
            </w:r>
            <w:r w:rsidRPr="00123847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110B22" w:rsidRDefault="006157A3" w:rsidP="00193AD1">
            <w:pPr>
              <w:rPr>
                <w:bCs/>
              </w:rPr>
            </w:pPr>
            <w:r w:rsidRPr="00110B22">
              <w:rPr>
                <w:rFonts w:ascii="Times New Roman Bold" w:hAnsi="Times New Roman Bold"/>
                <w:bCs/>
                <w:rtl/>
                <w:lang w:bidi="ar-EG"/>
              </w:rPr>
              <w:t>ملخص</w:t>
            </w:r>
            <w:r w:rsidRPr="00110B22">
              <w:rPr>
                <w:b/>
              </w:rPr>
              <w:t>:</w:t>
            </w:r>
          </w:p>
        </w:tc>
      </w:tr>
    </w:tbl>
    <w:p w:rsidR="00110B22" w:rsidRDefault="00110B22" w:rsidP="00110B2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110B22" w:rsidRPr="00BD6D99" w:rsidRDefault="00123847" w:rsidP="00BD6D99">
      <w:pPr>
        <w:rPr>
          <w:rtl/>
          <w:lang w:bidi="ar-EG"/>
        </w:rPr>
      </w:pPr>
      <w:r w:rsidRPr="00BD6D99">
        <w:rPr>
          <w:rFonts w:hint="cs"/>
          <w:rtl/>
        </w:rPr>
        <w:t>نوقشت التوصية</w:t>
      </w:r>
      <w:r w:rsidR="00C52612" w:rsidRPr="00BD6D99">
        <w:rPr>
          <w:rFonts w:hint="eastAsia"/>
          <w:rtl/>
        </w:rPr>
        <w:t> </w:t>
      </w:r>
      <w:r w:rsidRPr="00BD6D99">
        <w:rPr>
          <w:rFonts w:cs="Times New Roman"/>
          <w:szCs w:val="20"/>
        </w:rPr>
        <w:t>ITU-T A.1</w:t>
      </w:r>
      <w:r w:rsidRPr="00BD6D99">
        <w:rPr>
          <w:rFonts w:hint="cs"/>
          <w:rtl/>
          <w:lang w:bidi="ar-EG"/>
        </w:rPr>
        <w:t xml:space="preserve"> بشأن "طرائق عمل لجان الدراسات التابعة لقطاع تقييس الاتصالات للاتحاد الدولي للاتصالات" مناقشة مستفيضة </w:t>
      </w:r>
      <w:r w:rsidRPr="00BD6D99">
        <w:rPr>
          <w:rFonts w:hint="cs"/>
          <w:rtl/>
        </w:rPr>
        <w:t>في الاجتماع الأخير للفريق الاستشاري لتقييس الاتصالات الذي عقد في</w:t>
      </w:r>
      <w:r w:rsidR="00D6113D" w:rsidRPr="00BD6D99">
        <w:rPr>
          <w:rFonts w:hint="eastAsia"/>
          <w:rtl/>
        </w:rPr>
        <w:t> </w:t>
      </w:r>
      <w:r w:rsidRPr="00BD6D99">
        <w:rPr>
          <w:rFonts w:hint="cs"/>
          <w:rtl/>
        </w:rPr>
        <w:t>يوليو</w:t>
      </w:r>
      <w:r w:rsidR="00D6113D" w:rsidRPr="00BD6D99">
        <w:rPr>
          <w:rFonts w:hint="eastAsia"/>
          <w:rtl/>
        </w:rPr>
        <w:t> </w:t>
      </w:r>
      <w:r w:rsidRPr="00BD6D99">
        <w:t>2016</w:t>
      </w:r>
      <w:r w:rsidRPr="00BD6D99">
        <w:rPr>
          <w:rFonts w:hint="cs"/>
          <w:rtl/>
          <w:lang w:bidi="ar-EG"/>
        </w:rPr>
        <w:t>، من أجل مراجعة محتملة. ومن بين المقترحات العديدة المتعلقة بمراجعة التوصية</w:t>
      </w:r>
      <w:r w:rsidR="00C52612" w:rsidRPr="00BD6D99">
        <w:rPr>
          <w:rFonts w:hint="eastAsia"/>
          <w:rtl/>
          <w:lang w:bidi="ar-EG"/>
        </w:rPr>
        <w:t> </w:t>
      </w:r>
      <w:r w:rsidRPr="00BD6D99">
        <w:rPr>
          <w:rFonts w:cs="Times New Roman"/>
          <w:szCs w:val="20"/>
        </w:rPr>
        <w:t>ITU-T A.1</w:t>
      </w:r>
      <w:r w:rsidRPr="00BD6D99">
        <w:rPr>
          <w:rFonts w:hint="cs"/>
          <w:rtl/>
          <w:lang w:bidi="ar-EG"/>
        </w:rPr>
        <w:t xml:space="preserve">، </w:t>
      </w:r>
      <w:r w:rsidR="00005439" w:rsidRPr="00BD6D99">
        <w:rPr>
          <w:rFonts w:hint="cs"/>
          <w:rtl/>
          <w:lang w:bidi="ar-EG"/>
        </w:rPr>
        <w:t xml:space="preserve">تود جماعة آسيا والمحيط الهادئ للاتصالات أن تسترعي الانتباه إلى الشرط المتعلق ببند العمل الجديد الذي اقترحته فرنسا والمملكة المتحدة </w:t>
      </w:r>
      <w:r w:rsidR="00005439" w:rsidRPr="00BD6D99">
        <w:rPr>
          <w:rFonts w:cs="Times New Roman"/>
          <w:szCs w:val="20"/>
        </w:rPr>
        <w:t>(</w:t>
      </w:r>
      <w:hyperlink r:id="rId12" w:history="1">
        <w:r w:rsidR="00005439" w:rsidRPr="00BD6D99">
          <w:rPr>
            <w:rFonts w:cs="Times New Roman"/>
            <w:color w:val="0000FF"/>
            <w:szCs w:val="20"/>
            <w:u w:val="single"/>
          </w:rPr>
          <w:t>TSAG C</w:t>
        </w:r>
        <w:r w:rsidR="00005439" w:rsidRPr="00BD6D99">
          <w:rPr>
            <w:rFonts w:cs="Times New Roman"/>
            <w:color w:val="0000FF"/>
            <w:szCs w:val="20"/>
            <w:u w:val="single"/>
          </w:rPr>
          <w:noBreakHyphen/>
          <w:t>86</w:t>
        </w:r>
      </w:hyperlink>
      <w:r w:rsidR="00005439" w:rsidRPr="00BD6D99">
        <w:rPr>
          <w:rFonts w:cs="Times New Roman"/>
          <w:szCs w:val="20"/>
        </w:rPr>
        <w:t>)</w:t>
      </w:r>
      <w:r w:rsidR="00005439" w:rsidRPr="00BD6D99">
        <w:rPr>
          <w:rFonts w:hint="cs"/>
          <w:rtl/>
          <w:lang w:bidi="ar-EG"/>
        </w:rPr>
        <w:t>.</w:t>
      </w:r>
      <w:r w:rsidRPr="00BD6D99">
        <w:rPr>
          <w:rFonts w:hint="cs"/>
          <w:rtl/>
          <w:lang w:bidi="ar-EG"/>
        </w:rPr>
        <w:t xml:space="preserve"> </w:t>
      </w:r>
      <w:r w:rsidR="00005439" w:rsidRPr="00BD6D99">
        <w:rPr>
          <w:rFonts w:hint="cs"/>
          <w:rtl/>
          <w:lang w:bidi="ar-EG"/>
        </w:rPr>
        <w:t xml:space="preserve">وتستند خلفية المقترح بشأن الشرط المتعلق ببند العمل الجديد إلى </w:t>
      </w:r>
      <w:r w:rsidR="00265FF8" w:rsidRPr="00BD6D99">
        <w:rPr>
          <w:rFonts w:hint="cs"/>
          <w:rtl/>
          <w:lang w:bidi="ar-EG"/>
        </w:rPr>
        <w:t>الحاجة إلى وضع معايير دولية عالية الجودة تقوم على</w:t>
      </w:r>
      <w:r w:rsidR="00BD6D99" w:rsidRPr="00BD6D99">
        <w:rPr>
          <w:rFonts w:hint="eastAsia"/>
          <w:rtl/>
          <w:lang w:bidi="ar-EG"/>
        </w:rPr>
        <w:t> </w:t>
      </w:r>
      <w:r w:rsidR="00265FF8" w:rsidRPr="00BD6D99">
        <w:rPr>
          <w:rFonts w:hint="cs"/>
          <w:rtl/>
          <w:lang w:bidi="ar-EG"/>
        </w:rPr>
        <w:t>الطلب.</w:t>
      </w:r>
    </w:p>
    <w:p w:rsidR="00110B22" w:rsidRDefault="00265FF8" w:rsidP="00110B22">
      <w:pPr>
        <w:rPr>
          <w:rtl/>
        </w:rPr>
      </w:pPr>
      <w:r>
        <w:rPr>
          <w:rFonts w:hint="cs"/>
          <w:rtl/>
        </w:rPr>
        <w:t>وفيما يلي بعض الملاحظات بشأن المقترح المشار إليه أعلاه.</w:t>
      </w:r>
    </w:p>
    <w:p w:rsidR="00110B22" w:rsidRPr="00261559" w:rsidRDefault="00C52612" w:rsidP="00BD6D99">
      <w:pPr>
        <w:pStyle w:val="enumlev1"/>
        <w:rPr>
          <w:rtl/>
          <w:lang w:bidi="ar-EG"/>
        </w:rPr>
      </w:pPr>
      <w:r w:rsidRPr="00261559">
        <w:t>(1</w:t>
      </w:r>
      <w:r w:rsidR="00110B22" w:rsidRPr="00261559">
        <w:tab/>
      </w:r>
      <w:r w:rsidR="00446512" w:rsidRPr="00261559">
        <w:rPr>
          <w:rFonts w:hint="cs"/>
          <w:rtl/>
          <w:lang w:bidi="ar-EG"/>
        </w:rPr>
        <w:t xml:space="preserve">يخص الشرط الإلزامي المقترح </w:t>
      </w:r>
      <w:r w:rsidR="00BB6F20">
        <w:rPr>
          <w:rFonts w:hint="cs"/>
          <w:rtl/>
          <w:lang w:bidi="ar-EG"/>
        </w:rPr>
        <w:t>فيما</w:t>
      </w:r>
      <w:r w:rsidR="00BB6F20">
        <w:rPr>
          <w:rFonts w:hint="eastAsia"/>
          <w:rtl/>
          <w:lang w:bidi="ar-EG"/>
        </w:rPr>
        <w:t> </w:t>
      </w:r>
      <w:r w:rsidR="00446512" w:rsidRPr="00261559">
        <w:rPr>
          <w:rFonts w:hint="cs"/>
          <w:rtl/>
          <w:lang w:bidi="ar-EG"/>
        </w:rPr>
        <w:t>يتعلق ببند عمل جديد "أربعة كيانات على الأقل من أربعة بلدان مختلفة". ومع</w:t>
      </w:r>
      <w:r w:rsidRPr="00261559">
        <w:rPr>
          <w:rFonts w:hint="eastAsia"/>
          <w:rtl/>
          <w:lang w:bidi="ar-EG"/>
        </w:rPr>
        <w:t> </w:t>
      </w:r>
      <w:r w:rsidR="00446512" w:rsidRPr="00261559">
        <w:rPr>
          <w:rFonts w:hint="cs"/>
          <w:rtl/>
          <w:lang w:bidi="ar-EG"/>
        </w:rPr>
        <w:t xml:space="preserve">ذلك، فإن "العدد" لا يضمن جودة التوصيات. وإذا كان الأمر يتعلق "بالجودة"، </w:t>
      </w:r>
      <w:r w:rsidR="00D6492D" w:rsidRPr="00261559">
        <w:rPr>
          <w:rFonts w:hint="cs"/>
          <w:rtl/>
          <w:lang w:bidi="ar-EG"/>
        </w:rPr>
        <w:t>ف</w:t>
      </w:r>
      <w:r w:rsidR="00446512" w:rsidRPr="00261559">
        <w:rPr>
          <w:rFonts w:hint="cs"/>
          <w:rtl/>
          <w:lang w:bidi="ar-EG"/>
        </w:rPr>
        <w:t>لدينا بالفعل عمليات راسخة من</w:t>
      </w:r>
      <w:r w:rsidRPr="00261559">
        <w:rPr>
          <w:rFonts w:hint="eastAsia"/>
          <w:rtl/>
          <w:lang w:bidi="ar-EG"/>
        </w:rPr>
        <w:t> </w:t>
      </w:r>
      <w:r w:rsidR="00446512" w:rsidRPr="00261559">
        <w:rPr>
          <w:rFonts w:hint="cs"/>
          <w:rtl/>
          <w:lang w:bidi="ar-EG"/>
        </w:rPr>
        <w:t>أجل الموافقة النهائية على التوصيات. وقُدم أيضاً اقتراح بديل أثناء المناقشة التي جرت في</w:t>
      </w:r>
      <w:r w:rsidRPr="00261559">
        <w:rPr>
          <w:rFonts w:hint="eastAsia"/>
          <w:rtl/>
          <w:lang w:bidi="ar-EG"/>
        </w:rPr>
        <w:t> </w:t>
      </w:r>
      <w:r w:rsidR="00446512" w:rsidRPr="00261559">
        <w:rPr>
          <w:rFonts w:hint="cs"/>
          <w:rtl/>
          <w:lang w:bidi="ar-EG"/>
        </w:rPr>
        <w:t>الاجتماع الأخير للفريق</w:t>
      </w:r>
      <w:r w:rsidRPr="00261559">
        <w:rPr>
          <w:rFonts w:hint="eastAsia"/>
          <w:rtl/>
          <w:lang w:bidi="ar-EG"/>
        </w:rPr>
        <w:t> </w:t>
      </w:r>
      <w:r w:rsidR="00446512" w:rsidRPr="00261559">
        <w:rPr>
          <w:rFonts w:hint="cs"/>
          <w:rtl/>
          <w:lang w:bidi="ar-EG"/>
        </w:rPr>
        <w:t xml:space="preserve">الاستشاري، يشير إلى أن يكون "أكثر من بلد واحد" الشرط الذي ينبغي </w:t>
      </w:r>
      <w:r w:rsidR="00871124" w:rsidRPr="00261559">
        <w:rPr>
          <w:rFonts w:hint="cs"/>
          <w:rtl/>
          <w:lang w:bidi="ar-EG"/>
        </w:rPr>
        <w:t>استيفاؤه</w:t>
      </w:r>
      <w:r w:rsidR="00446512" w:rsidRPr="00261559">
        <w:rPr>
          <w:rFonts w:hint="cs"/>
          <w:rtl/>
          <w:lang w:bidi="ar-EG"/>
        </w:rPr>
        <w:t xml:space="preserve"> لوضع معايير دولية. بيد</w:t>
      </w:r>
      <w:r w:rsidRPr="00261559">
        <w:rPr>
          <w:rFonts w:hint="eastAsia"/>
          <w:rtl/>
          <w:lang w:bidi="ar-EG"/>
        </w:rPr>
        <w:t> </w:t>
      </w:r>
      <w:r w:rsidR="00446512" w:rsidRPr="00261559">
        <w:rPr>
          <w:rFonts w:hint="cs"/>
          <w:rtl/>
          <w:lang w:bidi="ar-EG"/>
        </w:rPr>
        <w:t>أن العدد المقترح المتمثل في</w:t>
      </w:r>
      <w:r w:rsidRPr="00261559">
        <w:rPr>
          <w:rFonts w:hint="eastAsia"/>
          <w:rtl/>
          <w:lang w:bidi="ar-EG"/>
        </w:rPr>
        <w:t> </w:t>
      </w:r>
      <w:r w:rsidR="00446512" w:rsidRPr="00261559">
        <w:rPr>
          <w:rFonts w:hint="cs"/>
          <w:rtl/>
          <w:lang w:bidi="ar-EG"/>
        </w:rPr>
        <w:t xml:space="preserve">"أكثر من بلد واحد" أو "أربعة" لا يمكن أن يكون </w:t>
      </w:r>
      <w:r w:rsidR="00453936" w:rsidRPr="00261559">
        <w:rPr>
          <w:rFonts w:hint="cs"/>
          <w:rtl/>
          <w:lang w:bidi="ar-EG"/>
        </w:rPr>
        <w:t>معياراً لضمان جودة المعايير</w:t>
      </w:r>
      <w:r w:rsidR="00BD6D99" w:rsidRPr="00261559">
        <w:rPr>
          <w:rFonts w:hint="eastAsia"/>
          <w:rtl/>
          <w:lang w:bidi="ar-EG"/>
        </w:rPr>
        <w:t> </w:t>
      </w:r>
      <w:r w:rsidR="00453936" w:rsidRPr="00261559">
        <w:rPr>
          <w:rFonts w:hint="cs"/>
          <w:rtl/>
          <w:lang w:bidi="ar-EG"/>
        </w:rPr>
        <w:t>الدولية.</w:t>
      </w:r>
    </w:p>
    <w:p w:rsidR="00110B22" w:rsidRPr="002E4F2D" w:rsidRDefault="00C52612" w:rsidP="000504C7">
      <w:pPr>
        <w:pStyle w:val="enumlev1"/>
        <w:keepNext/>
        <w:keepLines/>
        <w:rPr>
          <w:rtl/>
          <w:lang w:bidi="ar-EG"/>
        </w:rPr>
      </w:pPr>
      <w:r w:rsidRPr="002E4F2D">
        <w:rPr>
          <w:lang w:bidi="ar-EG"/>
        </w:rPr>
        <w:lastRenderedPageBreak/>
        <w:t>(</w:t>
      </w:r>
      <w:r w:rsidR="00110B22" w:rsidRPr="002E4F2D">
        <w:t>2</w:t>
      </w:r>
      <w:r w:rsidR="00EC0A91" w:rsidRPr="002E4F2D">
        <w:tab/>
      </w:r>
      <w:r w:rsidR="00EC0A91" w:rsidRPr="002E4F2D">
        <w:rPr>
          <w:rFonts w:hint="cs"/>
          <w:rtl/>
          <w:lang w:bidi="ar-EG"/>
        </w:rPr>
        <w:t>أشار بعض الأعضاء إلى الشرط المتعلق باقتراح جديد في إطار اللجنة</w:t>
      </w:r>
      <w:r w:rsidRPr="002E4F2D">
        <w:rPr>
          <w:rFonts w:hint="eastAsia"/>
          <w:rtl/>
          <w:lang w:bidi="ar-EG"/>
        </w:rPr>
        <w:t> </w:t>
      </w:r>
      <w:r w:rsidR="00EC0A91" w:rsidRPr="002E4F2D">
        <w:rPr>
          <w:rFonts w:cs="Times New Roman"/>
          <w:szCs w:val="20"/>
        </w:rPr>
        <w:t>ISO/IEC JTC 1</w:t>
      </w:r>
      <w:r w:rsidR="00EC0A91" w:rsidRPr="002E4F2D">
        <w:rPr>
          <w:rFonts w:hint="cs"/>
          <w:rtl/>
          <w:lang w:bidi="ar-EG"/>
        </w:rPr>
        <w:t>.</w:t>
      </w:r>
      <w:r w:rsidR="00864F71" w:rsidRPr="002E4F2D">
        <w:rPr>
          <w:rFonts w:hint="cs"/>
          <w:rtl/>
          <w:lang w:bidi="ar-EG"/>
        </w:rPr>
        <w:t xml:space="preserve"> بيد أن المنظمتين لديهما عمليات موافقة مختلفة على المعايير. فاللجنة</w:t>
      </w:r>
      <w:r w:rsidRPr="002E4F2D">
        <w:rPr>
          <w:rFonts w:hint="eastAsia"/>
          <w:rtl/>
          <w:lang w:bidi="ar-EG"/>
        </w:rPr>
        <w:t> </w:t>
      </w:r>
      <w:r w:rsidR="00864F71" w:rsidRPr="002E4F2D">
        <w:rPr>
          <w:rFonts w:cs="Times New Roman"/>
          <w:szCs w:val="20"/>
        </w:rPr>
        <w:t>ISO/IEC JTC 1</w:t>
      </w:r>
      <w:r w:rsidR="00864F71" w:rsidRPr="002E4F2D">
        <w:rPr>
          <w:rFonts w:hint="cs"/>
          <w:rtl/>
          <w:lang w:bidi="ar-EG"/>
        </w:rPr>
        <w:t xml:space="preserve"> تستند إلى نظام الاقتراع في</w:t>
      </w:r>
      <w:r w:rsidR="007B33B9" w:rsidRPr="002E4F2D">
        <w:rPr>
          <w:rFonts w:hint="eastAsia"/>
          <w:rtl/>
          <w:lang w:bidi="ar-EG"/>
        </w:rPr>
        <w:t> </w:t>
      </w:r>
      <w:r w:rsidR="00864F71" w:rsidRPr="002E4F2D">
        <w:rPr>
          <w:rFonts w:hint="cs"/>
          <w:rtl/>
          <w:lang w:bidi="ar-EG"/>
        </w:rPr>
        <w:t xml:space="preserve">حين أن قطاع تقييس الاتصالات </w:t>
      </w:r>
      <w:r w:rsidR="00476F8C" w:rsidRPr="002E4F2D">
        <w:rPr>
          <w:rFonts w:hint="cs"/>
          <w:rtl/>
          <w:lang w:bidi="ar-EG"/>
        </w:rPr>
        <w:t>يستند إلى توافق الآراء. ولا</w:t>
      </w:r>
      <w:r w:rsidR="000504C7">
        <w:rPr>
          <w:rFonts w:hint="eastAsia"/>
          <w:rtl/>
          <w:lang w:bidi="ar-EG"/>
        </w:rPr>
        <w:t> </w:t>
      </w:r>
      <w:bookmarkStart w:id="0" w:name="_GoBack"/>
      <w:bookmarkEnd w:id="0"/>
      <w:r w:rsidR="00476F8C" w:rsidRPr="002E4F2D">
        <w:rPr>
          <w:rFonts w:hint="cs"/>
          <w:rtl/>
          <w:lang w:bidi="ar-EG"/>
        </w:rPr>
        <w:t>يمكن تطبيق المقارنة البسيطة بين المنظمتين في</w:t>
      </w:r>
      <w:r w:rsidR="007B33B9" w:rsidRPr="002E4F2D">
        <w:rPr>
          <w:rFonts w:hint="eastAsia"/>
          <w:rtl/>
          <w:lang w:bidi="ar-EG"/>
        </w:rPr>
        <w:t> </w:t>
      </w:r>
      <w:r w:rsidR="00476F8C" w:rsidRPr="002E4F2D">
        <w:rPr>
          <w:rFonts w:hint="cs"/>
          <w:rtl/>
          <w:lang w:bidi="ar-EG"/>
        </w:rPr>
        <w:t>تحديد الشرط المتعلق ببند</w:t>
      </w:r>
      <w:r w:rsidRPr="002E4F2D">
        <w:rPr>
          <w:rFonts w:hint="eastAsia"/>
          <w:rtl/>
          <w:lang w:bidi="ar-EG"/>
        </w:rPr>
        <w:t> </w:t>
      </w:r>
      <w:r w:rsidR="00476F8C" w:rsidRPr="002E4F2D">
        <w:rPr>
          <w:rFonts w:hint="cs"/>
          <w:rtl/>
          <w:lang w:bidi="ar-EG"/>
        </w:rPr>
        <w:t>العمل الجديد بسبب الاختلافات الأساسية في طريقة الموافقة.</w:t>
      </w:r>
    </w:p>
    <w:p w:rsidR="00110B22" w:rsidRPr="002E4F2D" w:rsidRDefault="00C52612" w:rsidP="007B33B9">
      <w:pPr>
        <w:pStyle w:val="enumlev1"/>
        <w:rPr>
          <w:rtl/>
          <w:lang w:bidi="ar-EG"/>
        </w:rPr>
      </w:pPr>
      <w:r w:rsidRPr="002E4F2D">
        <w:t>(</w:t>
      </w:r>
      <w:r w:rsidR="00110B22" w:rsidRPr="002E4F2D">
        <w:t>3</w:t>
      </w:r>
      <w:r w:rsidR="00110B22" w:rsidRPr="002E4F2D">
        <w:tab/>
      </w:r>
      <w:r w:rsidR="004B56BF" w:rsidRPr="002E4F2D">
        <w:rPr>
          <w:rFonts w:hint="cs"/>
          <w:rtl/>
          <w:lang w:bidi="ar-EG"/>
        </w:rPr>
        <w:t>أُعد النموذج الخاص ببند العمل الجديد الوارد في الملحق</w:t>
      </w:r>
      <w:r w:rsidR="005F77FD" w:rsidRPr="002E4F2D">
        <w:rPr>
          <w:rFonts w:hint="eastAsia"/>
          <w:rtl/>
          <w:lang w:bidi="ar-EG"/>
        </w:rPr>
        <w:t> </w:t>
      </w:r>
      <w:r w:rsidR="005F77FD" w:rsidRPr="002E4F2D">
        <w:rPr>
          <w:lang w:bidi="ar-EG"/>
        </w:rPr>
        <w:t>A</w:t>
      </w:r>
      <w:r w:rsidR="004B56BF" w:rsidRPr="002E4F2D">
        <w:rPr>
          <w:rFonts w:hint="cs"/>
          <w:rtl/>
          <w:lang w:bidi="ar-EG"/>
        </w:rPr>
        <w:t xml:space="preserve"> بالتوصية</w:t>
      </w:r>
      <w:r w:rsidRPr="002E4F2D">
        <w:rPr>
          <w:rFonts w:hint="eastAsia"/>
          <w:rtl/>
          <w:lang w:bidi="ar-EG"/>
        </w:rPr>
        <w:t> </w:t>
      </w:r>
      <w:r w:rsidR="004B56BF" w:rsidRPr="002E4F2D">
        <w:rPr>
          <w:rFonts w:cs="Times New Roman"/>
          <w:szCs w:val="20"/>
        </w:rPr>
        <w:t>ITU-T A.1</w:t>
      </w:r>
      <w:r w:rsidR="004B56BF" w:rsidRPr="002E4F2D">
        <w:rPr>
          <w:rFonts w:hint="cs"/>
          <w:rtl/>
          <w:lang w:bidi="ar-EG"/>
        </w:rPr>
        <w:t xml:space="preserve"> خلال فترة الدراسة الأخيرة في</w:t>
      </w:r>
      <w:r w:rsidR="007B33B9" w:rsidRPr="002E4F2D">
        <w:rPr>
          <w:rFonts w:hint="eastAsia"/>
          <w:rtl/>
          <w:lang w:bidi="ar-EG"/>
        </w:rPr>
        <w:t> </w:t>
      </w:r>
      <w:r w:rsidR="004B56BF" w:rsidRPr="002E4F2D">
        <w:rPr>
          <w:rFonts w:hint="cs"/>
          <w:rtl/>
          <w:lang w:bidi="ar-EG"/>
        </w:rPr>
        <w:t xml:space="preserve">إطار الفريق الاستشاري، وقد أُعد أصلاً </w:t>
      </w:r>
      <w:r w:rsidR="005F77FD" w:rsidRPr="002E4F2D">
        <w:rPr>
          <w:rFonts w:hint="cs"/>
          <w:rtl/>
          <w:lang w:bidi="ar-EG"/>
        </w:rPr>
        <w:t>لاقتراح نموذج بند العمل الجديد من أجل</w:t>
      </w:r>
      <w:r w:rsidR="004B56BF" w:rsidRPr="002E4F2D">
        <w:rPr>
          <w:rFonts w:hint="cs"/>
          <w:rtl/>
          <w:lang w:bidi="ar-EG"/>
        </w:rPr>
        <w:t xml:space="preserve"> </w:t>
      </w:r>
      <w:r w:rsidR="005F77FD" w:rsidRPr="002E4F2D">
        <w:rPr>
          <w:rFonts w:hint="cs"/>
          <w:rtl/>
          <w:lang w:bidi="ar-EG"/>
        </w:rPr>
        <w:t>"</w:t>
      </w:r>
      <w:r w:rsidR="0036736F" w:rsidRPr="002E4F2D">
        <w:rPr>
          <w:rFonts w:hint="cs"/>
          <w:i/>
          <w:iCs/>
          <w:rtl/>
          <w:lang w:bidi="ar-EG"/>
        </w:rPr>
        <w:t>مناقشات سلس</w:t>
      </w:r>
      <w:r w:rsidR="004B56BF" w:rsidRPr="002E4F2D">
        <w:rPr>
          <w:rFonts w:hint="cs"/>
          <w:i/>
          <w:iCs/>
          <w:rtl/>
          <w:lang w:bidi="ar-EG"/>
        </w:rPr>
        <w:t xml:space="preserve">ة خلال الجلسات العامة </w:t>
      </w:r>
      <w:r w:rsidR="003F49E5" w:rsidRPr="002E4F2D">
        <w:rPr>
          <w:rFonts w:hint="cs"/>
          <w:i/>
          <w:iCs/>
          <w:rtl/>
          <w:lang w:bidi="ar-EG"/>
        </w:rPr>
        <w:t>لفرق العمل و/أو الجلسات العامة الختامية ولمساعدة المقررين في الاضطلاع بمسؤولياتهم من أجل ضمان جودة واكتمال برنامج العمل لكل لجنة دراسات</w:t>
      </w:r>
      <w:r w:rsidR="005F77FD" w:rsidRPr="002E4F2D">
        <w:rPr>
          <w:rFonts w:hint="cs"/>
          <w:rtl/>
          <w:lang w:bidi="ar-EG"/>
        </w:rPr>
        <w:t>"</w:t>
      </w:r>
      <w:r w:rsidR="003F49E5" w:rsidRPr="002E4F2D">
        <w:rPr>
          <w:rFonts w:hint="cs"/>
          <w:rtl/>
          <w:lang w:bidi="ar-EG"/>
        </w:rPr>
        <w:t>.</w:t>
      </w:r>
    </w:p>
    <w:p w:rsidR="00F5617A" w:rsidRPr="002E4F2D" w:rsidRDefault="00E415B6" w:rsidP="007B33B9">
      <w:pPr>
        <w:pStyle w:val="enumlev1"/>
      </w:pPr>
      <w:r w:rsidRPr="002E4F2D">
        <w:rPr>
          <w:rtl/>
        </w:rPr>
        <w:tab/>
      </w:r>
      <w:r w:rsidR="00C5004B" w:rsidRPr="002E4F2D">
        <w:rPr>
          <w:rFonts w:hint="cs"/>
          <w:rtl/>
        </w:rPr>
        <w:t>بيد أن</w:t>
      </w:r>
      <w:r w:rsidR="00125B49" w:rsidRPr="002E4F2D">
        <w:rPr>
          <w:rFonts w:hint="cs"/>
          <w:rtl/>
        </w:rPr>
        <w:t xml:space="preserve"> النموذج سيصبح، من خلال</w:t>
      </w:r>
      <w:r w:rsidR="00C5004B" w:rsidRPr="002E4F2D">
        <w:rPr>
          <w:rFonts w:hint="cs"/>
          <w:rtl/>
        </w:rPr>
        <w:t xml:space="preserve"> إضافة الشرط الإلزامي المتعلق ببند العمل الجديد</w:t>
      </w:r>
      <w:r w:rsidR="00BB28AA" w:rsidRPr="002E4F2D">
        <w:rPr>
          <w:rFonts w:hint="cs"/>
          <w:rtl/>
        </w:rPr>
        <w:t>، عبئاً تنظيمي</w:t>
      </w:r>
      <w:r w:rsidR="00EC2A7C" w:rsidRPr="002E4F2D">
        <w:rPr>
          <w:rFonts w:hint="cs"/>
          <w:rtl/>
        </w:rPr>
        <w:t>اً</w:t>
      </w:r>
      <w:r w:rsidR="00BB28AA" w:rsidRPr="002E4F2D">
        <w:rPr>
          <w:rFonts w:hint="cs"/>
          <w:rtl/>
        </w:rPr>
        <w:t xml:space="preserve"> إضافياً يمكن أن</w:t>
      </w:r>
      <w:r w:rsidR="007B33B9" w:rsidRPr="002E4F2D">
        <w:rPr>
          <w:rFonts w:hint="eastAsia"/>
          <w:rtl/>
        </w:rPr>
        <w:t> </w:t>
      </w:r>
      <w:r w:rsidR="00BB28AA" w:rsidRPr="002E4F2D">
        <w:rPr>
          <w:rFonts w:hint="cs"/>
          <w:rtl/>
        </w:rPr>
        <w:t>يثبط</w:t>
      </w:r>
      <w:r w:rsidR="007B33B9" w:rsidRPr="002E4F2D">
        <w:rPr>
          <w:rFonts w:hint="eastAsia"/>
          <w:rtl/>
        </w:rPr>
        <w:t> </w:t>
      </w:r>
      <w:r w:rsidR="00BB28AA" w:rsidRPr="002E4F2D">
        <w:rPr>
          <w:rFonts w:hint="cs"/>
          <w:rtl/>
        </w:rPr>
        <w:t xml:space="preserve">الأعضاء عن المشاركة بفعالية في </w:t>
      </w:r>
      <w:r w:rsidR="00CA42F1" w:rsidRPr="002E4F2D">
        <w:rPr>
          <w:rFonts w:hint="cs"/>
          <w:rtl/>
        </w:rPr>
        <w:t>إعداد التوصيات. وبالإضافة إلى ذلك، قد لا</w:t>
      </w:r>
      <w:r w:rsidR="007B33B9" w:rsidRPr="002E4F2D">
        <w:rPr>
          <w:rFonts w:hint="eastAsia"/>
          <w:rtl/>
        </w:rPr>
        <w:t> </w:t>
      </w:r>
      <w:r w:rsidR="00681719" w:rsidRPr="002E4F2D">
        <w:rPr>
          <w:rFonts w:hint="cs"/>
          <w:rtl/>
        </w:rPr>
        <w:t>يكون النموذج قابلاً للتطبيق</w:t>
      </w:r>
      <w:r w:rsidR="007B33B9" w:rsidRPr="002E4F2D">
        <w:rPr>
          <w:rFonts w:hint="eastAsia"/>
          <w:rtl/>
        </w:rPr>
        <w:t> </w:t>
      </w:r>
      <w:r w:rsidR="00681719" w:rsidRPr="002E4F2D">
        <w:rPr>
          <w:rFonts w:hint="cs"/>
          <w:rtl/>
        </w:rPr>
        <w:t>من</w:t>
      </w:r>
      <w:r w:rsidR="007B33B9" w:rsidRPr="002E4F2D">
        <w:rPr>
          <w:rFonts w:hint="eastAsia"/>
          <w:rtl/>
        </w:rPr>
        <w:t> </w:t>
      </w:r>
      <w:r w:rsidR="00681719" w:rsidRPr="002E4F2D">
        <w:rPr>
          <w:rFonts w:hint="cs"/>
          <w:rtl/>
        </w:rPr>
        <w:t>جانب</w:t>
      </w:r>
      <w:r w:rsidR="007B33B9" w:rsidRPr="002E4F2D">
        <w:rPr>
          <w:rFonts w:hint="eastAsia"/>
          <w:rtl/>
        </w:rPr>
        <w:t> </w:t>
      </w:r>
      <w:r w:rsidR="00CA42F1" w:rsidRPr="002E4F2D">
        <w:rPr>
          <w:rFonts w:hint="cs"/>
          <w:rtl/>
        </w:rPr>
        <w:t>لجان الدراسات التي تطور معايير مع منظمات أخرى معنية بوضع المعايير</w:t>
      </w:r>
      <w:r w:rsidR="002A10A4" w:rsidRPr="002E4F2D">
        <w:rPr>
          <w:rFonts w:hint="cs"/>
          <w:rtl/>
        </w:rPr>
        <w:t xml:space="preserve"> </w:t>
      </w:r>
      <w:r w:rsidR="00CA42F1" w:rsidRPr="002E4F2D">
        <w:rPr>
          <w:rFonts w:hint="cs"/>
          <w:rtl/>
        </w:rPr>
        <w:t xml:space="preserve">(انظر المساهمة </w:t>
      </w:r>
      <w:hyperlink r:id="rId13" w:history="1">
        <w:r w:rsidR="00C52612" w:rsidRPr="002E4F2D">
          <w:rPr>
            <w:rStyle w:val="Hyperlink"/>
          </w:rPr>
          <w:t>TSAG C58(2009</w:t>
        </w:r>
        <w:r w:rsidR="007B33B9" w:rsidRPr="002E4F2D">
          <w:rPr>
            <w:rStyle w:val="Hyperlink"/>
          </w:rPr>
          <w:noBreakHyphen/>
        </w:r>
        <w:r w:rsidR="00C52612" w:rsidRPr="002E4F2D">
          <w:rPr>
            <w:rStyle w:val="Hyperlink"/>
          </w:rPr>
          <w:t>2012)</w:t>
        </w:r>
        <w:r w:rsidR="00CA42F1" w:rsidRPr="002E4F2D">
          <w:rPr>
            <w:rStyle w:val="Hyperlink"/>
            <w:rFonts w:hint="cs"/>
            <w:rtl/>
          </w:rPr>
          <w:t>، فرنسا</w:t>
        </w:r>
      </w:hyperlink>
      <w:r w:rsidR="00CA42F1" w:rsidRPr="002E4F2D">
        <w:rPr>
          <w:rFonts w:hint="cs"/>
          <w:rtl/>
        </w:rPr>
        <w:t>)</w:t>
      </w:r>
      <w:r w:rsidR="007E477D" w:rsidRPr="002E4F2D">
        <w:rPr>
          <w:rFonts w:hint="cs"/>
          <w:rtl/>
        </w:rPr>
        <w:t>.</w:t>
      </w:r>
    </w:p>
    <w:p w:rsidR="00F5617A" w:rsidRPr="00BD6D99" w:rsidRDefault="001B79DF" w:rsidP="00C52612">
      <w:pPr>
        <w:pStyle w:val="enumlev1"/>
        <w:rPr>
          <w:rtl/>
          <w:lang w:bidi="ar-EG"/>
        </w:rPr>
      </w:pPr>
      <w:r w:rsidRPr="00BD6D99">
        <w:rPr>
          <w:rtl/>
        </w:rPr>
        <w:tab/>
      </w:r>
      <w:r w:rsidRPr="00BD6D99">
        <w:rPr>
          <w:rFonts w:hint="cs"/>
          <w:rtl/>
          <w:lang w:bidi="ar-EG"/>
        </w:rPr>
        <w:t>وطُرحت المسألة ذاتها في اجتماع مخصص ع</w:t>
      </w:r>
      <w:r w:rsidR="0036736F">
        <w:rPr>
          <w:rFonts w:hint="cs"/>
          <w:rtl/>
          <w:lang w:bidi="ar-EG"/>
        </w:rPr>
        <w:t>ُ</w:t>
      </w:r>
      <w:r w:rsidRPr="00BD6D99">
        <w:rPr>
          <w:rFonts w:hint="cs"/>
          <w:rtl/>
          <w:lang w:bidi="ar-EG"/>
        </w:rPr>
        <w:t>قد لمراجعة التوصية</w:t>
      </w:r>
      <w:r w:rsidR="00C52612" w:rsidRPr="00BD6D99">
        <w:rPr>
          <w:rFonts w:hint="eastAsia"/>
          <w:rtl/>
          <w:lang w:bidi="ar-EG"/>
        </w:rPr>
        <w:t> </w:t>
      </w:r>
      <w:r w:rsidRPr="00BD6D99">
        <w:rPr>
          <w:rFonts w:cs="Times New Roman"/>
          <w:szCs w:val="20"/>
        </w:rPr>
        <w:t>ITU-T A.1</w:t>
      </w:r>
      <w:r w:rsidRPr="00BD6D99">
        <w:rPr>
          <w:rFonts w:hint="cs"/>
          <w:rtl/>
          <w:lang w:bidi="ar-EG"/>
        </w:rPr>
        <w:t>، ولكن لم يتم التوصل إلى أي اتفاق</w:t>
      </w:r>
      <w:r w:rsidR="00615434" w:rsidRPr="00BD6D99">
        <w:rPr>
          <w:rFonts w:hint="cs"/>
          <w:rtl/>
          <w:lang w:bidi="ar-EG"/>
        </w:rPr>
        <w:t xml:space="preserve"> بهذا الشأن</w:t>
      </w:r>
      <w:r w:rsidRPr="00BD6D99">
        <w:rPr>
          <w:rFonts w:hint="cs"/>
          <w:rtl/>
          <w:lang w:bidi="ar-EG"/>
        </w:rPr>
        <w:t xml:space="preserve"> (انظر الوثيقة </w:t>
      </w:r>
      <w:hyperlink r:id="rId14" w:history="1">
        <w:r w:rsidR="0011151F" w:rsidRPr="00BD6D99">
          <w:rPr>
            <w:rFonts w:cs="Times New Roman"/>
            <w:color w:val="0000FF"/>
            <w:szCs w:val="20"/>
            <w:u w:val="single"/>
          </w:rPr>
          <w:t>TSAG TD-354(2009-2012)</w:t>
        </w:r>
      </w:hyperlink>
      <w:r w:rsidR="0011151F" w:rsidRPr="00BD6D99">
        <w:rPr>
          <w:rFonts w:hint="cs"/>
          <w:rtl/>
          <w:lang w:bidi="ar-EG"/>
        </w:rPr>
        <w:t>).</w:t>
      </w:r>
    </w:p>
    <w:p w:rsidR="00110B22" w:rsidRPr="00BD6D99" w:rsidRDefault="00D6113D" w:rsidP="00F15C13">
      <w:pPr>
        <w:pStyle w:val="enumlev1"/>
        <w:rPr>
          <w:rtl/>
          <w:lang w:bidi="ar-EG"/>
        </w:rPr>
      </w:pPr>
      <w:r w:rsidRPr="00BD6D99">
        <w:t>(4</w:t>
      </w:r>
      <w:r w:rsidR="00110B22" w:rsidRPr="00BD6D99">
        <w:tab/>
      </w:r>
      <w:r w:rsidR="00440CE0" w:rsidRPr="00BD6D99">
        <w:rPr>
          <w:rFonts w:hint="cs"/>
          <w:rtl/>
        </w:rPr>
        <w:t xml:space="preserve">هناك العديد من قرارات الجمعية التي تشجع مشاركة البلدان النامية كالقرارات </w:t>
      </w:r>
      <w:r w:rsidR="00440CE0" w:rsidRPr="00BD6D99">
        <w:t>44</w:t>
      </w:r>
      <w:r w:rsidR="00440CE0" w:rsidRPr="00BD6D99">
        <w:rPr>
          <w:rFonts w:hint="cs"/>
          <w:rtl/>
        </w:rPr>
        <w:t xml:space="preserve"> و</w:t>
      </w:r>
      <w:r w:rsidR="00440CE0" w:rsidRPr="00BD6D99">
        <w:t>59</w:t>
      </w:r>
      <w:r w:rsidR="00440CE0" w:rsidRPr="00BD6D99">
        <w:rPr>
          <w:rFonts w:hint="cs"/>
          <w:rtl/>
          <w:lang w:bidi="ar-EG"/>
        </w:rPr>
        <w:t xml:space="preserve"> و</w:t>
      </w:r>
      <w:r w:rsidR="00440CE0" w:rsidRPr="00BD6D99">
        <w:rPr>
          <w:lang w:bidi="ar-EG"/>
        </w:rPr>
        <w:t>74</w:t>
      </w:r>
      <w:r w:rsidR="00440CE0" w:rsidRPr="00BD6D99">
        <w:rPr>
          <w:rFonts w:hint="cs"/>
          <w:rtl/>
          <w:lang w:bidi="ar-EG"/>
        </w:rPr>
        <w:t xml:space="preserve"> </w:t>
      </w:r>
      <w:r w:rsidR="00902380" w:rsidRPr="00BD6D99">
        <w:rPr>
          <w:rFonts w:hint="cs"/>
          <w:rtl/>
          <w:lang w:bidi="ar-EG"/>
        </w:rPr>
        <w:t>وما إلى ذلك</w:t>
      </w:r>
      <w:r w:rsidR="00AD03AB" w:rsidRPr="00BD6D99">
        <w:rPr>
          <w:rFonts w:hint="cs"/>
          <w:rtl/>
          <w:lang w:bidi="ar-EG"/>
        </w:rPr>
        <w:t>. وبغية</w:t>
      </w:r>
      <w:r w:rsidRPr="00BD6D99">
        <w:rPr>
          <w:rFonts w:hint="eastAsia"/>
          <w:rtl/>
          <w:lang w:bidi="ar-EG"/>
        </w:rPr>
        <w:t> </w:t>
      </w:r>
      <w:r w:rsidR="00AD03AB" w:rsidRPr="00BD6D99">
        <w:rPr>
          <w:rFonts w:hint="cs"/>
          <w:rtl/>
          <w:lang w:bidi="ar-EG"/>
        </w:rPr>
        <w:t xml:space="preserve">مراعاة هذه القرارات لزيادة مشاركة البلدان النامية، يلزم بذل المزيد من الجهود لتشجيع </w:t>
      </w:r>
      <w:r w:rsidR="00431000" w:rsidRPr="00BD6D99">
        <w:rPr>
          <w:rFonts w:hint="cs"/>
          <w:rtl/>
          <w:lang w:bidi="ar-EG"/>
        </w:rPr>
        <w:t>مشاركة هذه البلدان</w:t>
      </w:r>
      <w:r w:rsidR="00AD03AB" w:rsidRPr="00BD6D99">
        <w:rPr>
          <w:rFonts w:hint="cs"/>
          <w:rtl/>
          <w:lang w:bidi="ar-EG"/>
        </w:rPr>
        <w:t xml:space="preserve">. ويمكن لزيادة المتطلبات الإلزامية </w:t>
      </w:r>
      <w:r w:rsidR="00431000" w:rsidRPr="00BD6D99">
        <w:rPr>
          <w:rFonts w:hint="cs"/>
          <w:rtl/>
          <w:lang w:bidi="ar-EG"/>
        </w:rPr>
        <w:t>فيما يتعلق</w:t>
      </w:r>
      <w:r w:rsidR="00AD03AB" w:rsidRPr="00BD6D99">
        <w:rPr>
          <w:rFonts w:hint="cs"/>
          <w:rtl/>
          <w:lang w:bidi="ar-EG"/>
        </w:rPr>
        <w:t xml:space="preserve"> </w:t>
      </w:r>
      <w:r w:rsidR="00431000" w:rsidRPr="00BD6D99">
        <w:rPr>
          <w:rFonts w:hint="cs"/>
          <w:rtl/>
          <w:lang w:bidi="ar-EG"/>
        </w:rPr>
        <w:t>ب</w:t>
      </w:r>
      <w:r w:rsidR="00AD03AB" w:rsidRPr="00BD6D99">
        <w:rPr>
          <w:rFonts w:hint="cs"/>
          <w:rtl/>
          <w:lang w:bidi="ar-EG"/>
        </w:rPr>
        <w:t xml:space="preserve">إعداد التوصيات </w:t>
      </w:r>
      <w:r w:rsidR="005154C4" w:rsidRPr="00BD6D99">
        <w:rPr>
          <w:rFonts w:hint="cs"/>
          <w:rtl/>
          <w:lang w:bidi="ar-EG"/>
        </w:rPr>
        <w:t>أن تؤثر سلباً</w:t>
      </w:r>
      <w:r w:rsidR="00AD03AB" w:rsidRPr="00BD6D99">
        <w:rPr>
          <w:rFonts w:hint="cs"/>
          <w:rtl/>
          <w:lang w:bidi="ar-EG"/>
        </w:rPr>
        <w:t xml:space="preserve"> على</w:t>
      </w:r>
      <w:r w:rsidR="00F15C13">
        <w:rPr>
          <w:rFonts w:hint="eastAsia"/>
          <w:rtl/>
          <w:lang w:bidi="ar-EG"/>
        </w:rPr>
        <w:t> </w:t>
      </w:r>
      <w:r w:rsidR="00AD03AB" w:rsidRPr="00BD6D99">
        <w:rPr>
          <w:rFonts w:hint="cs"/>
          <w:rtl/>
          <w:lang w:bidi="ar-EG"/>
        </w:rPr>
        <w:t>مشاركتها.</w:t>
      </w:r>
    </w:p>
    <w:p w:rsidR="00110B22" w:rsidRDefault="001D34A3" w:rsidP="00F5617A">
      <w:pPr>
        <w:pStyle w:val="Headingb"/>
        <w:rPr>
          <w:rtl/>
        </w:rPr>
      </w:pPr>
      <w:r>
        <w:rPr>
          <w:rFonts w:hint="cs"/>
          <w:rtl/>
        </w:rPr>
        <w:t>ال</w:t>
      </w:r>
      <w:r w:rsidR="00F5617A">
        <w:rPr>
          <w:rFonts w:hint="cs"/>
          <w:rtl/>
        </w:rPr>
        <w:t>مقترح</w:t>
      </w:r>
    </w:p>
    <w:p w:rsidR="00110B22" w:rsidRPr="00431000" w:rsidRDefault="00431000" w:rsidP="00D6113D">
      <w:pPr>
        <w:rPr>
          <w:rtl/>
          <w:lang w:bidi="ar-EG"/>
        </w:rPr>
      </w:pPr>
      <w:r>
        <w:rPr>
          <w:rFonts w:hint="cs"/>
          <w:rtl/>
        </w:rPr>
        <w:t xml:space="preserve">تشارك </w:t>
      </w:r>
      <w:r w:rsidRPr="00123847">
        <w:rPr>
          <w:rtl/>
        </w:rPr>
        <w:t>إدارات أعضاء جماعة آسيا والمحيط الهادئ للاتصالات</w:t>
      </w:r>
      <w:r>
        <w:rPr>
          <w:rFonts w:hint="cs"/>
          <w:rtl/>
        </w:rPr>
        <w:t xml:space="preserve"> بفعالية في أنشطة التقييس التي يضطلع بها قطاع تقييس الاتصالات. ومع ذلك، فإن إضافة شرط إلزامي أي "أربع كيانات على الأقل (دول أعضاء، أعضاء القطاع، منتسبون، هيئات أكاديمية) من</w:t>
      </w:r>
      <w:r w:rsidR="00D6113D">
        <w:rPr>
          <w:rFonts w:hint="eastAsia"/>
          <w:rtl/>
        </w:rPr>
        <w:t> </w:t>
      </w:r>
      <w:r>
        <w:rPr>
          <w:rFonts w:hint="cs"/>
          <w:rtl/>
        </w:rPr>
        <w:t xml:space="preserve">أربعة بلدان مختلفة </w:t>
      </w:r>
      <w:r w:rsidR="00D76496">
        <w:rPr>
          <w:rFonts w:hint="cs"/>
          <w:rtl/>
          <w:lang w:bidi="ar-EG"/>
        </w:rPr>
        <w:t>من أجل</w:t>
      </w:r>
      <w:r>
        <w:rPr>
          <w:rFonts w:hint="cs"/>
          <w:rtl/>
          <w:lang w:bidi="ar-EG"/>
        </w:rPr>
        <w:t xml:space="preserve"> بند عمل جديد" إلى الفقرة </w:t>
      </w:r>
      <w:r>
        <w:rPr>
          <w:lang w:bidi="ar-EG"/>
        </w:rPr>
        <w:t>7.4.1</w:t>
      </w:r>
      <w:r>
        <w:rPr>
          <w:rFonts w:hint="cs"/>
          <w:rtl/>
          <w:lang w:bidi="ar-EG"/>
        </w:rPr>
        <w:t xml:space="preserve"> من التوصية</w:t>
      </w:r>
      <w:r w:rsidR="00D6113D">
        <w:rPr>
          <w:rFonts w:hint="eastAsia"/>
          <w:rtl/>
          <w:lang w:bidi="ar-EG"/>
        </w:rPr>
        <w:t> </w:t>
      </w:r>
      <w:r>
        <w:rPr>
          <w:lang w:bidi="ar-EG"/>
        </w:rPr>
        <w:t>ITU-T A.1</w:t>
      </w:r>
      <w:r>
        <w:rPr>
          <w:rFonts w:hint="cs"/>
          <w:rtl/>
          <w:lang w:bidi="ar-EG"/>
        </w:rPr>
        <w:t xml:space="preserve">، قد يثبط الأعضاء عن المشاركة نظراً إلى الأسباب المذكورة في الفقرة </w:t>
      </w:r>
      <w:r>
        <w:rPr>
          <w:lang w:bidi="ar-EG"/>
        </w:rPr>
        <w:t>1</w:t>
      </w:r>
      <w:r w:rsidR="00F15C13">
        <w:rPr>
          <w:rFonts w:hint="eastAsia"/>
          <w:rtl/>
          <w:lang w:bidi="ar-EG"/>
        </w:rPr>
        <w:t> </w:t>
      </w:r>
      <w:r w:rsidR="00D76496">
        <w:rPr>
          <w:rFonts w:hint="cs"/>
          <w:rtl/>
          <w:lang w:bidi="ar-EG"/>
        </w:rPr>
        <w:t>أعلاه</w:t>
      </w:r>
      <w:r>
        <w:rPr>
          <w:rFonts w:hint="cs"/>
          <w:rtl/>
          <w:lang w:bidi="ar-EG"/>
        </w:rPr>
        <w:t xml:space="preserve">. </w:t>
      </w:r>
    </w:p>
    <w:p w:rsidR="00D6113D" w:rsidRDefault="004A6C44" w:rsidP="00844B8C">
      <w:pPr>
        <w:rPr>
          <w:rtl/>
          <w:lang w:bidi="ar-EG"/>
        </w:rPr>
      </w:pPr>
      <w:r>
        <w:rPr>
          <w:rFonts w:hint="cs"/>
          <w:rtl/>
        </w:rPr>
        <w:t xml:space="preserve">ولذلك، تود </w:t>
      </w:r>
      <w:r w:rsidRPr="00123847">
        <w:rPr>
          <w:rtl/>
        </w:rPr>
        <w:t>إدارات أعضاء جماعة آسيا والمحيط الهادئ للاتصالات</w:t>
      </w:r>
      <w:r>
        <w:rPr>
          <w:rFonts w:hint="cs"/>
          <w:rtl/>
        </w:rPr>
        <w:t xml:space="preserve"> </w:t>
      </w:r>
      <w:r w:rsidR="00D76496">
        <w:rPr>
          <w:rFonts w:hint="cs"/>
          <w:rtl/>
        </w:rPr>
        <w:t>اقتراح</w:t>
      </w:r>
      <w:r>
        <w:rPr>
          <w:rFonts w:hint="cs"/>
          <w:rtl/>
        </w:rPr>
        <w:t xml:space="preserve"> الإبقاء على </w:t>
      </w:r>
      <w:r>
        <w:rPr>
          <w:rFonts w:hint="cs"/>
          <w:rtl/>
          <w:lang w:bidi="ar-EG"/>
        </w:rPr>
        <w:t>الفقرة</w:t>
      </w:r>
      <w:r w:rsidR="00D6113D">
        <w:rPr>
          <w:rFonts w:hint="eastAsia"/>
          <w:rtl/>
          <w:lang w:bidi="ar-EG"/>
        </w:rPr>
        <w:t> </w:t>
      </w:r>
      <w:r>
        <w:rPr>
          <w:lang w:bidi="ar-EG"/>
        </w:rPr>
        <w:t>7.4.1</w:t>
      </w:r>
      <w:r>
        <w:rPr>
          <w:rFonts w:hint="cs"/>
          <w:rtl/>
          <w:lang w:bidi="ar-EG"/>
        </w:rPr>
        <w:t xml:space="preserve"> من التوصية</w:t>
      </w:r>
      <w:r w:rsidR="00D6113D">
        <w:rPr>
          <w:rFonts w:hint="eastAsia"/>
          <w:rtl/>
          <w:lang w:bidi="ar-EG"/>
        </w:rPr>
        <w:t> </w:t>
      </w:r>
      <w:r>
        <w:rPr>
          <w:lang w:bidi="ar-EG"/>
        </w:rPr>
        <w:t>ITU</w:t>
      </w:r>
      <w:r w:rsidR="00844B8C">
        <w:rPr>
          <w:lang w:bidi="ar-EG"/>
        </w:rPr>
        <w:noBreakHyphen/>
      </w:r>
      <w:r>
        <w:rPr>
          <w:lang w:bidi="ar-EG"/>
        </w:rPr>
        <w:t>T A.1</w:t>
      </w:r>
      <w:r>
        <w:rPr>
          <w:rFonts w:hint="cs"/>
          <w:rtl/>
          <w:lang w:bidi="ar-EG"/>
        </w:rPr>
        <w:t xml:space="preserve"> كما</w:t>
      </w:r>
      <w:r w:rsidR="00D6113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هي بدون إضافة شرط إلزامي. ونود أيضاً أن نطلب إلى مكتب تقييس الاتصالات توفير مبادئ توجيهية واضحة ومعقولة بشأن القواعد الإجرائية المتصلة بإنشاء بند عمل جديد </w:t>
      </w:r>
      <w:r w:rsidR="00D76496">
        <w:rPr>
          <w:rFonts w:hint="cs"/>
          <w:rtl/>
          <w:lang w:bidi="ar-EG"/>
        </w:rPr>
        <w:t>قابل للتطبيق من جانب</w:t>
      </w:r>
      <w:r>
        <w:rPr>
          <w:rFonts w:hint="cs"/>
          <w:rtl/>
          <w:lang w:bidi="ar-EG"/>
        </w:rPr>
        <w:t xml:space="preserve"> جميع لجان</w:t>
      </w:r>
      <w:r w:rsidR="00F15C1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الدراسات.</w:t>
      </w:r>
    </w:p>
    <w:p w:rsidR="00D6113D" w:rsidRDefault="00D6113D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0F24A3" w:rsidRPr="009C141A" w:rsidRDefault="00077F28" w:rsidP="00D6113D">
      <w:pPr>
        <w:pStyle w:val="Proposal"/>
      </w:pPr>
      <w:r w:rsidRPr="009C141A">
        <w:rPr>
          <w:u w:val="single"/>
        </w:rPr>
        <w:lastRenderedPageBreak/>
        <w:t>NOC</w:t>
      </w:r>
      <w:r w:rsidRPr="009C141A">
        <w:tab/>
        <w:t>APT/44A1/1</w:t>
      </w:r>
    </w:p>
    <w:p w:rsidR="00D6113D" w:rsidRPr="00D6113D" w:rsidRDefault="00D6113D" w:rsidP="00D6113D">
      <w:pPr>
        <w:pStyle w:val="RecNo"/>
        <w:spacing w:before="360"/>
        <w:jc w:val="left"/>
        <w:rPr>
          <w:b w:val="0"/>
          <w:bCs/>
        </w:rPr>
      </w:pPr>
      <w:bookmarkStart w:id="1" w:name="_Toc219803577"/>
      <w:bookmarkStart w:id="2" w:name="_Toc349551646"/>
      <w:r w:rsidRPr="00D6113D">
        <w:rPr>
          <w:rFonts w:hint="cs"/>
          <w:b w:val="0"/>
          <w:bCs/>
          <w:rtl/>
        </w:rPr>
        <w:t>التوصيـة</w:t>
      </w:r>
      <w:r w:rsidRPr="00D6113D">
        <w:rPr>
          <w:rFonts w:hint="eastAsia"/>
          <w:b w:val="0"/>
          <w:bCs/>
          <w:rtl/>
        </w:rPr>
        <w:t> </w:t>
      </w:r>
      <w:r w:rsidRPr="00D6113D">
        <w:rPr>
          <w:rStyle w:val="href"/>
          <w:b w:val="0"/>
          <w:bCs/>
        </w:rPr>
        <w:t>ITU-T A.1</w:t>
      </w:r>
    </w:p>
    <w:p w:rsidR="00DC4BEA" w:rsidRDefault="00077F28" w:rsidP="008266D8">
      <w:pPr>
        <w:pStyle w:val="Rectitle"/>
      </w:pPr>
      <w:r>
        <w:rPr>
          <w:rFonts w:hint="cs"/>
          <w:rtl/>
        </w:rPr>
        <w:t>طرائق عمل لجان الدراسات التابعة لقطاع تقييس الاتصالات</w:t>
      </w:r>
      <w:bookmarkEnd w:id="1"/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للاتحاد الدولي للاتصالات</w:t>
      </w:r>
      <w:bookmarkEnd w:id="2"/>
    </w:p>
    <w:p w:rsidR="00DC4BEA" w:rsidRPr="00005B46" w:rsidRDefault="00077F28" w:rsidP="002178AC">
      <w:pPr>
        <w:pStyle w:val="Recdate"/>
        <w:rPr>
          <w:rtl/>
        </w:rPr>
      </w:pPr>
      <w:r w:rsidRPr="00005B46">
        <w:rPr>
          <w:rFonts w:hint="cs"/>
          <w:rtl/>
        </w:rPr>
        <w:t>(</w:t>
      </w:r>
      <w:r w:rsidRPr="00005B46">
        <w:t>1996</w:t>
      </w:r>
      <w:r w:rsidRPr="00005B46">
        <w:rPr>
          <w:rFonts w:hint="cs"/>
          <w:rtl/>
        </w:rPr>
        <w:t xml:space="preserve">؛ </w:t>
      </w:r>
      <w:r w:rsidRPr="00D14049">
        <w:t>2000</w:t>
      </w:r>
      <w:r w:rsidRPr="00005B46">
        <w:rPr>
          <w:rFonts w:hint="cs"/>
          <w:rtl/>
        </w:rPr>
        <w:t xml:space="preserve">؛ </w:t>
      </w:r>
      <w:r w:rsidRPr="00005B46">
        <w:t>2004</w:t>
      </w:r>
      <w:r w:rsidRPr="00005B46">
        <w:rPr>
          <w:rFonts w:hint="cs"/>
          <w:rtl/>
        </w:rPr>
        <w:t xml:space="preserve">؛ </w:t>
      </w:r>
      <w:r w:rsidRPr="008266D8">
        <w:rPr>
          <w:rStyle w:val="Recdef"/>
          <w:b w:val="0"/>
          <w:bCs/>
        </w:rPr>
        <w:t>2006</w:t>
      </w:r>
      <w:r w:rsidRPr="008266D8">
        <w:rPr>
          <w:rFonts w:hint="cs"/>
          <w:rtl/>
        </w:rPr>
        <w:t>؛</w:t>
      </w:r>
      <w:r w:rsidRPr="00005B46">
        <w:rPr>
          <w:rFonts w:hint="cs"/>
          <w:rtl/>
        </w:rPr>
        <w:t xml:space="preserve"> </w:t>
      </w:r>
      <w:r w:rsidRPr="00005B46">
        <w:t>2008</w:t>
      </w:r>
      <w:r w:rsidRPr="00005B46">
        <w:rPr>
          <w:rFonts w:hint="cs"/>
          <w:rtl/>
        </w:rPr>
        <w:t xml:space="preserve">؛ </w:t>
      </w:r>
      <w:r w:rsidRPr="00005B46">
        <w:rPr>
          <w:lang w:val="en-US"/>
        </w:rPr>
        <w:t>2012</w:t>
      </w:r>
      <w:r w:rsidRPr="00005B46">
        <w:rPr>
          <w:rFonts w:hint="cs"/>
          <w:rtl/>
        </w:rPr>
        <w:t>)</w:t>
      </w:r>
    </w:p>
    <w:p w:rsidR="000F24A3" w:rsidRDefault="00077F28" w:rsidP="00D6113D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D34A3" w:rsidRPr="00470141">
        <w:rPr>
          <w:rFonts w:hint="cs"/>
          <w:b w:val="0"/>
          <w:bCs w:val="0"/>
          <w:rtl/>
          <w:lang w:bidi="ar-EG"/>
        </w:rPr>
        <w:t>انظر المقدمة والمقترح في الإضافة</w:t>
      </w:r>
      <w:r w:rsidR="00D6113D">
        <w:rPr>
          <w:rFonts w:hint="eastAsia"/>
          <w:b w:val="0"/>
          <w:bCs w:val="0"/>
          <w:rtl/>
          <w:lang w:bidi="ar-EG"/>
        </w:rPr>
        <w:t> </w:t>
      </w:r>
      <w:r w:rsidR="001D34A3" w:rsidRPr="00470141">
        <w:rPr>
          <w:b w:val="0"/>
          <w:bCs w:val="0"/>
          <w:lang w:bidi="ar-EG"/>
        </w:rPr>
        <w:t>1</w:t>
      </w:r>
      <w:r w:rsidR="001D34A3" w:rsidRPr="00470141">
        <w:rPr>
          <w:rFonts w:hint="cs"/>
          <w:b w:val="0"/>
          <w:bCs w:val="0"/>
          <w:rtl/>
          <w:lang w:bidi="ar-EG"/>
        </w:rPr>
        <w:t xml:space="preserve"> للوثيقة </w:t>
      </w:r>
      <w:r w:rsidR="001D34A3" w:rsidRPr="00470141">
        <w:rPr>
          <w:b w:val="0"/>
          <w:bCs w:val="0"/>
          <w:lang w:bidi="ar-EG"/>
        </w:rPr>
        <w:t>44</w:t>
      </w:r>
      <w:r w:rsidR="001D34A3" w:rsidRPr="00470141">
        <w:rPr>
          <w:rFonts w:hint="cs"/>
          <w:b w:val="0"/>
          <w:bCs w:val="0"/>
          <w:rtl/>
          <w:lang w:bidi="ar-EG"/>
        </w:rPr>
        <w:t xml:space="preserve"> للجمعية العالمية لتقييس الاتصالات لعام </w:t>
      </w:r>
      <w:r w:rsidR="001D34A3" w:rsidRPr="00470141">
        <w:rPr>
          <w:b w:val="0"/>
          <w:bCs w:val="0"/>
          <w:lang w:bidi="ar-EG"/>
        </w:rPr>
        <w:t>2016</w:t>
      </w:r>
      <w:r w:rsidR="001D34A3" w:rsidRPr="00470141">
        <w:rPr>
          <w:rFonts w:hint="cs"/>
          <w:b w:val="0"/>
          <w:bCs w:val="0"/>
          <w:rtl/>
          <w:lang w:bidi="ar-EG"/>
        </w:rPr>
        <w:t>.</w:t>
      </w:r>
    </w:p>
    <w:p w:rsidR="006E7DBF" w:rsidRPr="006E7DBF" w:rsidRDefault="006E7DBF" w:rsidP="006E7DBF">
      <w:pPr>
        <w:pStyle w:val="Reasons"/>
        <w:rPr>
          <w:rtl/>
          <w:lang w:bidi="ar-EG"/>
        </w:rPr>
      </w:pPr>
    </w:p>
    <w:p w:rsidR="00F5617A" w:rsidRPr="00F5617A" w:rsidRDefault="00F5617A" w:rsidP="00F5617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5617A" w:rsidRPr="00F5617A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F5617A" w:rsidRDefault="00E07379" w:rsidP="002B6AD2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F5617A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844B8C">
      <w:rPr>
        <w:rFonts w:cs="Times New Roman"/>
        <w:noProof/>
        <w:sz w:val="16"/>
        <w:szCs w:val="16"/>
        <w:lang w:val="fr-CH"/>
      </w:rPr>
      <w:t>P:\ARA\ITU-T\CONF-T\WTSA16\000\044ADD01A.docx</w:t>
    </w:r>
    <w:r w:rsidRPr="00E07379">
      <w:rPr>
        <w:rFonts w:cs="Times New Roman"/>
        <w:sz w:val="16"/>
        <w:szCs w:val="16"/>
      </w:rPr>
      <w:fldChar w:fldCharType="end"/>
    </w:r>
    <w:r w:rsidR="002B6AD2">
      <w:rPr>
        <w:rFonts w:cs="Times New Roman"/>
        <w:sz w:val="16"/>
        <w:szCs w:val="16"/>
        <w:lang w:val="fr-CH"/>
      </w:rPr>
      <w:t>   </w:t>
    </w:r>
    <w:r w:rsidR="00F5617A" w:rsidRPr="00F5617A">
      <w:rPr>
        <w:rFonts w:cs="Times New Roman"/>
        <w:sz w:val="16"/>
        <w:szCs w:val="16"/>
        <w:lang w:val="fr-CH"/>
      </w:rPr>
      <w:t>(</w:t>
    </w:r>
    <w:r w:rsidR="00F5617A">
      <w:rPr>
        <w:rFonts w:cs="Times New Roman"/>
        <w:sz w:val="16"/>
        <w:szCs w:val="16"/>
        <w:lang w:val="fr-CH"/>
      </w:rPr>
      <w:t>405889</w:t>
    </w:r>
    <w:r w:rsidR="00F5617A" w:rsidRPr="00F5617A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3D" w:rsidRPr="00F5617A" w:rsidRDefault="00D6113D" w:rsidP="002B6AD2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F5617A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2B6AD2">
      <w:rPr>
        <w:rFonts w:cs="Times New Roman"/>
        <w:noProof/>
        <w:sz w:val="16"/>
        <w:szCs w:val="16"/>
        <w:lang w:val="fr-CH"/>
      </w:rPr>
      <w:t>P:\ARA\ITU-T\CONF-T\WTSA16\000\044ADD01A.docx</w:t>
    </w:r>
    <w:r w:rsidRPr="00E07379">
      <w:rPr>
        <w:rFonts w:cs="Times New Roman"/>
        <w:sz w:val="16"/>
        <w:szCs w:val="16"/>
      </w:rPr>
      <w:fldChar w:fldCharType="end"/>
    </w:r>
    <w:r w:rsidR="002B6AD2">
      <w:rPr>
        <w:rFonts w:cs="Times New Roman"/>
        <w:sz w:val="16"/>
        <w:szCs w:val="16"/>
        <w:lang w:val="fr-CH"/>
      </w:rPr>
      <w:t>   </w:t>
    </w:r>
    <w:r w:rsidRPr="00F5617A">
      <w:rPr>
        <w:rFonts w:cs="Times New Roman"/>
        <w:sz w:val="16"/>
        <w:szCs w:val="16"/>
        <w:lang w:val="fr-CH"/>
      </w:rPr>
      <w:t>(</w:t>
    </w:r>
    <w:r>
      <w:rPr>
        <w:rFonts w:cs="Times New Roman"/>
        <w:sz w:val="16"/>
        <w:szCs w:val="16"/>
        <w:lang w:val="fr-CH"/>
      </w:rPr>
      <w:t>405889</w:t>
    </w:r>
    <w:r w:rsidRPr="00F5617A">
      <w:rPr>
        <w:rFonts w:cs="Times New Roman"/>
        <w:sz w:val="16"/>
        <w:szCs w:val="16"/>
        <w:lang w:val="fr-CH"/>
      </w:rPr>
      <w:t>)</w:t>
    </w:r>
  </w:p>
  <w:p w:rsidR="00E07379" w:rsidRPr="00D6113D" w:rsidRDefault="00E07379" w:rsidP="00E07379">
    <w:pPr>
      <w:spacing w:before="0"/>
      <w:rPr>
        <w:rFonts w:hint="cs"/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0504C7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WTSA16/44(Add.1)-A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5439"/>
    <w:rsid w:val="000124CC"/>
    <w:rsid w:val="00017BAD"/>
    <w:rsid w:val="00046444"/>
    <w:rsid w:val="000504C7"/>
    <w:rsid w:val="0006023B"/>
    <w:rsid w:val="00077F28"/>
    <w:rsid w:val="0008638B"/>
    <w:rsid w:val="00090574"/>
    <w:rsid w:val="00092FC2"/>
    <w:rsid w:val="000A1677"/>
    <w:rsid w:val="000B407F"/>
    <w:rsid w:val="000C24E7"/>
    <w:rsid w:val="000F0B1C"/>
    <w:rsid w:val="000F1D42"/>
    <w:rsid w:val="000F24A3"/>
    <w:rsid w:val="000F4D07"/>
    <w:rsid w:val="00100D83"/>
    <w:rsid w:val="00102A03"/>
    <w:rsid w:val="001040A3"/>
    <w:rsid w:val="00110B22"/>
    <w:rsid w:val="0011151F"/>
    <w:rsid w:val="00123847"/>
    <w:rsid w:val="00125B49"/>
    <w:rsid w:val="00173915"/>
    <w:rsid w:val="001B79DF"/>
    <w:rsid w:val="001D34A3"/>
    <w:rsid w:val="001F3F2C"/>
    <w:rsid w:val="0022345D"/>
    <w:rsid w:val="00225854"/>
    <w:rsid w:val="0023283D"/>
    <w:rsid w:val="002510DA"/>
    <w:rsid w:val="00252E0C"/>
    <w:rsid w:val="00261559"/>
    <w:rsid w:val="00265FF8"/>
    <w:rsid w:val="00276881"/>
    <w:rsid w:val="002978F4"/>
    <w:rsid w:val="002A10A4"/>
    <w:rsid w:val="002B028D"/>
    <w:rsid w:val="002B435E"/>
    <w:rsid w:val="002B6AD2"/>
    <w:rsid w:val="002C4DAE"/>
    <w:rsid w:val="002C7676"/>
    <w:rsid w:val="002E4F2D"/>
    <w:rsid w:val="002E6541"/>
    <w:rsid w:val="002F5560"/>
    <w:rsid w:val="0030486B"/>
    <w:rsid w:val="003231B9"/>
    <w:rsid w:val="003275AC"/>
    <w:rsid w:val="00333D29"/>
    <w:rsid w:val="003409F4"/>
    <w:rsid w:val="00357185"/>
    <w:rsid w:val="0036736F"/>
    <w:rsid w:val="003B375D"/>
    <w:rsid w:val="003C475F"/>
    <w:rsid w:val="003E4132"/>
    <w:rsid w:val="003F49E5"/>
    <w:rsid w:val="003F678F"/>
    <w:rsid w:val="0042686F"/>
    <w:rsid w:val="00431000"/>
    <w:rsid w:val="004367CE"/>
    <w:rsid w:val="00440728"/>
    <w:rsid w:val="00440CE0"/>
    <w:rsid w:val="00443869"/>
    <w:rsid w:val="00446512"/>
    <w:rsid w:val="00453936"/>
    <w:rsid w:val="00470141"/>
    <w:rsid w:val="004712C6"/>
    <w:rsid w:val="00476F8C"/>
    <w:rsid w:val="00497703"/>
    <w:rsid w:val="004A6C44"/>
    <w:rsid w:val="004B56BF"/>
    <w:rsid w:val="004F0F06"/>
    <w:rsid w:val="00501E0E"/>
    <w:rsid w:val="005154C4"/>
    <w:rsid w:val="005204D7"/>
    <w:rsid w:val="00552BC5"/>
    <w:rsid w:val="0055516A"/>
    <w:rsid w:val="0056374C"/>
    <w:rsid w:val="0056614F"/>
    <w:rsid w:val="0057656F"/>
    <w:rsid w:val="00576731"/>
    <w:rsid w:val="0059285F"/>
    <w:rsid w:val="005971F5"/>
    <w:rsid w:val="005A24B1"/>
    <w:rsid w:val="005B6CD6"/>
    <w:rsid w:val="005B7B8A"/>
    <w:rsid w:val="005D6476"/>
    <w:rsid w:val="005D6C0D"/>
    <w:rsid w:val="005E1054"/>
    <w:rsid w:val="005E5283"/>
    <w:rsid w:val="005E58F5"/>
    <w:rsid w:val="005F77FD"/>
    <w:rsid w:val="00606660"/>
    <w:rsid w:val="00615434"/>
    <w:rsid w:val="006157A3"/>
    <w:rsid w:val="006162CF"/>
    <w:rsid w:val="00620E60"/>
    <w:rsid w:val="0063315A"/>
    <w:rsid w:val="0065591D"/>
    <w:rsid w:val="00662C5A"/>
    <w:rsid w:val="00670AF5"/>
    <w:rsid w:val="00681719"/>
    <w:rsid w:val="006A0642"/>
    <w:rsid w:val="006C1556"/>
    <w:rsid w:val="006E7DBF"/>
    <w:rsid w:val="006F267F"/>
    <w:rsid w:val="006F63F7"/>
    <w:rsid w:val="006F6F03"/>
    <w:rsid w:val="00706D7A"/>
    <w:rsid w:val="00726AEC"/>
    <w:rsid w:val="007530CA"/>
    <w:rsid w:val="0079553D"/>
    <w:rsid w:val="007A051E"/>
    <w:rsid w:val="007B01CC"/>
    <w:rsid w:val="007B33B9"/>
    <w:rsid w:val="007E477D"/>
    <w:rsid w:val="007E7E5A"/>
    <w:rsid w:val="007F646C"/>
    <w:rsid w:val="00800FF4"/>
    <w:rsid w:val="00801FCD"/>
    <w:rsid w:val="00803D7E"/>
    <w:rsid w:val="00803F08"/>
    <w:rsid w:val="008235CD"/>
    <w:rsid w:val="00823A07"/>
    <w:rsid w:val="00835FEC"/>
    <w:rsid w:val="00844B8C"/>
    <w:rsid w:val="00846265"/>
    <w:rsid w:val="008513CB"/>
    <w:rsid w:val="00864F71"/>
    <w:rsid w:val="00866EAA"/>
    <w:rsid w:val="00871124"/>
    <w:rsid w:val="00874D9C"/>
    <w:rsid w:val="008A1810"/>
    <w:rsid w:val="00902380"/>
    <w:rsid w:val="00916B3F"/>
    <w:rsid w:val="00917694"/>
    <w:rsid w:val="009263CD"/>
    <w:rsid w:val="00930E6D"/>
    <w:rsid w:val="00972CA2"/>
    <w:rsid w:val="00982B28"/>
    <w:rsid w:val="00984EA5"/>
    <w:rsid w:val="00992593"/>
    <w:rsid w:val="00996F76"/>
    <w:rsid w:val="009C141A"/>
    <w:rsid w:val="009C17E1"/>
    <w:rsid w:val="009C35ED"/>
    <w:rsid w:val="009F1C12"/>
    <w:rsid w:val="00A25A43"/>
    <w:rsid w:val="00A3295B"/>
    <w:rsid w:val="00A42AE5"/>
    <w:rsid w:val="00A52B61"/>
    <w:rsid w:val="00A5592C"/>
    <w:rsid w:val="00A64820"/>
    <w:rsid w:val="00A71DD6"/>
    <w:rsid w:val="00A723C7"/>
    <w:rsid w:val="00A750EE"/>
    <w:rsid w:val="00A80E11"/>
    <w:rsid w:val="00A97F94"/>
    <w:rsid w:val="00AB1309"/>
    <w:rsid w:val="00AC2C52"/>
    <w:rsid w:val="00AD03AB"/>
    <w:rsid w:val="00AD1503"/>
    <w:rsid w:val="00AD6DF3"/>
    <w:rsid w:val="00AE7244"/>
    <w:rsid w:val="00AF3FEE"/>
    <w:rsid w:val="00B02F46"/>
    <w:rsid w:val="00B2000C"/>
    <w:rsid w:val="00B20ADE"/>
    <w:rsid w:val="00B54FC2"/>
    <w:rsid w:val="00B63402"/>
    <w:rsid w:val="00B66B9A"/>
    <w:rsid w:val="00B82089"/>
    <w:rsid w:val="00B970AE"/>
    <w:rsid w:val="00BA1427"/>
    <w:rsid w:val="00BB28AA"/>
    <w:rsid w:val="00BB6F20"/>
    <w:rsid w:val="00BD6D99"/>
    <w:rsid w:val="00BE49D0"/>
    <w:rsid w:val="00BF2C38"/>
    <w:rsid w:val="00C23331"/>
    <w:rsid w:val="00C265DA"/>
    <w:rsid w:val="00C442F2"/>
    <w:rsid w:val="00C5004B"/>
    <w:rsid w:val="00C52612"/>
    <w:rsid w:val="00C674FE"/>
    <w:rsid w:val="00C7297D"/>
    <w:rsid w:val="00C75633"/>
    <w:rsid w:val="00C8242E"/>
    <w:rsid w:val="00C82615"/>
    <w:rsid w:val="00C867DB"/>
    <w:rsid w:val="00CA2A38"/>
    <w:rsid w:val="00CA42F1"/>
    <w:rsid w:val="00CA50FF"/>
    <w:rsid w:val="00CC3CD2"/>
    <w:rsid w:val="00CC43BE"/>
    <w:rsid w:val="00CC5FD1"/>
    <w:rsid w:val="00CD123C"/>
    <w:rsid w:val="00CD2085"/>
    <w:rsid w:val="00CE2EE1"/>
    <w:rsid w:val="00CF3FFD"/>
    <w:rsid w:val="00D0494C"/>
    <w:rsid w:val="00D05C1F"/>
    <w:rsid w:val="00D14BEB"/>
    <w:rsid w:val="00D21C89"/>
    <w:rsid w:val="00D45542"/>
    <w:rsid w:val="00D6113D"/>
    <w:rsid w:val="00D6492D"/>
    <w:rsid w:val="00D76496"/>
    <w:rsid w:val="00D77D0F"/>
    <w:rsid w:val="00DA1CF0"/>
    <w:rsid w:val="00DB2271"/>
    <w:rsid w:val="00DB5659"/>
    <w:rsid w:val="00DC24B4"/>
    <w:rsid w:val="00DD7A05"/>
    <w:rsid w:val="00DF16DC"/>
    <w:rsid w:val="00DF4988"/>
    <w:rsid w:val="00DF5361"/>
    <w:rsid w:val="00E009A1"/>
    <w:rsid w:val="00E00D15"/>
    <w:rsid w:val="00E071BE"/>
    <w:rsid w:val="00E07379"/>
    <w:rsid w:val="00E14494"/>
    <w:rsid w:val="00E17033"/>
    <w:rsid w:val="00E32189"/>
    <w:rsid w:val="00E415B6"/>
    <w:rsid w:val="00E45211"/>
    <w:rsid w:val="00E7380C"/>
    <w:rsid w:val="00E74BE7"/>
    <w:rsid w:val="00E8066B"/>
    <w:rsid w:val="00E86CC9"/>
    <w:rsid w:val="00E96624"/>
    <w:rsid w:val="00EB1069"/>
    <w:rsid w:val="00EC0A91"/>
    <w:rsid w:val="00EC2A7C"/>
    <w:rsid w:val="00F126F1"/>
    <w:rsid w:val="00F15C13"/>
    <w:rsid w:val="00F2106A"/>
    <w:rsid w:val="00F36D8B"/>
    <w:rsid w:val="00F401D0"/>
    <w:rsid w:val="00F45F2B"/>
    <w:rsid w:val="00F5617A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DC4BEA"/>
  </w:style>
  <w:style w:type="character" w:customStyle="1" w:styleId="Recdef">
    <w:name w:val="Rec_def"/>
    <w:rsid w:val="00DC4BEA"/>
    <w:rPr>
      <w:b/>
    </w:rPr>
  </w:style>
  <w:style w:type="paragraph" w:customStyle="1" w:styleId="Recdate">
    <w:name w:val="Rec_date"/>
    <w:basedOn w:val="Normal"/>
    <w:next w:val="Normal"/>
    <w:rsid w:val="002178AC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 italic" w:hAnsi="Times New Roman italic"/>
      <w:i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T09-TSAG-C-005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T13-TSAG-C-0086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T09-TSAG-120110-TD-GEN-0354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ade5b9c-389c-4b07-927e-ddbc534d2aa3" targetNamespace="http://schemas.microsoft.com/office/2006/metadata/properties" ma:root="true" ma:fieldsID="d41af5c836d734370eb92e7ee5f83852" ns2:_="" ns3:_="">
    <xsd:import namespace="996b2e75-67fd-4955-a3b0-5ab9934cb50b"/>
    <xsd:import namespace="eade5b9c-389c-4b07-927e-ddbc534d2aa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5b9c-389c-4b07-927e-ddbc534d2aa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ade5b9c-389c-4b07-927e-ddbc534d2aa3">Documents Proposals Manager (DPM)</DPM_x0020_Author>
    <DPM_x0020_File_x0020_name xmlns="eade5b9c-389c-4b07-927e-ddbc534d2aa3">T13-WTSA.16-C-0044!A1!MSW-A</DPM_x0020_File_x0020_name>
    <DPM_x0020_Version xmlns="eade5b9c-389c-4b07-927e-ddbc534d2aa3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ade5b9c-389c-4b07-927e-ddbc534d2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2006/documentManagement/types"/>
    <ds:schemaRef ds:uri="eade5b9c-389c-4b07-927e-ddbc534d2aa3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8D185B-3EED-4BD2-8979-2AA8F49F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T13-WTSA.16-C-0044!A1!MSW-A</vt:lpstr>
    </vt:vector>
  </TitlesOfParts>
  <Company>International Telecommunication Union (ITU)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17</cp:revision>
  <cp:lastPrinted>2016-10-19T11:50:00Z</cp:lastPrinted>
  <dcterms:created xsi:type="dcterms:W3CDTF">2016-10-19T10:01:00Z</dcterms:created>
  <dcterms:modified xsi:type="dcterms:W3CDTF">2016-10-20T10:59:00Z</dcterms:modified>
  <cp:category>Conference document</cp:category>
</cp:coreProperties>
</file>