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621F93">
            <w:pPr>
              <w:pStyle w:val="Docnumber"/>
              <w:ind w:left="-57"/>
            </w:pPr>
            <w:r>
              <w:t xml:space="preserve">Document </w:t>
            </w:r>
            <w:r w:rsidR="00621F93">
              <w:t>44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621F93" w:rsidP="00E94DBA">
            <w:pPr>
              <w:pStyle w:val="Docnumber"/>
              <w:ind w:left="-57"/>
            </w:pPr>
            <w:r>
              <w:t>5 October</w:t>
            </w:r>
            <w:r w:rsidR="00BC7D84" w:rsidRPr="003251EA">
              <w:t xml:space="preserve">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2C0BBE">
            <w:pPr>
              <w:pStyle w:val="Source"/>
              <w:rPr>
                <w:highlight w:val="yellow"/>
              </w:rPr>
            </w:pPr>
            <w:r>
              <w:t xml:space="preserve">Asia-Pacific Telecommunity </w:t>
            </w:r>
            <w:r w:rsidR="007B4DB9">
              <w:t xml:space="preserve">Member </w:t>
            </w:r>
            <w:r>
              <w:t>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621F93" w:rsidP="00F00DDC">
            <w:pPr>
              <w:pStyle w:val="Title1"/>
              <w:rPr>
                <w:highlight w:val="yellow"/>
              </w:rPr>
            </w:pPr>
            <w:r w:rsidRPr="00621F93">
              <w:t>Asia-Pacific Telecommunity Common Proposals for the work of the Assembly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</w:tbl>
    <w:p w:rsidR="009E1967" w:rsidRPr="007B4DB9" w:rsidRDefault="009E1967" w:rsidP="009E1967">
      <w:pPr>
        <w:rPr>
          <w:i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Default="009E1967" w:rsidP="007B4DB9">
            <w:pPr>
              <w:ind w:hanging="108"/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  <w:p w:rsidR="003335F3" w:rsidRPr="00426748" w:rsidRDefault="003335F3" w:rsidP="00D055D3"/>
        </w:tc>
        <w:tc>
          <w:tcPr>
            <w:tcW w:w="8079" w:type="dxa"/>
          </w:tcPr>
          <w:p w:rsidR="009E1967" w:rsidRPr="002957A7" w:rsidRDefault="00621F93" w:rsidP="00621F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This document</w:t>
            </w:r>
            <w:r w:rsidRPr="00621F93">
              <w:rPr>
                <w:color w:val="000000" w:themeColor="text1"/>
              </w:rPr>
              <w:t xml:space="preserve"> provides a table of </w:t>
            </w:r>
            <w:r>
              <w:rPr>
                <w:color w:val="000000" w:themeColor="text1"/>
              </w:rPr>
              <w:t xml:space="preserve">Common Proposals from </w:t>
            </w:r>
            <w:r w:rsidRPr="00621F93">
              <w:rPr>
                <w:color w:val="000000" w:themeColor="text1"/>
              </w:rPr>
              <w:t xml:space="preserve">Asia-Pacific </w:t>
            </w:r>
            <w:proofErr w:type="spellStart"/>
            <w:r w:rsidRPr="00621F93">
              <w:rPr>
                <w:color w:val="000000" w:themeColor="text1"/>
              </w:rPr>
              <w:t>Telecommunity</w:t>
            </w:r>
            <w:proofErr w:type="spellEnd"/>
            <w:r w:rsidRPr="00621F93">
              <w:rPr>
                <w:color w:val="000000" w:themeColor="text1"/>
              </w:rPr>
              <w:t xml:space="preserve"> Member Administrations</w:t>
            </w:r>
            <w:r>
              <w:rPr>
                <w:color w:val="000000" w:themeColor="text1"/>
              </w:rPr>
              <w:t xml:space="preserve"> and provides information on their endorsement from </w:t>
            </w:r>
            <w:r w:rsidRPr="00621F93">
              <w:rPr>
                <w:color w:val="000000" w:themeColor="text1"/>
              </w:rPr>
              <w:t>APT Member Administrations.</w:t>
            </w:r>
          </w:p>
        </w:tc>
      </w:tr>
    </w:tbl>
    <w:p w:rsidR="003335F3" w:rsidRDefault="003335F3" w:rsidP="00621F93">
      <w:r>
        <w:t xml:space="preserve">The Asia-Pacific Telecommunity Common Proposals (ACPs) </w:t>
      </w:r>
      <w:r w:rsidR="00E24995">
        <w:t xml:space="preserve">for WTSA-16 </w:t>
      </w:r>
      <w:r>
        <w:t xml:space="preserve">were developed over four meetings of </w:t>
      </w:r>
      <w:r w:rsidR="00E24995">
        <w:t xml:space="preserve">the </w:t>
      </w:r>
      <w:r>
        <w:t xml:space="preserve">APT Preparatory Group for WTSA-16. The ACPs provided in </w:t>
      </w:r>
      <w:r w:rsidR="00950699">
        <w:t xml:space="preserve">the </w:t>
      </w:r>
      <w:r w:rsidR="00621F93">
        <w:t>addenda</w:t>
      </w:r>
      <w:r>
        <w:t xml:space="preserve"> were finalized at the Fourth Meeting of </w:t>
      </w:r>
      <w:r w:rsidR="00C21AD8">
        <w:t xml:space="preserve">the </w:t>
      </w:r>
      <w:r>
        <w:t>APT Preparatory Group for WTSA-16 (WTSA16-4) held from 23 to 26 August 2016 in Da Nang, Viet Nam</w:t>
      </w:r>
      <w:r w:rsidR="00621F93">
        <w:t>,</w:t>
      </w:r>
      <w:r w:rsidR="00950699">
        <w:t xml:space="preserve"> and </w:t>
      </w:r>
      <w:r w:rsidR="002C0BBE">
        <w:t>subsequently endorsed by APT Member Administrations</w:t>
      </w:r>
      <w:r w:rsidR="00621F93">
        <w:t>.</w:t>
      </w:r>
    </w:p>
    <w:p w:rsidR="003335F3" w:rsidRDefault="00213A3F" w:rsidP="00621F93">
      <w:r>
        <w:t xml:space="preserve">Annex 1 provides a table of ACPs which includes </w:t>
      </w:r>
      <w:r w:rsidR="002C0BBE">
        <w:t xml:space="preserve">its </w:t>
      </w:r>
      <w:r>
        <w:t>Number, Title and Addendum Number for cross reference.</w:t>
      </w:r>
    </w:p>
    <w:p w:rsidR="003335F3" w:rsidRDefault="00213A3F" w:rsidP="00621F93">
      <w:r>
        <w:t xml:space="preserve">Annex 2 </w:t>
      </w:r>
      <w:r w:rsidR="002C0BBE">
        <w:t xml:space="preserve">provides information of </w:t>
      </w:r>
      <w:r w:rsidR="003335F3">
        <w:t>the APT Member Administrations</w:t>
      </w:r>
      <w:r>
        <w:t>’</w:t>
      </w:r>
      <w:r w:rsidR="003335F3">
        <w:t xml:space="preserve"> </w:t>
      </w:r>
      <w:r w:rsidR="009C4CD3">
        <w:t xml:space="preserve">endorsement for </w:t>
      </w:r>
      <w:r>
        <w:t>ACP</w:t>
      </w:r>
      <w:r w:rsidR="009C4CD3">
        <w:t>s</w:t>
      </w:r>
      <w:r>
        <w:t>.</w:t>
      </w:r>
    </w:p>
    <w:p w:rsidR="00ED30BC" w:rsidRDefault="00ED30BC" w:rsidP="00E249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>
        <w:br w:type="page"/>
      </w:r>
    </w:p>
    <w:p w:rsidR="00402414" w:rsidRPr="00402414" w:rsidRDefault="00402414" w:rsidP="00621F93">
      <w:pPr>
        <w:pStyle w:val="AnnexNo"/>
      </w:pPr>
      <w:r w:rsidRPr="00402414">
        <w:lastRenderedPageBreak/>
        <w:t>Annex 1</w:t>
      </w:r>
    </w:p>
    <w:p w:rsidR="00402414" w:rsidRPr="009D455F" w:rsidRDefault="00402414" w:rsidP="00402414">
      <w:pPr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shd w:val="clear" w:color="auto" w:fill="A1CFC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570"/>
        <w:gridCol w:w="1409"/>
      </w:tblGrid>
      <w:tr w:rsidR="009757E6" w:rsidRPr="009D455F" w:rsidTr="00621F93">
        <w:trPr>
          <w:tblHeader/>
        </w:trPr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Default="00402414" w:rsidP="00621F93">
            <w:pPr>
              <w:spacing w:before="80" w:after="80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ACP</w:t>
            </w:r>
          </w:p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b/>
                <w:color w:val="000000"/>
                <w:szCs w:val="24"/>
              </w:rPr>
            </w:pPr>
            <w:r w:rsidRPr="009D455F">
              <w:rPr>
                <w:b/>
                <w:color w:val="000000"/>
                <w:szCs w:val="24"/>
              </w:rPr>
              <w:t>No.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b/>
                <w:color w:val="000000"/>
                <w:szCs w:val="24"/>
              </w:rPr>
            </w:pPr>
            <w:r w:rsidRPr="009D455F">
              <w:rPr>
                <w:b/>
                <w:color w:val="000000"/>
                <w:szCs w:val="24"/>
              </w:rPr>
              <w:t>ACP Title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Addendum Number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Recommendation A.1 - Working methods for study groups of the ITU Telecommunication Standardization Sector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2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1 – Rules of procedure of the ITU Telecommunication Standardization Sector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3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22 – Authorization for Telecommunication Standardization Advisory Group to act between world telecommunication standardization assemblies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4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35 – Appointment and maximum term of office for chairmen and vice-chairmen of study groups of the Telecommunication Standardization Sector and of Telecommunication Standardization Advisory Group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5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45 – Effective coordination of standardization work across study groups in the ITU Telecommunication Standardization Sector and the role of Telecommunication Standardization Advisory Group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6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55 – Mainstreaming a gender perspective in ITU Telecommunication Standardization Sector activities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7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70 – Telecommunication/</w:t>
            </w:r>
            <w:r>
              <w:rPr>
                <w:color w:val="000000"/>
                <w:szCs w:val="24"/>
              </w:rPr>
              <w:t xml:space="preserve"> </w:t>
            </w:r>
            <w:r w:rsidRPr="009D455F">
              <w:rPr>
                <w:color w:val="000000"/>
                <w:szCs w:val="24"/>
              </w:rPr>
              <w:t>information and communication technology accessibility for persons with disabilities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8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Suppression of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82 - Strategic and structural review of the ITU Telecommunication Standardization Sector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9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ITU-T SG Structure and 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WTSA-12 Resolution 2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10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New </w:t>
            </w:r>
            <w:r>
              <w:rPr>
                <w:color w:val="000000"/>
                <w:szCs w:val="24"/>
              </w:rPr>
              <w:t xml:space="preserve">WTSA </w:t>
            </w:r>
            <w:r w:rsidRPr="009D455F">
              <w:rPr>
                <w:color w:val="000000"/>
                <w:szCs w:val="24"/>
              </w:rPr>
              <w:t xml:space="preserve">Resolution on </w:t>
            </w:r>
            <w:r w:rsidR="0023488B" w:rsidRPr="0023488B">
              <w:rPr>
                <w:color w:val="000000"/>
                <w:szCs w:val="24"/>
              </w:rPr>
              <w:t>E</w:t>
            </w:r>
            <w:r w:rsidR="0023488B">
              <w:rPr>
                <w:color w:val="000000"/>
                <w:szCs w:val="24"/>
              </w:rPr>
              <w:t xml:space="preserve">nhancing the Standardization Activities in ITU-T on International Mobile Telecommunications 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11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Suppression of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38 - Coordination among the three ITU Sectors for activities relating to International Mobile Telecommunications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12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New </w:t>
            </w:r>
            <w:r>
              <w:rPr>
                <w:color w:val="000000"/>
                <w:szCs w:val="24"/>
              </w:rPr>
              <w:t xml:space="preserve">WTSA </w:t>
            </w:r>
            <w:r w:rsidRPr="009D455F">
              <w:rPr>
                <w:color w:val="000000"/>
                <w:szCs w:val="24"/>
              </w:rPr>
              <w:t xml:space="preserve">Resolution on </w:t>
            </w:r>
            <w:r w:rsidR="00AC349B">
              <w:rPr>
                <w:color w:val="000000"/>
                <w:szCs w:val="24"/>
              </w:rPr>
              <w:t xml:space="preserve">Enhancing the Standardization of </w:t>
            </w:r>
            <w:r w:rsidRPr="009D455F">
              <w:rPr>
                <w:color w:val="000000"/>
                <w:szCs w:val="24"/>
              </w:rPr>
              <w:t xml:space="preserve">Internet of Things and Smart Cities &amp; Communities 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13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50 – Cybersecurity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14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52 – Countering and combating spam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15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77 – Standardization work in the ITU Telecommunication Standardization Sector for software-defined networking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16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New Resolution on </w:t>
            </w:r>
            <w:r w:rsidR="009757E6" w:rsidRPr="009757E6">
              <w:rPr>
                <w:color w:val="000000"/>
                <w:szCs w:val="24"/>
              </w:rPr>
              <w:t>S</w:t>
            </w:r>
            <w:r w:rsidR="009757E6">
              <w:rPr>
                <w:color w:val="000000"/>
                <w:szCs w:val="24"/>
              </w:rPr>
              <w:t xml:space="preserve">tandardization Work in the ITU </w:t>
            </w:r>
            <w:r w:rsidR="009757E6" w:rsidRPr="009757E6">
              <w:rPr>
                <w:color w:val="000000"/>
                <w:szCs w:val="24"/>
              </w:rPr>
              <w:t>T</w:t>
            </w:r>
            <w:r w:rsidR="009757E6">
              <w:rPr>
                <w:color w:val="000000"/>
                <w:szCs w:val="24"/>
              </w:rPr>
              <w:t xml:space="preserve">elecommunication </w:t>
            </w:r>
            <w:proofErr w:type="spellStart"/>
            <w:r w:rsidR="009757E6">
              <w:rPr>
                <w:color w:val="000000"/>
                <w:szCs w:val="24"/>
              </w:rPr>
              <w:t>Standardiation</w:t>
            </w:r>
            <w:proofErr w:type="spellEnd"/>
            <w:r w:rsidR="009757E6">
              <w:rPr>
                <w:color w:val="000000"/>
                <w:szCs w:val="24"/>
              </w:rPr>
              <w:t xml:space="preserve"> Sector for </w:t>
            </w:r>
            <w:r w:rsidRPr="009D455F">
              <w:rPr>
                <w:color w:val="000000"/>
                <w:szCs w:val="24"/>
              </w:rPr>
              <w:t>Cloud-based Event Data Monitoring Application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44 – Br</w:t>
            </w:r>
            <w:bookmarkStart w:id="0" w:name="_GoBack"/>
            <w:bookmarkEnd w:id="0"/>
            <w:r w:rsidRPr="009D455F">
              <w:rPr>
                <w:color w:val="000000"/>
                <w:szCs w:val="24"/>
              </w:rPr>
              <w:t>idging the standardization gap between developing and developed countries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18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64 – IP address allocation and facilitating the transition to and deployment of IPv6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19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72 – Measurement concerns related to human exposure to electromagnetic fields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20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73 – Information and communication technologies, environment and climate change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</w:tr>
      <w:tr w:rsidR="009757E6" w:rsidRPr="009D455F" w:rsidTr="00621F93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21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414" w:rsidRPr="009D455F" w:rsidRDefault="00402414" w:rsidP="00621F93">
            <w:pPr>
              <w:spacing w:before="80" w:after="8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76 – Studies related to conformance and interoperability testing, assistance to developing countries, and a possible future ITU Mark programme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2414" w:rsidRPr="009D455F" w:rsidRDefault="00402414" w:rsidP="00621F93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</w:tr>
    </w:tbl>
    <w:p w:rsidR="00402414" w:rsidRDefault="00402414" w:rsidP="00402414"/>
    <w:p w:rsidR="00402414" w:rsidRDefault="004024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02414" w:rsidRDefault="00402414" w:rsidP="00402414">
      <w:pPr>
        <w:sectPr w:rsidR="00402414"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402414" w:rsidRDefault="00402414" w:rsidP="00621F93">
      <w:pPr>
        <w:pStyle w:val="AnnexNo"/>
      </w:pPr>
      <w:r w:rsidRPr="00402414">
        <w:lastRenderedPageBreak/>
        <w:t>Annex 2</w:t>
      </w:r>
    </w:p>
    <w:p w:rsidR="00402414" w:rsidRPr="00402414" w:rsidRDefault="00F751C1" w:rsidP="00402414">
      <w:pPr>
        <w:jc w:val="center"/>
        <w:rPr>
          <w:b/>
        </w:rPr>
      </w:pPr>
      <w:r>
        <w:rPr>
          <w:b/>
        </w:rPr>
        <w:t xml:space="preserve">APT </w:t>
      </w:r>
      <w:r w:rsidR="00402414" w:rsidRPr="00402414">
        <w:rPr>
          <w:b/>
        </w:rPr>
        <w:t xml:space="preserve">Member Administrations’ </w:t>
      </w:r>
      <w:r w:rsidR="00621F93" w:rsidRPr="00402414">
        <w:rPr>
          <w:b/>
        </w:rPr>
        <w:t xml:space="preserve">endorsement </w:t>
      </w:r>
      <w:r w:rsidR="00402414" w:rsidRPr="00402414">
        <w:rPr>
          <w:b/>
        </w:rPr>
        <w:t>for ACPs</w:t>
      </w:r>
    </w:p>
    <w:tbl>
      <w:tblPr>
        <w:tblW w:w="14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426"/>
      </w:tblGrid>
      <w:tr w:rsidR="00C66A48" w:rsidRPr="009C4CD3" w:rsidTr="009C4CD3">
        <w:trPr>
          <w:cantSplit/>
          <w:trHeight w:val="904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9C4CD3">
              <w:rPr>
                <w:rFonts w:eastAsia="Dotum"/>
                <w:sz w:val="18"/>
                <w:szCs w:val="18"/>
                <w:lang w:val="en-US"/>
              </w:rPr>
              <w:t>Addendum No.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AFG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AUS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BGD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BTN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CBG</w:t>
            </w:r>
          </w:p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CHN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KRE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FJI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IND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INS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IRN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J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KIR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KOR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LAO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MLA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MLD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FSM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BRM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NRU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NPL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NZL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PAK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402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PAL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SMO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SNG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SLM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CLN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THA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TON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TUV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VUT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VTN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Total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D46D3C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5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5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5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6C7C76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3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6C7C76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3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7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13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7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14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16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6C7C76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3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17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7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18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6C7C76">
            <w:pPr>
              <w:pStyle w:val="Tablehead"/>
              <w:spacing w:before="40" w:after="40"/>
              <w:jc w:val="left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</w:tr>
      <w:tr w:rsidR="00C66A48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</w:tr>
    </w:tbl>
    <w:p w:rsidR="00402414" w:rsidRPr="00402414" w:rsidRDefault="00402414" w:rsidP="00402414"/>
    <w:sectPr w:rsidR="00402414" w:rsidRPr="00402414" w:rsidSect="00402414">
      <w:headerReference w:type="first" r:id="rId15"/>
      <w:pgSz w:w="16840" w:h="11907" w:orient="landscape" w:code="9"/>
      <w:pgMar w:top="1138" w:right="1411" w:bottom="1138" w:left="141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8E" w:rsidRDefault="00DB178E">
      <w:r>
        <w:separator/>
      </w:r>
    </w:p>
  </w:endnote>
  <w:endnote w:type="continuationSeparator" w:id="0">
    <w:p w:rsidR="00DB178E" w:rsidRDefault="00DB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6A48">
      <w:rPr>
        <w:noProof/>
      </w:rPr>
      <w:t>04.10.16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621F93" w:rsidRDefault="00621F93" w:rsidP="00621F93">
    <w:pPr>
      <w:pStyle w:val="Footer"/>
      <w:rPr>
        <w:lang w:val="fr-CH"/>
      </w:rPr>
    </w:pPr>
    <w:r w:rsidRPr="00621F93">
      <w:rPr>
        <w:lang w:val="fr-CH"/>
      </w:rPr>
      <w:t>I</w:t>
    </w:r>
    <w:r>
      <w:rPr>
        <w:lang w:val="fr-CH"/>
      </w:rPr>
      <w:t>TU-T\CONF-T\WTSA16\000\44</w:t>
    </w:r>
    <w:r w:rsidRPr="00621F93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621F93" w:rsidRDefault="00621F93" w:rsidP="00621F93">
    <w:pPr>
      <w:pStyle w:val="Footer"/>
      <w:rPr>
        <w:lang w:val="fr-CH"/>
      </w:rPr>
    </w:pPr>
    <w:r w:rsidRPr="00621F93">
      <w:rPr>
        <w:lang w:val="fr-CH"/>
      </w:rPr>
      <w:t>I</w:t>
    </w:r>
    <w:r>
      <w:rPr>
        <w:lang w:val="fr-CH"/>
      </w:rPr>
      <w:t>TU-T\CONF-T\WTSA16\000\44</w:t>
    </w:r>
    <w:r w:rsidRPr="00621F93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8E" w:rsidRDefault="00DB178E">
      <w:r>
        <w:rPr>
          <w:b/>
        </w:rPr>
        <w:t>_______________</w:t>
      </w:r>
    </w:p>
  </w:footnote>
  <w:footnote w:type="continuationSeparator" w:id="0">
    <w:p w:rsidR="00DB178E" w:rsidRDefault="00DB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21F93">
      <w:rPr>
        <w:noProof/>
      </w:rPr>
      <w:t>3</w:t>
    </w:r>
    <w:r>
      <w:fldChar w:fldCharType="end"/>
    </w:r>
  </w:p>
  <w:p w:rsidR="00A066F1" w:rsidRPr="00C72D5C" w:rsidRDefault="00C72D5C" w:rsidP="00621F93">
    <w:pPr>
      <w:pStyle w:val="Header"/>
    </w:pPr>
    <w:r>
      <w:t>WTSA16/</w:t>
    </w:r>
    <w:r w:rsidR="00621F93">
      <w:t>44</w:t>
    </w:r>
    <w:r w:rsidR="008E67E5"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93" w:rsidRDefault="00621F93" w:rsidP="00621F9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621F93" w:rsidRDefault="00621F93" w:rsidP="00621F93">
    <w:pPr>
      <w:pStyle w:val="Header"/>
    </w:pPr>
    <w:r>
      <w:t>WTSA16/44-E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36E8A"/>
    <w:rsid w:val="0003728E"/>
    <w:rsid w:val="00045E5B"/>
    <w:rsid w:val="00051E39"/>
    <w:rsid w:val="00063D0B"/>
    <w:rsid w:val="00077239"/>
    <w:rsid w:val="000807E9"/>
    <w:rsid w:val="00086491"/>
    <w:rsid w:val="00091346"/>
    <w:rsid w:val="00092C79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51DF3"/>
    <w:rsid w:val="00161472"/>
    <w:rsid w:val="0017074E"/>
    <w:rsid w:val="00182117"/>
    <w:rsid w:val="00187BD9"/>
    <w:rsid w:val="00190B55"/>
    <w:rsid w:val="001C3B5F"/>
    <w:rsid w:val="001D02B4"/>
    <w:rsid w:val="001D058F"/>
    <w:rsid w:val="001E6F73"/>
    <w:rsid w:val="002009EA"/>
    <w:rsid w:val="00202CA0"/>
    <w:rsid w:val="00213A3F"/>
    <w:rsid w:val="00214FD6"/>
    <w:rsid w:val="00216B6D"/>
    <w:rsid w:val="00231B70"/>
    <w:rsid w:val="0023488B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C0BBE"/>
    <w:rsid w:val="002D58BE"/>
    <w:rsid w:val="00316B80"/>
    <w:rsid w:val="003251EA"/>
    <w:rsid w:val="003335F3"/>
    <w:rsid w:val="0034635C"/>
    <w:rsid w:val="0036470D"/>
    <w:rsid w:val="00377BD3"/>
    <w:rsid w:val="00384088"/>
    <w:rsid w:val="0039169B"/>
    <w:rsid w:val="00394470"/>
    <w:rsid w:val="003A7F8C"/>
    <w:rsid w:val="003B532E"/>
    <w:rsid w:val="003D0F8B"/>
    <w:rsid w:val="00402414"/>
    <w:rsid w:val="0041348E"/>
    <w:rsid w:val="00420EDB"/>
    <w:rsid w:val="00430F91"/>
    <w:rsid w:val="004373CA"/>
    <w:rsid w:val="004420C9"/>
    <w:rsid w:val="00465799"/>
    <w:rsid w:val="00471EF9"/>
    <w:rsid w:val="00492075"/>
    <w:rsid w:val="004969AD"/>
    <w:rsid w:val="00496EF4"/>
    <w:rsid w:val="004A26C4"/>
    <w:rsid w:val="004B13CB"/>
    <w:rsid w:val="004B4AAE"/>
    <w:rsid w:val="004B7457"/>
    <w:rsid w:val="004C6FBE"/>
    <w:rsid w:val="004D5D5C"/>
    <w:rsid w:val="004D6DFC"/>
    <w:rsid w:val="004F267D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1F93"/>
    <w:rsid w:val="00623F15"/>
    <w:rsid w:val="00643684"/>
    <w:rsid w:val="00657DE0"/>
    <w:rsid w:val="0067500B"/>
    <w:rsid w:val="006763BF"/>
    <w:rsid w:val="00685313"/>
    <w:rsid w:val="00692833"/>
    <w:rsid w:val="00694B15"/>
    <w:rsid w:val="006A6E9B"/>
    <w:rsid w:val="006A72A4"/>
    <w:rsid w:val="006B2081"/>
    <w:rsid w:val="006B7C2A"/>
    <w:rsid w:val="006C23DA"/>
    <w:rsid w:val="006C7C76"/>
    <w:rsid w:val="006E3D45"/>
    <w:rsid w:val="006E6EE0"/>
    <w:rsid w:val="00700547"/>
    <w:rsid w:val="00707E39"/>
    <w:rsid w:val="00710425"/>
    <w:rsid w:val="007149F9"/>
    <w:rsid w:val="00733A30"/>
    <w:rsid w:val="00742F1D"/>
    <w:rsid w:val="00745AEE"/>
    <w:rsid w:val="007465B6"/>
    <w:rsid w:val="00750F10"/>
    <w:rsid w:val="00761B19"/>
    <w:rsid w:val="007742CA"/>
    <w:rsid w:val="00777A9A"/>
    <w:rsid w:val="00790D70"/>
    <w:rsid w:val="007A3D34"/>
    <w:rsid w:val="007B4DB9"/>
    <w:rsid w:val="007D5320"/>
    <w:rsid w:val="007E51BA"/>
    <w:rsid w:val="007E66EA"/>
    <w:rsid w:val="007F3C67"/>
    <w:rsid w:val="00800972"/>
    <w:rsid w:val="00801749"/>
    <w:rsid w:val="00804475"/>
    <w:rsid w:val="0080470F"/>
    <w:rsid w:val="00811633"/>
    <w:rsid w:val="00812602"/>
    <w:rsid w:val="008508D8"/>
    <w:rsid w:val="00864CD2"/>
    <w:rsid w:val="008672F9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0699"/>
    <w:rsid w:val="00952A66"/>
    <w:rsid w:val="0095691C"/>
    <w:rsid w:val="009757E6"/>
    <w:rsid w:val="009B59BB"/>
    <w:rsid w:val="009B6F63"/>
    <w:rsid w:val="009C4CD3"/>
    <w:rsid w:val="009C56E5"/>
    <w:rsid w:val="009E1967"/>
    <w:rsid w:val="009E5FC8"/>
    <w:rsid w:val="009E687A"/>
    <w:rsid w:val="009E6BF4"/>
    <w:rsid w:val="009F1890"/>
    <w:rsid w:val="009F4D71"/>
    <w:rsid w:val="00A066F1"/>
    <w:rsid w:val="00A141AF"/>
    <w:rsid w:val="00A16D29"/>
    <w:rsid w:val="00A30305"/>
    <w:rsid w:val="00A31D2D"/>
    <w:rsid w:val="00A36DF9"/>
    <w:rsid w:val="00A37E72"/>
    <w:rsid w:val="00A41CB8"/>
    <w:rsid w:val="00A4600A"/>
    <w:rsid w:val="00A538A6"/>
    <w:rsid w:val="00A54C25"/>
    <w:rsid w:val="00A710E7"/>
    <w:rsid w:val="00A7372E"/>
    <w:rsid w:val="00A80662"/>
    <w:rsid w:val="00A93B85"/>
    <w:rsid w:val="00AA0B18"/>
    <w:rsid w:val="00AA666F"/>
    <w:rsid w:val="00AB416A"/>
    <w:rsid w:val="00AB7C5F"/>
    <w:rsid w:val="00AC349B"/>
    <w:rsid w:val="00B529AD"/>
    <w:rsid w:val="00B579AE"/>
    <w:rsid w:val="00B6324B"/>
    <w:rsid w:val="00B639E9"/>
    <w:rsid w:val="00B817CD"/>
    <w:rsid w:val="00B94AD0"/>
    <w:rsid w:val="00BA5265"/>
    <w:rsid w:val="00BB3A95"/>
    <w:rsid w:val="00BB59F5"/>
    <w:rsid w:val="00BB6222"/>
    <w:rsid w:val="00BC2FB6"/>
    <w:rsid w:val="00BC7D84"/>
    <w:rsid w:val="00BF4CB0"/>
    <w:rsid w:val="00C0018F"/>
    <w:rsid w:val="00C0539A"/>
    <w:rsid w:val="00C13124"/>
    <w:rsid w:val="00C16A5A"/>
    <w:rsid w:val="00C20466"/>
    <w:rsid w:val="00C20CC4"/>
    <w:rsid w:val="00C214ED"/>
    <w:rsid w:val="00C21AD8"/>
    <w:rsid w:val="00C234E6"/>
    <w:rsid w:val="00C324A8"/>
    <w:rsid w:val="00C479FD"/>
    <w:rsid w:val="00C54517"/>
    <w:rsid w:val="00C64CD8"/>
    <w:rsid w:val="00C66A4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15EFA"/>
    <w:rsid w:val="00D278AC"/>
    <w:rsid w:val="00D41719"/>
    <w:rsid w:val="00D46D3C"/>
    <w:rsid w:val="00D54009"/>
    <w:rsid w:val="00D5651D"/>
    <w:rsid w:val="00D57A34"/>
    <w:rsid w:val="00D643B3"/>
    <w:rsid w:val="00D74898"/>
    <w:rsid w:val="00D801ED"/>
    <w:rsid w:val="00D936BC"/>
    <w:rsid w:val="00D96530"/>
    <w:rsid w:val="00DB178E"/>
    <w:rsid w:val="00DD44AF"/>
    <w:rsid w:val="00DE2AC3"/>
    <w:rsid w:val="00DE5692"/>
    <w:rsid w:val="00DF3E19"/>
    <w:rsid w:val="00DF7799"/>
    <w:rsid w:val="00E0231F"/>
    <w:rsid w:val="00E03C94"/>
    <w:rsid w:val="00E2134A"/>
    <w:rsid w:val="00E24995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AE6"/>
    <w:rsid w:val="00F00DDC"/>
    <w:rsid w:val="00F02766"/>
    <w:rsid w:val="00F05BD4"/>
    <w:rsid w:val="00F2404A"/>
    <w:rsid w:val="00F60D05"/>
    <w:rsid w:val="00F6155B"/>
    <w:rsid w:val="00F65C19"/>
    <w:rsid w:val="00F7356B"/>
    <w:rsid w:val="00F751C1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d77c307-3360-4038-b5de-c65ef00a27c3">Conference Proposals Interface (CPI)</DPM_x0020_Author>
    <DPM_x0020_File_x0020_name xmlns="dd77c307-3360-4038-b5de-c65ef00a27c3">T13-WTSA.16-C-4202!!MSW-E</DPM_x0020_File_x0020_name>
    <DPM_x0020_Version xmlns="dd77c307-3360-4038-b5de-c65ef00a27c3">CPI_2016.9.6.1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d77c307-3360-4038-b5de-c65ef00a27c3" targetNamespace="http://schemas.microsoft.com/office/2006/metadata/properties" ma:root="true" ma:fieldsID="d41af5c836d734370eb92e7ee5f83852" ns2:_="" ns3:_="">
    <xsd:import namespace="996b2e75-67fd-4955-a3b0-5ab9934cb50b"/>
    <xsd:import namespace="dd77c307-3360-4038-b5de-c65ef00a27c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7c307-3360-4038-b5de-c65ef00a27c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dd77c307-3360-4038-b5de-c65ef00a27c3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d77c307-3360-4038-b5de-c65ef00a2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T13-WTSA.16-C-4202!!MSW-E</vt:lpstr>
    </vt:vector>
  </TitlesOfParts>
  <Manager>General Secretariat - Pool</Manager>
  <Company>International Telecommunication Union (ITU)</Company>
  <LinksUpToDate>false</LinksUpToDate>
  <CharactersWithSpaces>5391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T13-WTSA.16-C-4202!!MSW-E</dc:title>
  <dc:subject>World Telecommunication Standardization Assembly</dc:subject>
  <dc:creator>Conference Proposals Interface (CPI)</dc:creator>
  <cp:keywords>CPI_2016.9.6.1</cp:keywords>
  <dc:description>Template used by DPM and CPI for the WTSA-16</dc:description>
  <cp:lastModifiedBy>TSB (RC)</cp:lastModifiedBy>
  <cp:revision>3</cp:revision>
  <cp:lastPrinted>2016-06-06T07:49:00Z</cp:lastPrinted>
  <dcterms:created xsi:type="dcterms:W3CDTF">2016-10-05T07:22:00Z</dcterms:created>
  <dcterms:modified xsi:type="dcterms:W3CDTF">2016-10-05T07:53:00Z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