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281FDC">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281FDC">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281FDC">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281FDC">
            <w:pPr>
              <w:spacing w:before="0"/>
            </w:pPr>
          </w:p>
        </w:tc>
        <w:tc>
          <w:tcPr>
            <w:tcW w:w="3007" w:type="dxa"/>
            <w:gridSpan w:val="2"/>
            <w:tcBorders>
              <w:bottom w:val="single" w:sz="12" w:space="0" w:color="auto"/>
            </w:tcBorders>
          </w:tcPr>
          <w:p w:rsidR="00595780" w:rsidRDefault="00595780" w:rsidP="00281FDC">
            <w:pPr>
              <w:spacing w:before="0"/>
            </w:pPr>
          </w:p>
        </w:tc>
      </w:tr>
      <w:tr w:rsidR="001D581B" w:rsidTr="00530525">
        <w:trPr>
          <w:cantSplit/>
        </w:trPr>
        <w:tc>
          <w:tcPr>
            <w:tcW w:w="6804" w:type="dxa"/>
            <w:gridSpan w:val="2"/>
            <w:tcBorders>
              <w:top w:val="single" w:sz="12" w:space="0" w:color="auto"/>
            </w:tcBorders>
          </w:tcPr>
          <w:p w:rsidR="00595780" w:rsidRDefault="00595780" w:rsidP="00281FDC">
            <w:pPr>
              <w:spacing w:before="0"/>
            </w:pPr>
          </w:p>
        </w:tc>
        <w:tc>
          <w:tcPr>
            <w:tcW w:w="3007" w:type="dxa"/>
            <w:gridSpan w:val="2"/>
          </w:tcPr>
          <w:p w:rsidR="00595780" w:rsidRPr="002074EC" w:rsidRDefault="00595780" w:rsidP="00281FDC">
            <w:pPr>
              <w:spacing w:before="0"/>
              <w:rPr>
                <w:rFonts w:ascii="Verdana" w:hAnsi="Verdana"/>
                <w:b/>
                <w:bCs/>
                <w:sz w:val="20"/>
              </w:rPr>
            </w:pPr>
          </w:p>
        </w:tc>
      </w:tr>
      <w:tr w:rsidR="00C26BA2" w:rsidTr="00530525">
        <w:trPr>
          <w:cantSplit/>
        </w:trPr>
        <w:tc>
          <w:tcPr>
            <w:tcW w:w="6804" w:type="dxa"/>
            <w:gridSpan w:val="2"/>
          </w:tcPr>
          <w:p w:rsidR="00C26BA2" w:rsidRDefault="00C26BA2" w:rsidP="00281FDC">
            <w:pPr>
              <w:spacing w:before="0"/>
            </w:pPr>
            <w:r w:rsidRPr="00930FFD">
              <w:rPr>
                <w:rFonts w:ascii="Verdana" w:hAnsi="Verdana"/>
                <w:b/>
                <w:sz w:val="20"/>
                <w:lang w:val="en-US"/>
              </w:rPr>
              <w:t>SÉANCE PLÉNIÈRE</w:t>
            </w:r>
          </w:p>
        </w:tc>
        <w:tc>
          <w:tcPr>
            <w:tcW w:w="3007" w:type="dxa"/>
            <w:gridSpan w:val="2"/>
          </w:tcPr>
          <w:p w:rsidR="00C26BA2" w:rsidRPr="002A6F8F" w:rsidRDefault="00C26BA2" w:rsidP="00281FDC">
            <w:pPr>
              <w:spacing w:before="0"/>
              <w:rPr>
                <w:rFonts w:ascii="Verdana" w:hAnsi="Verdana"/>
                <w:sz w:val="20"/>
                <w:lang w:val="en-US"/>
              </w:rPr>
            </w:pPr>
            <w:r>
              <w:rPr>
                <w:rFonts w:ascii="Verdana" w:hAnsi="Verdana"/>
                <w:b/>
                <w:sz w:val="20"/>
                <w:lang w:val="en-US"/>
              </w:rPr>
              <w:t>Addendum 32 au</w:t>
            </w:r>
            <w:r>
              <w:rPr>
                <w:rFonts w:ascii="Verdana" w:hAnsi="Verdana"/>
                <w:b/>
                <w:sz w:val="20"/>
                <w:lang w:val="en-US"/>
              </w:rPr>
              <w:br/>
              <w:t>Document 43</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281FDC">
            <w:pPr>
              <w:spacing w:before="0"/>
            </w:pPr>
          </w:p>
        </w:tc>
        <w:tc>
          <w:tcPr>
            <w:tcW w:w="3007" w:type="dxa"/>
            <w:gridSpan w:val="2"/>
          </w:tcPr>
          <w:p w:rsidR="00595780" w:rsidRDefault="00C26BA2" w:rsidP="00281FDC">
            <w:pPr>
              <w:spacing w:before="0"/>
            </w:pPr>
            <w:r w:rsidRPr="002A6F8F">
              <w:rPr>
                <w:rFonts w:ascii="Verdana" w:hAnsi="Verdana"/>
                <w:b/>
                <w:sz w:val="20"/>
                <w:lang w:val="en-US"/>
              </w:rPr>
              <w:t>11 octobre 2016</w:t>
            </w:r>
          </w:p>
        </w:tc>
      </w:tr>
      <w:tr w:rsidR="001D581B" w:rsidTr="00530525">
        <w:trPr>
          <w:cantSplit/>
        </w:trPr>
        <w:tc>
          <w:tcPr>
            <w:tcW w:w="6804" w:type="dxa"/>
            <w:gridSpan w:val="2"/>
          </w:tcPr>
          <w:p w:rsidR="00595780" w:rsidRDefault="00595780" w:rsidP="00281FDC">
            <w:pPr>
              <w:spacing w:before="0"/>
            </w:pPr>
          </w:p>
        </w:tc>
        <w:tc>
          <w:tcPr>
            <w:tcW w:w="3007" w:type="dxa"/>
            <w:gridSpan w:val="2"/>
          </w:tcPr>
          <w:p w:rsidR="00595780" w:rsidRDefault="00C26BA2" w:rsidP="00281FDC">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281FDC">
            <w:pPr>
              <w:spacing w:before="0"/>
              <w:rPr>
                <w:rFonts w:ascii="Verdana" w:hAnsi="Verdana"/>
                <w:b/>
                <w:bCs/>
                <w:sz w:val="20"/>
              </w:rPr>
            </w:pPr>
          </w:p>
        </w:tc>
      </w:tr>
      <w:tr w:rsidR="00595780" w:rsidTr="00530525">
        <w:trPr>
          <w:cantSplit/>
        </w:trPr>
        <w:tc>
          <w:tcPr>
            <w:tcW w:w="9811" w:type="dxa"/>
            <w:gridSpan w:val="4"/>
          </w:tcPr>
          <w:p w:rsidR="00595780" w:rsidRDefault="00C26BA2" w:rsidP="00281FDC">
            <w:pPr>
              <w:pStyle w:val="Source"/>
            </w:pPr>
            <w:r w:rsidRPr="002A6F8F">
              <w:rPr>
                <w:lang w:val="en-US"/>
              </w:rPr>
              <w:t>Administrations des Etats arabes</w:t>
            </w:r>
          </w:p>
        </w:tc>
      </w:tr>
      <w:tr w:rsidR="00595780" w:rsidRPr="00C91E41" w:rsidTr="00530525">
        <w:trPr>
          <w:cantSplit/>
        </w:trPr>
        <w:tc>
          <w:tcPr>
            <w:tcW w:w="9811" w:type="dxa"/>
            <w:gridSpan w:val="4"/>
          </w:tcPr>
          <w:p w:rsidR="00595780" w:rsidRPr="00281FDC" w:rsidRDefault="00C26BA2" w:rsidP="00281FDC">
            <w:pPr>
              <w:pStyle w:val="Title1"/>
              <w:rPr>
                <w:lang w:val="fr-CH"/>
              </w:rPr>
            </w:pPr>
            <w:r w:rsidRPr="00281FDC">
              <w:rPr>
                <w:lang w:val="fr-CH"/>
              </w:rPr>
              <w:t>Propos</w:t>
            </w:r>
            <w:r w:rsidR="00281FDC" w:rsidRPr="00281FDC">
              <w:rPr>
                <w:lang w:val="fr-CH"/>
              </w:rPr>
              <w:t>itions et avis sur la struc</w:t>
            </w:r>
            <w:r w:rsidR="00281FDC">
              <w:rPr>
                <w:lang w:val="fr-CH"/>
              </w:rPr>
              <w:t>TUre de la commission d'E</w:t>
            </w:r>
            <w:r w:rsidR="00D25B65" w:rsidRPr="00281FDC">
              <w:rPr>
                <w:lang w:val="fr-CH"/>
              </w:rPr>
              <w:t>tudes 20 de l'UIT-T</w:t>
            </w:r>
          </w:p>
        </w:tc>
      </w:tr>
      <w:tr w:rsidR="00595780" w:rsidRPr="00C91E41" w:rsidTr="00530525">
        <w:trPr>
          <w:cantSplit/>
        </w:trPr>
        <w:tc>
          <w:tcPr>
            <w:tcW w:w="9811" w:type="dxa"/>
            <w:gridSpan w:val="4"/>
          </w:tcPr>
          <w:p w:rsidR="00595780" w:rsidRPr="00281FDC" w:rsidRDefault="00595780" w:rsidP="00281FDC">
            <w:pPr>
              <w:pStyle w:val="Title2"/>
              <w:spacing w:before="0"/>
              <w:rPr>
                <w:lang w:val="fr-CH"/>
              </w:rPr>
            </w:pPr>
          </w:p>
        </w:tc>
      </w:tr>
      <w:tr w:rsidR="00C26BA2" w:rsidRPr="00C91E41" w:rsidTr="00530525">
        <w:trPr>
          <w:cantSplit/>
        </w:trPr>
        <w:tc>
          <w:tcPr>
            <w:tcW w:w="9811" w:type="dxa"/>
            <w:gridSpan w:val="4"/>
          </w:tcPr>
          <w:p w:rsidR="00C26BA2" w:rsidRPr="00281FDC" w:rsidRDefault="00C26BA2" w:rsidP="00281FDC">
            <w:pPr>
              <w:pStyle w:val="Agendaitem"/>
              <w:rPr>
                <w:lang w:val="fr-CH"/>
              </w:rPr>
            </w:pPr>
          </w:p>
        </w:tc>
      </w:tr>
    </w:tbl>
    <w:p w:rsidR="00E11197" w:rsidRPr="00281FDC" w:rsidRDefault="00E11197" w:rsidP="00281FDC">
      <w:pPr>
        <w:rPr>
          <w:lang w:val="fr-CH"/>
        </w:rPr>
      </w:pPr>
    </w:p>
    <w:tbl>
      <w:tblPr>
        <w:tblW w:w="5089" w:type="pct"/>
        <w:tblLayout w:type="fixed"/>
        <w:tblLook w:val="0000" w:firstRow="0" w:lastRow="0" w:firstColumn="0" w:lastColumn="0" w:noHBand="0" w:noVBand="0"/>
      </w:tblPr>
      <w:tblGrid>
        <w:gridCol w:w="1912"/>
        <w:gridCol w:w="7899"/>
      </w:tblGrid>
      <w:tr w:rsidR="00E11197" w:rsidRPr="00C91E41" w:rsidTr="00193AD1">
        <w:trPr>
          <w:cantSplit/>
        </w:trPr>
        <w:tc>
          <w:tcPr>
            <w:tcW w:w="1951" w:type="dxa"/>
          </w:tcPr>
          <w:p w:rsidR="00E11197" w:rsidRPr="006C4324" w:rsidRDefault="00E11197" w:rsidP="00281FDC">
            <w:pPr>
              <w:rPr>
                <w:lang w:val="fr-CH"/>
              </w:rPr>
            </w:pPr>
            <w:r w:rsidRPr="006C4324">
              <w:rPr>
                <w:b/>
                <w:bCs/>
                <w:lang w:val="fr-CH"/>
              </w:rPr>
              <w:t>Résumé:</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281FDC" w:rsidRDefault="004D5479" w:rsidP="00281FDC">
                <w:pPr>
                  <w:rPr>
                    <w:color w:val="000000" w:themeColor="text1"/>
                    <w:lang w:val="fr-CH"/>
                  </w:rPr>
                </w:pPr>
                <w:r w:rsidRPr="00281FDC">
                  <w:rPr>
                    <w:color w:val="000000" w:themeColor="text1"/>
                    <w:lang w:val="fr-CH"/>
                  </w:rPr>
                  <w:t>Les Admin</w:t>
                </w:r>
                <w:r w:rsidR="00281FDC">
                  <w:rPr>
                    <w:color w:val="000000" w:themeColor="text1"/>
                    <w:lang w:val="fr-CH"/>
                  </w:rPr>
                  <w:t>i</w:t>
                </w:r>
                <w:r w:rsidRPr="00281FDC">
                  <w:rPr>
                    <w:color w:val="000000" w:themeColor="text1"/>
                    <w:lang w:val="fr-CH"/>
                  </w:rPr>
                  <w:t xml:space="preserve">strations des </w:t>
                </w:r>
                <w:proofErr w:type="spellStart"/>
                <w:r w:rsidRPr="00281FDC">
                  <w:rPr>
                    <w:color w:val="000000" w:themeColor="text1"/>
                    <w:lang w:val="fr-CH"/>
                  </w:rPr>
                  <w:t>Etats</w:t>
                </w:r>
                <w:proofErr w:type="spellEnd"/>
                <w:r w:rsidRPr="00281FDC">
                  <w:rPr>
                    <w:color w:val="000000" w:themeColor="text1"/>
                    <w:lang w:val="fr-CH"/>
                  </w:rPr>
                  <w:t xml:space="preserve"> arabes proposent d'adopter deux nouvelles Questions et de revoir la structure de la Commission d'études 20 de l'UIT-T, afin de renforc</w:t>
                </w:r>
                <w:r w:rsidR="00281FDC">
                  <w:rPr>
                    <w:color w:val="000000" w:themeColor="text1"/>
                    <w:lang w:val="fr-CH"/>
                  </w:rPr>
                  <w:t>er le rôle de cette dernière com</w:t>
                </w:r>
                <w:r w:rsidRPr="00281FDC">
                  <w:rPr>
                    <w:color w:val="000000" w:themeColor="text1"/>
                    <w:lang w:val="fr-CH"/>
                  </w:rPr>
                  <w:t>pte tenu des Documents 22 et 21 soumis à l'Assemblée, en particulier de la partie "Observations concernant les futurs travaux".</w:t>
                </w:r>
              </w:p>
            </w:tc>
          </w:sdtContent>
        </w:sdt>
      </w:tr>
    </w:tbl>
    <w:p w:rsidR="00E14DA2" w:rsidRDefault="00E14DA2" w:rsidP="00281FDC">
      <w:pPr>
        <w:pStyle w:val="Headingb"/>
      </w:pPr>
      <w:bookmarkStart w:id="0" w:name="lt_pId011"/>
      <w:r w:rsidRPr="00C70E93">
        <w:t>Discussion</w:t>
      </w:r>
      <w:bookmarkEnd w:id="0"/>
    </w:p>
    <w:p w:rsidR="00E14DA2" w:rsidRPr="00281FDC" w:rsidRDefault="00E14DA2" w:rsidP="00281FDC">
      <w:pPr>
        <w:pStyle w:val="enumlev1"/>
        <w:rPr>
          <w:lang w:val="fr-CH"/>
        </w:rPr>
      </w:pPr>
      <w:r w:rsidRPr="00E14DA2">
        <w:rPr>
          <w:lang w:val="fr-CH"/>
        </w:rPr>
        <w:t>–</w:t>
      </w:r>
      <w:r w:rsidRPr="00E14DA2">
        <w:rPr>
          <w:lang w:val="fr-CH"/>
        </w:rPr>
        <w:tab/>
      </w:r>
      <w:bookmarkStart w:id="1" w:name="lt_pId017"/>
      <w:r w:rsidR="004D5479" w:rsidRPr="00647EFF">
        <w:rPr>
          <w:lang w:val="fr-CH"/>
        </w:rPr>
        <w:t>A sa réunion de juin 2015, l</w:t>
      </w:r>
      <w:r w:rsidRPr="00647EFF">
        <w:rPr>
          <w:lang w:val="fr-CH"/>
        </w:rPr>
        <w:t xml:space="preserve">e </w:t>
      </w:r>
      <w:r w:rsidR="00281FDC" w:rsidRPr="00647EFF">
        <w:rPr>
          <w:lang w:val="fr-CH"/>
        </w:rPr>
        <w:t>Groupe consultatif de la normalisation des télécommunications (</w:t>
      </w:r>
      <w:r w:rsidRPr="00647EFF">
        <w:rPr>
          <w:lang w:val="fr-CH"/>
        </w:rPr>
        <w:t>GCNT</w:t>
      </w:r>
      <w:r w:rsidR="00281FDC" w:rsidRPr="00647EFF">
        <w:rPr>
          <w:lang w:val="fr-CH"/>
        </w:rPr>
        <w:t>)</w:t>
      </w:r>
      <w:r w:rsidRPr="00647EFF">
        <w:rPr>
          <w:lang w:val="fr-CH"/>
        </w:rPr>
        <w:t xml:space="preserve"> a décidé de créer une nouvelle Co</w:t>
      </w:r>
      <w:r w:rsidR="00281FDC" w:rsidRPr="00647EFF">
        <w:rPr>
          <w:lang w:val="fr-CH"/>
        </w:rPr>
        <w:t>mmission d'études 20 de l'UIT-T intitulée</w:t>
      </w:r>
      <w:r w:rsidRPr="00647EFF">
        <w:rPr>
          <w:lang w:val="fr-CH"/>
        </w:rPr>
        <w:t>: "L'Internet des objets et ses applications</w:t>
      </w:r>
      <w:r w:rsidRPr="00E14DA2">
        <w:rPr>
          <w:color w:val="000000"/>
          <w:lang w:val="fr-CH"/>
        </w:rPr>
        <w:t>, y compris les villes et les communautés intelligentes"</w:t>
      </w:r>
      <w:bookmarkEnd w:id="1"/>
      <w:r w:rsidRPr="00E14DA2">
        <w:rPr>
          <w:lang w:val="fr-CH"/>
        </w:rPr>
        <w:t>.</w:t>
      </w:r>
      <w:r>
        <w:rPr>
          <w:lang w:val="fr-CH"/>
        </w:rPr>
        <w:t xml:space="preserve"> </w:t>
      </w:r>
      <w:r w:rsidR="004D5479">
        <w:rPr>
          <w:lang w:val="fr-CH"/>
        </w:rPr>
        <w:t>Le man</w:t>
      </w:r>
      <w:r w:rsidR="00D25B65">
        <w:rPr>
          <w:lang w:val="fr-CH"/>
        </w:rPr>
        <w:t>dat et la structure de la CE 20</w:t>
      </w:r>
      <w:r w:rsidR="00281FDC">
        <w:rPr>
          <w:lang w:val="fr-CH"/>
        </w:rPr>
        <w:t>,</w:t>
      </w:r>
      <w:r w:rsidR="004D5479">
        <w:rPr>
          <w:lang w:val="fr-CH"/>
        </w:rPr>
        <w:t xml:space="preserve"> ainsi que le texte des Questions qui lui sont confiées ont été approuvés par le GCNT à sa réunion de juin 2015 et font l'objet du Document </w:t>
      </w:r>
      <w:hyperlink r:id="rId12" w:history="1">
        <w:r w:rsidRPr="00281FDC">
          <w:rPr>
            <w:color w:val="0000FF"/>
            <w:u w:val="single"/>
            <w:lang w:val="fr-CH"/>
          </w:rPr>
          <w:t>TD322Rév3</w:t>
        </w:r>
      </w:hyperlink>
      <w:r w:rsidRPr="00281FDC">
        <w:rPr>
          <w:lang w:val="fr-CH"/>
        </w:rPr>
        <w:t xml:space="preserve">. </w:t>
      </w:r>
    </w:p>
    <w:p w:rsidR="009D7B26" w:rsidRPr="00281FDC" w:rsidRDefault="00E14DA2" w:rsidP="00281FDC">
      <w:pPr>
        <w:pStyle w:val="enumlev1"/>
        <w:rPr>
          <w:lang w:val="fr-CH"/>
        </w:rPr>
      </w:pPr>
      <w:r w:rsidRPr="00281FDC">
        <w:rPr>
          <w:lang w:val="fr-CH"/>
        </w:rPr>
        <w:t>–</w:t>
      </w:r>
      <w:r w:rsidRPr="00281FDC">
        <w:rPr>
          <w:lang w:val="fr-CH"/>
        </w:rPr>
        <w:tab/>
      </w:r>
      <w:r w:rsidR="009D7B26" w:rsidRPr="00281FDC">
        <w:rPr>
          <w:lang w:val="fr-CH"/>
        </w:rPr>
        <w:t>La structure de la CE 20 a été approuvée par le GCNT à sa réunion de juin 2015, puis modifiée par la CE 20 à sa première réunion, qui a eu lieu du 19 au 23 octobre 2015. La CE 20 a approuvé la struc</w:t>
      </w:r>
      <w:r w:rsidR="00281FDC">
        <w:rPr>
          <w:lang w:val="fr-CH"/>
        </w:rPr>
        <w:t>tu</w:t>
      </w:r>
      <w:r w:rsidR="009D7B26" w:rsidRPr="00281FDC">
        <w:rPr>
          <w:lang w:val="fr-CH"/>
        </w:rPr>
        <w:t>re figurant dans le Document</w:t>
      </w:r>
      <w:r w:rsidRPr="00281FDC">
        <w:rPr>
          <w:lang w:val="fr-CH"/>
        </w:rPr>
        <w:t xml:space="preserve"> </w:t>
      </w:r>
      <w:hyperlink r:id="rId13" w:history="1">
        <w:r w:rsidRPr="00281FDC">
          <w:rPr>
            <w:color w:val="0000FF"/>
            <w:u w:val="single"/>
            <w:lang w:val="fr-CH"/>
          </w:rPr>
          <w:t>TD 003 Ré</w:t>
        </w:r>
        <w:r w:rsidR="00627AAD" w:rsidRPr="00281FDC">
          <w:rPr>
            <w:color w:val="0000FF"/>
            <w:u w:val="single"/>
            <w:lang w:val="fr-CH"/>
          </w:rPr>
          <w:t>v.5</w:t>
        </w:r>
        <w:r w:rsidRPr="00281FDC">
          <w:rPr>
            <w:color w:val="0000FF"/>
            <w:u w:val="single"/>
            <w:lang w:val="fr-CH"/>
          </w:rPr>
          <w:t>(GEN/20)</w:t>
        </w:r>
      </w:hyperlink>
      <w:r w:rsidRPr="00281FDC">
        <w:rPr>
          <w:lang w:val="fr-CH"/>
        </w:rPr>
        <w:t xml:space="preserve">, </w:t>
      </w:r>
      <w:r w:rsidR="009D7B26" w:rsidRPr="00281FDC">
        <w:rPr>
          <w:lang w:val="fr-CH"/>
        </w:rPr>
        <w:t>qui a été présenté au GCNT en février 2016</w:t>
      </w:r>
      <w:r w:rsidRPr="00281FDC">
        <w:rPr>
          <w:lang w:val="fr-CH"/>
        </w:rPr>
        <w:t>.</w:t>
      </w:r>
    </w:p>
    <w:p w:rsidR="009D7B26" w:rsidRPr="00281FDC" w:rsidRDefault="009D7B26" w:rsidP="00281FDC">
      <w:pPr>
        <w:rPr>
          <w:lang w:val="fr-CH"/>
        </w:rPr>
      </w:pPr>
      <w:r w:rsidRPr="00281FDC">
        <w:rPr>
          <w:lang w:val="fr-CH"/>
        </w:rPr>
        <w:t xml:space="preserve">A sa réunion de février 2016, le GCNT a </w:t>
      </w:r>
      <w:r w:rsidR="00281FDC">
        <w:rPr>
          <w:lang w:val="fr-CH"/>
        </w:rPr>
        <w:t>décidé</w:t>
      </w:r>
      <w:r w:rsidRPr="00281FDC">
        <w:rPr>
          <w:lang w:val="fr-CH"/>
        </w:rPr>
        <w:t xml:space="preserve"> de ce qui suit, comme indiqué dans le rapport de réunion correspondant:</w:t>
      </w:r>
    </w:p>
    <w:p w:rsidR="00E14DA2" w:rsidRPr="00E14DA2" w:rsidRDefault="00281FDC" w:rsidP="00B4107A">
      <w:pPr>
        <w:pStyle w:val="enumlev1"/>
        <w:rPr>
          <w:lang w:val="fr-CH"/>
        </w:rPr>
      </w:pPr>
      <w:bookmarkStart w:id="2" w:name="lt_pId184"/>
      <w:r>
        <w:rPr>
          <w:lang w:val="fr-CH"/>
        </w:rPr>
        <w:t>–</w:t>
      </w:r>
      <w:r>
        <w:rPr>
          <w:lang w:val="fr-CH"/>
        </w:rPr>
        <w:tab/>
        <w:t>attribution à la</w:t>
      </w:r>
      <w:r w:rsidR="00E14DA2" w:rsidRPr="00E14DA2">
        <w:rPr>
          <w:lang w:val="fr-CH"/>
        </w:rPr>
        <w:t xml:space="preserve"> CE 20 de l'UIT-T </w:t>
      </w:r>
      <w:r>
        <w:rPr>
          <w:lang w:val="fr-CH"/>
        </w:rPr>
        <w:t xml:space="preserve">de la fonction de commission d'études directrice pour </w:t>
      </w:r>
      <w:r w:rsidR="00E14DA2" w:rsidRPr="00E14DA2">
        <w:rPr>
          <w:lang w:val="fr-CH"/>
        </w:rPr>
        <w:t xml:space="preserve">l'Internet des objets (IoT) et ses applications </w:t>
      </w:r>
      <w:r>
        <w:rPr>
          <w:lang w:val="fr-CH"/>
        </w:rPr>
        <w:t>et pour les villes et l</w:t>
      </w:r>
      <w:r w:rsidR="00E14DA2" w:rsidRPr="00E14DA2">
        <w:rPr>
          <w:lang w:val="fr-CH"/>
        </w:rPr>
        <w:t>es communautés intelligentes</w:t>
      </w:r>
      <w:bookmarkEnd w:id="2"/>
      <w:r w:rsidR="00E14DA2" w:rsidRPr="00E14DA2">
        <w:rPr>
          <w:lang w:val="fr-CH"/>
        </w:rPr>
        <w:t>;</w:t>
      </w:r>
    </w:p>
    <w:p w:rsidR="00E14DA2" w:rsidRPr="00E14DA2" w:rsidRDefault="00E14DA2" w:rsidP="00281FDC">
      <w:pPr>
        <w:pStyle w:val="enumlev1"/>
        <w:rPr>
          <w:lang w:val="fr-CH"/>
        </w:rPr>
      </w:pPr>
      <w:bookmarkStart w:id="3" w:name="lt_pId185"/>
      <w:r w:rsidRPr="00E14DA2">
        <w:rPr>
          <w:lang w:val="fr-CH"/>
        </w:rPr>
        <w:t>–</w:t>
      </w:r>
      <w:r w:rsidRPr="00E14DA2">
        <w:rPr>
          <w:lang w:val="fr-CH"/>
        </w:rPr>
        <w:tab/>
        <w:t>texte actualisé des six Questions confiées à la CE 20 (Annexe C de la Pièce jointe 1 de la note de liaison de la CE 20 de l'UIT-T (</w:t>
      </w:r>
      <w:hyperlink r:id="rId14" w:history="1">
        <w:r w:rsidRPr="00E14DA2">
          <w:rPr>
            <w:rStyle w:val="Hyperlink"/>
            <w:rFonts w:asciiTheme="majorBidi" w:hAnsiTheme="majorBidi" w:cstheme="majorBidi"/>
            <w:lang w:val="fr-CH"/>
          </w:rPr>
          <w:t>TD368</w:t>
        </w:r>
      </w:hyperlink>
      <w:r w:rsidRPr="00E14DA2">
        <w:rPr>
          <w:lang w:val="fr-CH"/>
        </w:rPr>
        <w:t>);</w:t>
      </w:r>
      <w:bookmarkEnd w:id="3"/>
    </w:p>
    <w:p w:rsidR="00E14DA2" w:rsidRPr="00E14DA2" w:rsidRDefault="00E14DA2" w:rsidP="00281FDC">
      <w:pPr>
        <w:pStyle w:val="enumlev1"/>
        <w:rPr>
          <w:lang w:val="fr-CH"/>
        </w:rPr>
      </w:pPr>
      <w:bookmarkStart w:id="4" w:name="lt_pId186"/>
      <w:r w:rsidRPr="00E14DA2">
        <w:rPr>
          <w:lang w:val="fr-CH"/>
        </w:rPr>
        <w:lastRenderedPageBreak/>
        <w:t>–</w:t>
      </w:r>
      <w:r w:rsidRPr="00E14DA2">
        <w:rPr>
          <w:lang w:val="fr-CH"/>
        </w:rPr>
        <w:tab/>
        <w:t>modifications apportées au mandat et au domaine de compétence de la JCA-IoT et SC&amp;C, étant entendu que le premier objectif de la JCA est modifié comme suit: "… et d'établir une liaison avec l'UIT-R…".</w:t>
      </w:r>
      <w:bookmarkEnd w:id="4"/>
    </w:p>
    <w:p w:rsidR="009D7B26" w:rsidRPr="00281FDC" w:rsidRDefault="009D7B26" w:rsidP="00281FDC">
      <w:pPr>
        <w:rPr>
          <w:lang w:val="fr-CH"/>
        </w:rPr>
      </w:pPr>
      <w:r w:rsidRPr="00281FDC">
        <w:rPr>
          <w:lang w:val="fr-CH"/>
        </w:rPr>
        <w:t>On trouvera dans la présente contribution une proposition concernant l'adoption de deux nouvelles Questions et une proposition de modification de la structure de la CE 20</w:t>
      </w:r>
      <w:r w:rsidR="00C91E41">
        <w:rPr>
          <w:lang w:val="fr-CH"/>
        </w:rPr>
        <w:t>,</w:t>
      </w:r>
      <w:r w:rsidRPr="00281FDC">
        <w:rPr>
          <w:lang w:val="fr-CH"/>
        </w:rPr>
        <w:t xml:space="preserve"> afin de renforcer et de consolider le rôle de </w:t>
      </w:r>
      <w:r w:rsidR="00281FDC">
        <w:rPr>
          <w:lang w:val="fr-CH"/>
        </w:rPr>
        <w:t xml:space="preserve">cette </w:t>
      </w:r>
      <w:r w:rsidR="00B4107A">
        <w:rPr>
          <w:lang w:val="fr-CH"/>
        </w:rPr>
        <w:t>Commission</w:t>
      </w:r>
      <w:r w:rsidR="00B4107A" w:rsidRPr="00281FDC">
        <w:rPr>
          <w:lang w:val="fr-CH"/>
        </w:rPr>
        <w:t xml:space="preserve"> </w:t>
      </w:r>
      <w:r w:rsidRPr="00281FDC">
        <w:rPr>
          <w:lang w:val="fr-CH"/>
        </w:rPr>
        <w:t>pour lui permettre de mener à bien sa mission.</w:t>
      </w:r>
    </w:p>
    <w:p w:rsidR="00F776DF" w:rsidRPr="00281FDC" w:rsidRDefault="00F776DF" w:rsidP="00281FDC">
      <w:pPr>
        <w:tabs>
          <w:tab w:val="clear" w:pos="1134"/>
          <w:tab w:val="clear" w:pos="1871"/>
          <w:tab w:val="clear" w:pos="2268"/>
        </w:tabs>
        <w:overflowPunct/>
        <w:autoSpaceDE/>
        <w:autoSpaceDN/>
        <w:adjustRightInd/>
        <w:spacing w:before="0"/>
        <w:textAlignment w:val="auto"/>
        <w:rPr>
          <w:lang w:val="fr-CH"/>
        </w:rPr>
      </w:pPr>
      <w:r w:rsidRPr="00281FDC">
        <w:rPr>
          <w:lang w:val="fr-CH"/>
        </w:rPr>
        <w:br w:type="page"/>
      </w:r>
    </w:p>
    <w:p w:rsidR="00987C1F" w:rsidRPr="00281FDC" w:rsidRDefault="006E22C0" w:rsidP="00281FDC">
      <w:pPr>
        <w:pStyle w:val="Heading1"/>
        <w:rPr>
          <w:lang w:val="fr-CH"/>
        </w:rPr>
      </w:pPr>
      <w:r w:rsidRPr="00281FDC">
        <w:rPr>
          <w:lang w:val="fr-CH"/>
        </w:rPr>
        <w:lastRenderedPageBreak/>
        <w:t>1</w:t>
      </w:r>
      <w:r w:rsidRPr="00281FDC">
        <w:rPr>
          <w:lang w:val="fr-CH"/>
        </w:rPr>
        <w:tab/>
      </w:r>
      <w:r w:rsidR="00326390" w:rsidRPr="00281FDC">
        <w:rPr>
          <w:lang w:val="fr-CH"/>
        </w:rPr>
        <w:t>Proposition de deux nouvelles Question</w:t>
      </w:r>
    </w:p>
    <w:p w:rsidR="008D3C60" w:rsidRDefault="008A41C7" w:rsidP="00281FDC">
      <w:pPr>
        <w:pStyle w:val="Proposal"/>
        <w:rPr>
          <w:lang w:val="fr-CH"/>
        </w:rPr>
      </w:pPr>
      <w:r w:rsidRPr="00281FDC">
        <w:rPr>
          <w:lang w:val="fr-CH"/>
        </w:rPr>
        <w:tab/>
      </w:r>
      <w:r w:rsidRPr="00E14DA2">
        <w:rPr>
          <w:lang w:val="fr-CH"/>
        </w:rPr>
        <w:t>ARB/43A32/1</w:t>
      </w:r>
    </w:p>
    <w:p w:rsidR="006E22C0" w:rsidRPr="00F065CD" w:rsidRDefault="00326390" w:rsidP="00D544EE">
      <w:pPr>
        <w:pStyle w:val="Headingb"/>
      </w:pPr>
      <w:r>
        <w:t>Nouvelle</w:t>
      </w:r>
      <w:r w:rsidR="006E22C0" w:rsidRPr="00F065CD">
        <w:t xml:space="preserve"> Question 2/20 </w:t>
      </w:r>
      <w:r w:rsidR="00D544EE">
        <w:t>intitulée "</w:t>
      </w:r>
      <w:r w:rsidR="006E22C0" w:rsidRPr="00F065CD">
        <w:t xml:space="preserve">Evaluation </w:t>
      </w:r>
      <w:r w:rsidR="003018FD">
        <w:t xml:space="preserve">des villes et </w:t>
      </w:r>
      <w:r w:rsidR="00D544EE">
        <w:t xml:space="preserve">des </w:t>
      </w:r>
      <w:r w:rsidR="003018FD">
        <w:t>communautés intelligentes</w:t>
      </w:r>
      <w:r w:rsidR="00D544EE">
        <w:t>"</w:t>
      </w:r>
    </w:p>
    <w:p w:rsidR="006E22C0" w:rsidRPr="00281FDC" w:rsidRDefault="003018FD" w:rsidP="00D544EE">
      <w:pPr>
        <w:rPr>
          <w:lang w:val="fr-CH"/>
        </w:rPr>
      </w:pPr>
      <w:r w:rsidRPr="00281FDC">
        <w:rPr>
          <w:lang w:val="fr-CH"/>
        </w:rPr>
        <w:t>Conformément au mandat confié par le GCNT à la CE 20 en tant que commission d'études directrice pour les villes et les communautés intelligentes, et compte tenu des travaux transférés de la Commission d'études 5 de l'UIT-T à la CE 20, les auteurs de la présente contribution propose</w:t>
      </w:r>
      <w:r w:rsidR="00D544EE">
        <w:rPr>
          <w:lang w:val="fr-CH"/>
        </w:rPr>
        <w:t>nt</w:t>
      </w:r>
      <w:r w:rsidRPr="00281FDC">
        <w:rPr>
          <w:lang w:val="fr-CH"/>
        </w:rPr>
        <w:t xml:space="preserve"> d'adopter une nouvelle Question </w:t>
      </w:r>
      <w:r w:rsidR="00D544EE">
        <w:rPr>
          <w:lang w:val="fr-CH"/>
        </w:rPr>
        <w:t xml:space="preserve">intitulée </w:t>
      </w:r>
      <w:r w:rsidRPr="00281FDC">
        <w:rPr>
          <w:lang w:val="fr-CH"/>
        </w:rPr>
        <w:t xml:space="preserve">"Evaluation des villes et </w:t>
      </w:r>
      <w:r w:rsidR="00D544EE">
        <w:rPr>
          <w:lang w:val="fr-CH"/>
        </w:rPr>
        <w:t xml:space="preserve">des </w:t>
      </w:r>
      <w:r w:rsidRPr="00281FDC">
        <w:rPr>
          <w:lang w:val="fr-CH"/>
        </w:rPr>
        <w:t>communautés intelligentes".</w:t>
      </w:r>
    </w:p>
    <w:p w:rsidR="006E22C0" w:rsidRPr="00281FDC" w:rsidRDefault="006E22C0" w:rsidP="00281FDC">
      <w:pPr>
        <w:pStyle w:val="QuestionNo"/>
        <w:rPr>
          <w:lang w:val="fr-CH"/>
        </w:rPr>
      </w:pPr>
      <w:r w:rsidRPr="00281FDC">
        <w:rPr>
          <w:lang w:val="fr-CH"/>
        </w:rPr>
        <w:t>Question 2/20</w:t>
      </w:r>
    </w:p>
    <w:p w:rsidR="00987C1F" w:rsidRPr="00281FDC" w:rsidRDefault="00E16A81" w:rsidP="00D544EE">
      <w:pPr>
        <w:pStyle w:val="Questiontitle"/>
        <w:rPr>
          <w:lang w:val="fr-CH"/>
        </w:rPr>
      </w:pPr>
      <w:r w:rsidRPr="00281FDC">
        <w:rPr>
          <w:lang w:val="fr-CH"/>
        </w:rPr>
        <w:t xml:space="preserve">Evaluation des villes et </w:t>
      </w:r>
      <w:r w:rsidR="00D544EE">
        <w:rPr>
          <w:lang w:val="fr-CH"/>
        </w:rPr>
        <w:t xml:space="preserve">des </w:t>
      </w:r>
      <w:r w:rsidRPr="00281FDC">
        <w:rPr>
          <w:lang w:val="fr-CH"/>
        </w:rPr>
        <w:t>communautés intelligentes</w:t>
      </w:r>
    </w:p>
    <w:p w:rsidR="006E22C0" w:rsidRPr="006E22C0" w:rsidRDefault="006E22C0" w:rsidP="00281FDC">
      <w:pPr>
        <w:pStyle w:val="Heading1"/>
        <w:rPr>
          <w:lang w:val="fr-CH"/>
        </w:rPr>
      </w:pPr>
      <w:r w:rsidRPr="006E22C0">
        <w:rPr>
          <w:lang w:val="fr-CH"/>
        </w:rPr>
        <w:t>1</w:t>
      </w:r>
      <w:r w:rsidRPr="006E22C0">
        <w:rPr>
          <w:lang w:val="fr-CH"/>
        </w:rPr>
        <w:tab/>
      </w:r>
      <w:bookmarkStart w:id="5" w:name="lt_pId035"/>
      <w:r w:rsidRPr="006E22C0">
        <w:rPr>
          <w:lang w:val="fr-CH"/>
        </w:rPr>
        <w:t>Moti</w:t>
      </w:r>
      <w:r w:rsidR="00934D6E">
        <w:rPr>
          <w:lang w:val="fr-CH"/>
        </w:rPr>
        <w:t>fs</w:t>
      </w:r>
      <w:bookmarkEnd w:id="5"/>
    </w:p>
    <w:p w:rsidR="006E22C0" w:rsidRPr="006E22C0" w:rsidRDefault="006E22C0" w:rsidP="00D544EE">
      <w:pPr>
        <w:rPr>
          <w:lang w:val="fr-CH"/>
        </w:rPr>
      </w:pPr>
      <w:r>
        <w:rPr>
          <w:lang w:val="fr-CH"/>
        </w:rPr>
        <w:t>Des</w:t>
      </w:r>
      <w:r w:rsidRPr="009A68E9">
        <w:rPr>
          <w:lang w:val="fr-CH"/>
        </w:rPr>
        <w:t xml:space="preserve"> stratégies</w:t>
      </w:r>
      <w:r>
        <w:rPr>
          <w:lang w:val="fr-CH"/>
        </w:rPr>
        <w:t xml:space="preserve"> très détaillées</w:t>
      </w:r>
      <w:r w:rsidRPr="009A68E9">
        <w:rPr>
          <w:lang w:val="fr-CH"/>
        </w:rPr>
        <w:t xml:space="preserve"> visant à mettre en place des villes et des communautés intelligentes sont adoptées à travers le monde pour répondre aux enjeux de l'urbanisation rapide. Ces stratégies prévoient l'intégration des technologies de l'information et de la communication (TIC) dans tous les aspects de l'urbanisme et de la gestion des villes. </w:t>
      </w:r>
      <w:r w:rsidR="00D544EE">
        <w:rPr>
          <w:lang w:val="fr-CH"/>
        </w:rPr>
        <w:t xml:space="preserve">Pour ce faire, les TIC, en particulier </w:t>
      </w:r>
      <w:r w:rsidR="00D544EE" w:rsidRPr="009A68E9">
        <w:rPr>
          <w:lang w:val="fr-CH"/>
        </w:rPr>
        <w:t>l</w:t>
      </w:r>
      <w:r w:rsidRPr="009A68E9">
        <w:rPr>
          <w:lang w:val="fr-CH"/>
        </w:rPr>
        <w:t xml:space="preserve">'Internet des objets, </w:t>
      </w:r>
      <w:r w:rsidR="00D544EE">
        <w:rPr>
          <w:lang w:val="fr-CH"/>
        </w:rPr>
        <w:t>peuvent</w:t>
      </w:r>
      <w:r w:rsidRPr="009A68E9">
        <w:rPr>
          <w:lang w:val="fr-CH"/>
        </w:rPr>
        <w:t xml:space="preserve"> améliorer l'efficacité de la gestion urbaine en facilitant la collecte des informations pertinentes</w:t>
      </w:r>
      <w:r>
        <w:rPr>
          <w:lang w:val="fr-CH"/>
        </w:rPr>
        <w:t xml:space="preserve"> et l'interconnexion d'une multitude de domaines différents. Ainsi, les municipalités concernées, les communautés et les citoyens pourront prendre des décisions plus avisées, ce qui facilitera l'intégration des services urbains et la coopération entre les différents secteurs</w:t>
      </w:r>
      <w:r w:rsidRPr="00441472">
        <w:rPr>
          <w:lang w:val="fr-CH"/>
        </w:rPr>
        <w:t>.</w:t>
      </w:r>
    </w:p>
    <w:p w:rsidR="00F25CB2" w:rsidRPr="00281FDC" w:rsidRDefault="00F25CB2" w:rsidP="00647EFF">
      <w:pPr>
        <w:rPr>
          <w:lang w:val="fr-CH"/>
        </w:rPr>
      </w:pPr>
      <w:r w:rsidRPr="00281FDC">
        <w:rPr>
          <w:lang w:val="fr-CH"/>
        </w:rPr>
        <w:t>A ce stade, il est important de pouvoir m</w:t>
      </w:r>
      <w:r w:rsidR="00D544EE">
        <w:rPr>
          <w:lang w:val="fr-CH"/>
        </w:rPr>
        <w:t xml:space="preserve">esurer les résultats des diverses initiatives relatives </w:t>
      </w:r>
      <w:r w:rsidRPr="00281FDC">
        <w:rPr>
          <w:lang w:val="fr-CH"/>
        </w:rPr>
        <w:t xml:space="preserve">aux villes et communautés intelligentes. </w:t>
      </w:r>
      <w:r w:rsidR="00D544EE">
        <w:rPr>
          <w:lang w:val="fr-CH"/>
        </w:rPr>
        <w:t>L'une des approches consistent à</w:t>
      </w:r>
      <w:r w:rsidRPr="00281FDC">
        <w:rPr>
          <w:lang w:val="fr-CH"/>
        </w:rPr>
        <w:t xml:space="preserve"> utiliser des indicateurs fondamentaux de performance (</w:t>
      </w:r>
      <w:r w:rsidR="00647EFF">
        <w:rPr>
          <w:lang w:val="fr-CH"/>
        </w:rPr>
        <w:t>IFP</w:t>
      </w:r>
      <w:r w:rsidRPr="00281FDC">
        <w:rPr>
          <w:lang w:val="fr-CH"/>
        </w:rPr>
        <w:t xml:space="preserve">) qui facilitent le suivi des progrès accomplis </w:t>
      </w:r>
      <w:r w:rsidR="00D544EE">
        <w:rPr>
          <w:lang w:val="fr-CH"/>
        </w:rPr>
        <w:t>dan</w:t>
      </w:r>
      <w:r w:rsidRPr="00281FDC">
        <w:rPr>
          <w:lang w:val="fr-CH"/>
        </w:rPr>
        <w:t>s la mise en place de villes et communautés intelligentes, ainsi que dans les différents secteurs comme l'environnement, la santé, l'éducation ou les services collectifs.</w:t>
      </w:r>
    </w:p>
    <w:p w:rsidR="00E83CAA" w:rsidRPr="00281FDC" w:rsidRDefault="00E83CAA" w:rsidP="009E70DF">
      <w:pPr>
        <w:rPr>
          <w:lang w:val="fr-CH"/>
        </w:rPr>
      </w:pPr>
      <w:r w:rsidRPr="00281FDC">
        <w:rPr>
          <w:lang w:val="fr-CH"/>
        </w:rPr>
        <w:t xml:space="preserve">Il est souhaitable que les villes puissent quantifier </w:t>
      </w:r>
      <w:r w:rsidR="00D544EE">
        <w:rPr>
          <w:lang w:val="fr-CH"/>
        </w:rPr>
        <w:t xml:space="preserve">les progrès qu'elles ont accomplis par rapport à </w:t>
      </w:r>
      <w:r w:rsidRPr="00281FDC">
        <w:rPr>
          <w:lang w:val="fr-CH"/>
        </w:rPr>
        <w:t>leurs objectifs. Par conséquent, l'utilisation de ces indicateurs permet aux villes et à leurs parties prenantes d'évaluer de manière objective dans quelle mesure elles peuvent être perçues comme plus intelligent</w:t>
      </w:r>
      <w:r w:rsidR="00B30D9C" w:rsidRPr="00281FDC">
        <w:rPr>
          <w:lang w:val="fr-CH"/>
        </w:rPr>
        <w:t>es et plus durables</w:t>
      </w:r>
      <w:r w:rsidR="00DA2357" w:rsidRPr="00281FDC">
        <w:rPr>
          <w:lang w:val="fr-CH"/>
        </w:rPr>
        <w:t>.</w:t>
      </w:r>
    </w:p>
    <w:p w:rsidR="006E22C0" w:rsidRPr="006E22C0" w:rsidRDefault="006E22C0" w:rsidP="00281FDC">
      <w:pPr>
        <w:pStyle w:val="Heading1"/>
        <w:rPr>
          <w:lang w:val="fr-CH"/>
        </w:rPr>
      </w:pPr>
      <w:r>
        <w:rPr>
          <w:lang w:val="fr-CH"/>
        </w:rPr>
        <w:t>2</w:t>
      </w:r>
      <w:r w:rsidRPr="006E22C0">
        <w:rPr>
          <w:lang w:val="fr-CH"/>
        </w:rPr>
        <w:tab/>
      </w:r>
      <w:r>
        <w:rPr>
          <w:lang w:val="fr-CH"/>
        </w:rPr>
        <w:t>Question</w:t>
      </w:r>
    </w:p>
    <w:p w:rsidR="006E22C0" w:rsidRPr="006E22C0" w:rsidRDefault="006E22C0" w:rsidP="00281FDC">
      <w:pPr>
        <w:rPr>
          <w:lang w:val="fr-CH"/>
        </w:rPr>
      </w:pPr>
      <w:r w:rsidRPr="00F579BB">
        <w:rPr>
          <w:lang w:val="fr-CH"/>
        </w:rPr>
        <w:t>Les sujets à étudier sont notamment les suivants (la liste n</w:t>
      </w:r>
      <w:r>
        <w:rPr>
          <w:lang w:val="fr-CH"/>
        </w:rPr>
        <w:t>'</w:t>
      </w:r>
      <w:r w:rsidRPr="00F579BB">
        <w:rPr>
          <w:lang w:val="fr-CH"/>
        </w:rPr>
        <w:t>est pas exhaustive):</w:t>
      </w:r>
    </w:p>
    <w:p w:rsidR="000C0040" w:rsidRDefault="0055168D" w:rsidP="00D544EE">
      <w:pPr>
        <w:pStyle w:val="enumlev1"/>
        <w:rPr>
          <w:lang w:val="fr-CH"/>
        </w:rPr>
      </w:pPr>
      <w:r w:rsidRPr="0055168D">
        <w:rPr>
          <w:lang w:val="fr-CH"/>
        </w:rPr>
        <w:t>–</w:t>
      </w:r>
      <w:r w:rsidRPr="0055168D">
        <w:rPr>
          <w:lang w:val="fr-CH"/>
        </w:rPr>
        <w:tab/>
      </w:r>
      <w:r w:rsidR="000C0040" w:rsidRPr="000C0040">
        <w:rPr>
          <w:lang w:val="fr-CH"/>
        </w:rPr>
        <w:t xml:space="preserve">Quels sont les principes généraux à utiliser pour établir la méthodologie d'évaluation de </w:t>
      </w:r>
      <w:r w:rsidR="00D544EE">
        <w:rPr>
          <w:lang w:val="fr-CH"/>
        </w:rPr>
        <w:t>l'utilisation des TIC et de leur</w:t>
      </w:r>
      <w:r w:rsidR="009E70DF">
        <w:rPr>
          <w:lang w:val="fr-CH"/>
        </w:rPr>
        <w:t>s</w:t>
      </w:r>
      <w:r w:rsidR="00D544EE">
        <w:rPr>
          <w:lang w:val="fr-CH"/>
        </w:rPr>
        <w:t xml:space="preserve"> </w:t>
      </w:r>
      <w:r w:rsidR="0025028A">
        <w:rPr>
          <w:lang w:val="fr-CH"/>
        </w:rPr>
        <w:t>incidence</w:t>
      </w:r>
      <w:r w:rsidR="009E70DF">
        <w:rPr>
          <w:lang w:val="fr-CH"/>
        </w:rPr>
        <w:t>s</w:t>
      </w:r>
      <w:r w:rsidR="0025028A">
        <w:rPr>
          <w:lang w:val="fr-CH"/>
        </w:rPr>
        <w:t xml:space="preserve"> dans le caractère durable des villes</w:t>
      </w:r>
      <w:r w:rsidR="00671EB9">
        <w:rPr>
          <w:lang w:val="fr-CH"/>
        </w:rPr>
        <w:t>?</w:t>
      </w:r>
    </w:p>
    <w:p w:rsidR="00F25637" w:rsidRPr="00281FDC" w:rsidRDefault="0055168D" w:rsidP="00D544EE">
      <w:pPr>
        <w:pStyle w:val="enumlev1"/>
        <w:rPr>
          <w:lang w:val="fr-CH"/>
        </w:rPr>
      </w:pPr>
      <w:bookmarkStart w:id="6" w:name="lt_pId050"/>
      <w:r w:rsidRPr="00281FDC">
        <w:rPr>
          <w:lang w:val="fr-CH"/>
        </w:rPr>
        <w:t>–</w:t>
      </w:r>
      <w:r w:rsidRPr="00281FDC">
        <w:rPr>
          <w:lang w:val="fr-CH"/>
        </w:rPr>
        <w:tab/>
      </w:r>
      <w:r w:rsidR="00F25637">
        <w:rPr>
          <w:lang w:val="fr-CH"/>
        </w:rPr>
        <w:t xml:space="preserve">Quelles sont les formules qui permettraient de </w:t>
      </w:r>
      <w:r w:rsidR="00F25637" w:rsidRPr="00F579BB">
        <w:rPr>
          <w:lang w:val="fr-CH"/>
        </w:rPr>
        <w:t>calcul</w:t>
      </w:r>
      <w:r w:rsidR="00F25637">
        <w:rPr>
          <w:lang w:val="fr-CH"/>
        </w:rPr>
        <w:t xml:space="preserve">er un indice des villes intelligentes et durables </w:t>
      </w:r>
      <w:r w:rsidR="00D544EE">
        <w:rPr>
          <w:lang w:val="fr-CH"/>
        </w:rPr>
        <w:t>à utiliser</w:t>
      </w:r>
      <w:r w:rsidR="00F25637">
        <w:rPr>
          <w:lang w:val="fr-CH"/>
        </w:rPr>
        <w:t xml:space="preserve"> partout dans le monde</w:t>
      </w:r>
      <w:r w:rsidR="00671EB9">
        <w:rPr>
          <w:lang w:val="fr-CH"/>
        </w:rPr>
        <w:t>?</w:t>
      </w:r>
    </w:p>
    <w:bookmarkEnd w:id="6"/>
    <w:p w:rsidR="006E22C0" w:rsidRPr="006E22C0" w:rsidRDefault="0055168D" w:rsidP="00281FDC">
      <w:pPr>
        <w:pStyle w:val="enumlev1"/>
        <w:rPr>
          <w:lang w:val="fr-CH"/>
        </w:rPr>
      </w:pPr>
      <w:r w:rsidRPr="0055168D">
        <w:rPr>
          <w:lang w:val="fr-CH"/>
        </w:rPr>
        <w:t>–</w:t>
      </w:r>
      <w:r w:rsidRPr="0055168D">
        <w:rPr>
          <w:lang w:val="fr-CH"/>
        </w:rPr>
        <w:tab/>
      </w:r>
      <w:r>
        <w:rPr>
          <w:lang w:val="fr-CH"/>
        </w:rPr>
        <w:t xml:space="preserve">Comment </w:t>
      </w:r>
      <w:r w:rsidRPr="00F579BB">
        <w:rPr>
          <w:lang w:val="fr-CH"/>
        </w:rPr>
        <w:t>collect</w:t>
      </w:r>
      <w:r>
        <w:rPr>
          <w:lang w:val="fr-CH"/>
        </w:rPr>
        <w:t>er des données fiables</w:t>
      </w:r>
      <w:r w:rsidRPr="00F579BB">
        <w:rPr>
          <w:lang w:val="fr-CH"/>
        </w:rPr>
        <w:t xml:space="preserve">, </w:t>
      </w:r>
      <w:r>
        <w:rPr>
          <w:lang w:val="fr-CH"/>
        </w:rPr>
        <w:t>en particulie</w:t>
      </w:r>
      <w:r w:rsidRPr="00F579BB">
        <w:rPr>
          <w:lang w:val="fr-CH"/>
        </w:rPr>
        <w:t xml:space="preserve">r </w:t>
      </w:r>
      <w:r>
        <w:rPr>
          <w:lang w:val="fr-CH"/>
        </w:rPr>
        <w:t>les données ayant une grande incidence sur les résultats?</w:t>
      </w:r>
      <w:r w:rsidR="00F25637" w:rsidRPr="00F25637">
        <w:rPr>
          <w:lang w:val="fr-CH"/>
        </w:rPr>
        <w:t xml:space="preserve"> </w:t>
      </w:r>
      <w:r w:rsidR="00F25637">
        <w:rPr>
          <w:lang w:val="fr-CH"/>
        </w:rPr>
        <w:t>Comment tenir compte de l'é</w:t>
      </w:r>
      <w:r w:rsidR="00F25637" w:rsidRPr="00F579BB">
        <w:rPr>
          <w:lang w:val="fr-CH"/>
        </w:rPr>
        <w:t xml:space="preserve">volution </w:t>
      </w:r>
      <w:r w:rsidR="00F25637">
        <w:rPr>
          <w:lang w:val="fr-CH"/>
        </w:rPr>
        <w:t>des données au fil du temps</w:t>
      </w:r>
      <w:r w:rsidR="00F25637" w:rsidRPr="00F579BB">
        <w:rPr>
          <w:lang w:val="fr-CH"/>
        </w:rPr>
        <w:t>?</w:t>
      </w:r>
    </w:p>
    <w:p w:rsidR="006E22C0" w:rsidRPr="006E22C0" w:rsidRDefault="0055168D" w:rsidP="00281FDC">
      <w:pPr>
        <w:pStyle w:val="enumlev1"/>
        <w:rPr>
          <w:lang w:val="fr-CH"/>
        </w:rPr>
      </w:pPr>
      <w:r w:rsidRPr="0055168D">
        <w:rPr>
          <w:lang w:val="fr-CH"/>
        </w:rPr>
        <w:t>–</w:t>
      </w:r>
      <w:r w:rsidRPr="0055168D">
        <w:rPr>
          <w:lang w:val="fr-CH"/>
        </w:rPr>
        <w:tab/>
      </w:r>
      <w:r w:rsidR="00F25637">
        <w:rPr>
          <w:lang w:val="fr-CH"/>
        </w:rPr>
        <w:t xml:space="preserve">Comment évaluer la </w:t>
      </w:r>
      <w:r w:rsidR="00F25637" w:rsidRPr="00F579BB">
        <w:rPr>
          <w:lang w:val="fr-CH"/>
        </w:rPr>
        <w:t>m</w:t>
      </w:r>
      <w:r w:rsidR="00F25637">
        <w:rPr>
          <w:lang w:val="fr-CH"/>
        </w:rPr>
        <w:t>éthodologie</w:t>
      </w:r>
      <w:r w:rsidR="00F25637" w:rsidRPr="00F579BB">
        <w:rPr>
          <w:lang w:val="fr-CH"/>
        </w:rPr>
        <w:t xml:space="preserve"> (mesure, </w:t>
      </w:r>
      <w:r w:rsidR="00F25637">
        <w:rPr>
          <w:lang w:val="fr-CH"/>
        </w:rPr>
        <w:t>échantillonnage statistique</w:t>
      </w:r>
      <w:r w:rsidR="00F25637" w:rsidRPr="00F579BB">
        <w:rPr>
          <w:lang w:val="fr-CH"/>
        </w:rPr>
        <w:t>,</w:t>
      </w:r>
      <w:r w:rsidR="00F25637" w:rsidRPr="00F579BB">
        <w:rPr>
          <w:lang w:val="fr-CH" w:eastAsia="ja-JP"/>
        </w:rPr>
        <w:t xml:space="preserve"> </w:t>
      </w:r>
      <w:r w:rsidR="00F25637">
        <w:rPr>
          <w:lang w:val="fr-CH" w:eastAsia="ja-JP"/>
        </w:rPr>
        <w:t>études de cas</w:t>
      </w:r>
      <w:r w:rsidR="00F25637" w:rsidRPr="00F579BB">
        <w:rPr>
          <w:lang w:val="fr-CH" w:eastAsia="ja-JP"/>
        </w:rPr>
        <w:t xml:space="preserve">, </w:t>
      </w:r>
      <w:r w:rsidR="00F25637" w:rsidRPr="00F579BB">
        <w:rPr>
          <w:lang w:val="fr-CH"/>
        </w:rPr>
        <w:t>etc.)</w:t>
      </w:r>
      <w:r w:rsidR="00F25637">
        <w:rPr>
          <w:lang w:val="fr-CH"/>
        </w:rPr>
        <w:t>, y compris les différents aspects régionaux ou nationaux</w:t>
      </w:r>
      <w:r w:rsidR="00F25637" w:rsidRPr="00F579BB">
        <w:rPr>
          <w:lang w:val="fr-CH"/>
        </w:rPr>
        <w:t>?</w:t>
      </w:r>
    </w:p>
    <w:p w:rsidR="006E22C0" w:rsidRPr="006E22C0" w:rsidRDefault="0055168D" w:rsidP="00281FDC">
      <w:pPr>
        <w:pStyle w:val="enumlev1"/>
        <w:rPr>
          <w:lang w:val="fr-CH"/>
        </w:rPr>
      </w:pPr>
      <w:r w:rsidRPr="0055168D">
        <w:rPr>
          <w:lang w:val="fr-CH"/>
        </w:rPr>
        <w:t>–</w:t>
      </w:r>
      <w:r w:rsidRPr="0055168D">
        <w:rPr>
          <w:lang w:val="fr-CH"/>
        </w:rPr>
        <w:tab/>
      </w:r>
      <w:r w:rsidR="00F25637">
        <w:rPr>
          <w:lang w:val="fr-CH"/>
        </w:rPr>
        <w:t>Comment évaluer la réalisation des Objectifs de développement durable (ODD) dans une ville intelligente</w:t>
      </w:r>
      <w:r w:rsidR="00671EB9">
        <w:rPr>
          <w:lang w:val="fr-CH"/>
        </w:rPr>
        <w:t>?</w:t>
      </w:r>
    </w:p>
    <w:p w:rsidR="00F25637" w:rsidRPr="00281FDC" w:rsidRDefault="0055168D" w:rsidP="00D544EE">
      <w:pPr>
        <w:pStyle w:val="enumlev1"/>
        <w:rPr>
          <w:lang w:val="fr-CH"/>
        </w:rPr>
      </w:pPr>
      <w:r w:rsidRPr="00281FDC">
        <w:rPr>
          <w:lang w:val="fr-CH"/>
        </w:rPr>
        <w:lastRenderedPageBreak/>
        <w:t>–</w:t>
      </w:r>
      <w:r w:rsidRPr="00281FDC">
        <w:rPr>
          <w:lang w:val="fr-CH"/>
        </w:rPr>
        <w:tab/>
      </w:r>
      <w:r w:rsidR="00F25637" w:rsidRPr="00281FDC">
        <w:rPr>
          <w:lang w:val="fr-CH"/>
        </w:rPr>
        <w:t xml:space="preserve">Comment évaluer les </w:t>
      </w:r>
      <w:r w:rsidR="00D544EE">
        <w:rPr>
          <w:lang w:val="fr-CH"/>
        </w:rPr>
        <w:t xml:space="preserve">différentes </w:t>
      </w:r>
      <w:r w:rsidR="00F25637" w:rsidRPr="00281FDC">
        <w:rPr>
          <w:lang w:val="fr-CH"/>
        </w:rPr>
        <w:t xml:space="preserve">performances d'une ville selon des indicateurs définis </w:t>
      </w:r>
      <w:r w:rsidR="00D544EE">
        <w:rPr>
          <w:lang w:val="fr-CH"/>
        </w:rPr>
        <w:t>par</w:t>
      </w:r>
      <w:r w:rsidR="00F25637" w:rsidRPr="00281FDC">
        <w:rPr>
          <w:lang w:val="fr-CH"/>
        </w:rPr>
        <w:t xml:space="preserve"> secteur, par exemple données ouvertes, cybersanté, services collectifs, etc.</w:t>
      </w:r>
      <w:r w:rsidR="00D544EE">
        <w:rPr>
          <w:lang w:val="fr-CH"/>
        </w:rPr>
        <w:t>?</w:t>
      </w:r>
    </w:p>
    <w:p w:rsidR="00F25637" w:rsidRPr="00281FDC" w:rsidRDefault="0055168D" w:rsidP="00D544EE">
      <w:pPr>
        <w:pStyle w:val="enumlev1"/>
        <w:rPr>
          <w:lang w:val="fr-CH"/>
        </w:rPr>
      </w:pPr>
      <w:r w:rsidRPr="00281FDC">
        <w:rPr>
          <w:lang w:val="fr-CH"/>
        </w:rPr>
        <w:t>–</w:t>
      </w:r>
      <w:r w:rsidRPr="00281FDC">
        <w:rPr>
          <w:lang w:val="fr-CH"/>
        </w:rPr>
        <w:tab/>
      </w:r>
      <w:r w:rsidR="00F25637" w:rsidRPr="00281FDC">
        <w:rPr>
          <w:lang w:val="fr-CH"/>
        </w:rPr>
        <w:t>Comment évaluer la qualité des services de cybersanté</w:t>
      </w:r>
      <w:r w:rsidR="00671EB9">
        <w:rPr>
          <w:lang w:val="fr-CH"/>
        </w:rPr>
        <w:t>?</w:t>
      </w:r>
      <w:r w:rsidR="00BD592E" w:rsidRPr="00281FDC">
        <w:rPr>
          <w:lang w:val="fr-CH"/>
        </w:rPr>
        <w:t xml:space="preserve"> Comment </w:t>
      </w:r>
      <w:r w:rsidR="00D544EE">
        <w:rPr>
          <w:lang w:val="fr-CH"/>
        </w:rPr>
        <w:t>améliorer</w:t>
      </w:r>
      <w:r w:rsidR="00BD592E" w:rsidRPr="00281FDC">
        <w:rPr>
          <w:lang w:val="fr-CH"/>
        </w:rPr>
        <w:t xml:space="preserve"> les systèmes de cybersanté </w:t>
      </w:r>
      <w:r w:rsidR="00D544EE">
        <w:rPr>
          <w:lang w:val="fr-CH"/>
        </w:rPr>
        <w:t>afin qu'ils s'</w:t>
      </w:r>
      <w:r w:rsidR="00BD592E" w:rsidRPr="00281FDC">
        <w:rPr>
          <w:lang w:val="fr-CH"/>
        </w:rPr>
        <w:t>adapte</w:t>
      </w:r>
      <w:r w:rsidR="00D544EE">
        <w:rPr>
          <w:lang w:val="fr-CH"/>
        </w:rPr>
        <w:t>nt</w:t>
      </w:r>
      <w:r w:rsidR="00BD592E" w:rsidRPr="00281FDC">
        <w:rPr>
          <w:lang w:val="fr-CH"/>
        </w:rPr>
        <w:t xml:space="preserve"> aux technologies futures </w:t>
      </w:r>
      <w:r w:rsidR="00D544EE">
        <w:rPr>
          <w:lang w:val="fr-CH"/>
        </w:rPr>
        <w:t xml:space="preserve">sur la base des résultats des </w:t>
      </w:r>
      <w:r w:rsidR="00BD592E" w:rsidRPr="00281FDC">
        <w:rPr>
          <w:lang w:val="fr-CH"/>
        </w:rPr>
        <w:t>évaluation</w:t>
      </w:r>
      <w:r w:rsidR="00D544EE">
        <w:rPr>
          <w:lang w:val="fr-CH"/>
        </w:rPr>
        <w:t>s</w:t>
      </w:r>
      <w:r w:rsidR="00BD592E" w:rsidRPr="00281FDC">
        <w:rPr>
          <w:lang w:val="fr-CH"/>
        </w:rPr>
        <w:t>?</w:t>
      </w:r>
    </w:p>
    <w:p w:rsidR="006E22C0" w:rsidRPr="0055168D" w:rsidRDefault="0055168D" w:rsidP="0008608C">
      <w:pPr>
        <w:pStyle w:val="enumlev1"/>
        <w:rPr>
          <w:lang w:val="fr-CH"/>
        </w:rPr>
      </w:pPr>
      <w:r w:rsidRPr="0055168D">
        <w:rPr>
          <w:lang w:val="fr-CH"/>
        </w:rPr>
        <w:t>–</w:t>
      </w:r>
      <w:r w:rsidRPr="0055168D">
        <w:rPr>
          <w:lang w:val="fr-CH"/>
        </w:rPr>
        <w:tab/>
      </w:r>
      <w:r>
        <w:rPr>
          <w:lang w:val="fr-CH"/>
        </w:rPr>
        <w:t>Quelle</w:t>
      </w:r>
      <w:r w:rsidRPr="00122B99">
        <w:rPr>
          <w:lang w:val="fr-CH"/>
        </w:rPr>
        <w:t xml:space="preserve"> collaboration </w:t>
      </w:r>
      <w:r>
        <w:rPr>
          <w:lang w:val="fr-CH"/>
        </w:rPr>
        <w:t xml:space="preserve">faudra-t-il instaurer </w:t>
      </w:r>
      <w:r w:rsidRPr="00122B99">
        <w:rPr>
          <w:lang w:val="fr-CH"/>
        </w:rPr>
        <w:t>avec les organis</w:t>
      </w:r>
      <w:r w:rsidR="0008608C">
        <w:rPr>
          <w:lang w:val="fr-CH"/>
        </w:rPr>
        <w:t>ations</w:t>
      </w:r>
      <w:r w:rsidRPr="00122B99">
        <w:rPr>
          <w:lang w:val="fr-CH"/>
        </w:rPr>
        <w:t xml:space="preserve"> de normalisation pour exploiter au mieux les synergies </w:t>
      </w:r>
      <w:r>
        <w:rPr>
          <w:lang w:val="fr-CH"/>
        </w:rPr>
        <w:t>et harmoniser les normes existantes relatives</w:t>
      </w:r>
      <w:r w:rsidR="00BD592E">
        <w:rPr>
          <w:lang w:val="fr-CH"/>
        </w:rPr>
        <w:t xml:space="preserve"> à l'évaluation des </w:t>
      </w:r>
      <w:r>
        <w:rPr>
          <w:lang w:val="fr-CH"/>
        </w:rPr>
        <w:t>villes et</w:t>
      </w:r>
      <w:r w:rsidR="00BD592E">
        <w:rPr>
          <w:lang w:val="fr-CH"/>
        </w:rPr>
        <w:t xml:space="preserve"> des </w:t>
      </w:r>
      <w:r>
        <w:rPr>
          <w:lang w:val="fr-CH"/>
        </w:rPr>
        <w:t>communautés intelligentes</w:t>
      </w:r>
      <w:r w:rsidRPr="00122B99">
        <w:rPr>
          <w:lang w:val="fr-CH"/>
        </w:rPr>
        <w:t>?</w:t>
      </w:r>
    </w:p>
    <w:p w:rsidR="006E22C0" w:rsidRDefault="0055168D" w:rsidP="00281FDC">
      <w:pPr>
        <w:pStyle w:val="Heading1"/>
        <w:rPr>
          <w:lang w:val="fr-CH"/>
        </w:rPr>
      </w:pPr>
      <w:r>
        <w:rPr>
          <w:lang w:val="fr-CH"/>
        </w:rPr>
        <w:t>3</w:t>
      </w:r>
      <w:r>
        <w:rPr>
          <w:lang w:val="fr-CH"/>
        </w:rPr>
        <w:tab/>
        <w:t>Tâches</w:t>
      </w:r>
    </w:p>
    <w:p w:rsidR="0055168D" w:rsidRDefault="0055168D" w:rsidP="00281FDC">
      <w:pPr>
        <w:rPr>
          <w:lang w:val="fr-CH"/>
        </w:rPr>
      </w:pPr>
      <w:r w:rsidRPr="00F579BB">
        <w:rPr>
          <w:lang w:val="fr-CH"/>
        </w:rPr>
        <w:t>Les tâches sont notamment les suivantes (la liste n</w:t>
      </w:r>
      <w:r>
        <w:rPr>
          <w:lang w:val="fr-CH"/>
        </w:rPr>
        <w:t>'</w:t>
      </w:r>
      <w:r w:rsidRPr="00F579BB">
        <w:rPr>
          <w:lang w:val="fr-CH"/>
        </w:rPr>
        <w:t>est pas exhaustive)</w:t>
      </w:r>
      <w:r>
        <w:rPr>
          <w:lang w:val="fr-CH"/>
        </w:rPr>
        <w:t>:</w:t>
      </w:r>
    </w:p>
    <w:p w:rsidR="00BD592E" w:rsidRDefault="003E4CA2" w:rsidP="005563B7">
      <w:pPr>
        <w:pStyle w:val="enumlev1"/>
        <w:rPr>
          <w:lang w:val="fr-CH"/>
        </w:rPr>
      </w:pPr>
      <w:r w:rsidRPr="0055168D">
        <w:rPr>
          <w:lang w:val="fr-CH"/>
        </w:rPr>
        <w:t>–</w:t>
      </w:r>
      <w:r w:rsidRPr="0055168D">
        <w:rPr>
          <w:lang w:val="fr-CH"/>
        </w:rPr>
        <w:tab/>
      </w:r>
      <w:r>
        <w:rPr>
          <w:lang w:val="fr-CH"/>
        </w:rPr>
        <w:t xml:space="preserve">Elaborer des </w:t>
      </w:r>
      <w:r w:rsidRPr="00F579BB">
        <w:rPr>
          <w:lang w:val="fr-CH"/>
        </w:rPr>
        <w:t>Recomm</w:t>
      </w:r>
      <w:r>
        <w:rPr>
          <w:lang w:val="fr-CH"/>
        </w:rPr>
        <w:t>a</w:t>
      </w:r>
      <w:r w:rsidRPr="00F579BB">
        <w:rPr>
          <w:lang w:val="fr-CH"/>
        </w:rPr>
        <w:t xml:space="preserve">ndations </w:t>
      </w:r>
      <w:r>
        <w:rPr>
          <w:lang w:val="fr-CH"/>
        </w:rPr>
        <w:t>sur la méthodologie d'évaluation de</w:t>
      </w:r>
      <w:r w:rsidR="00BD592E">
        <w:rPr>
          <w:lang w:val="fr-CH"/>
        </w:rPr>
        <w:t xml:space="preserve"> la réalisation des </w:t>
      </w:r>
      <w:r w:rsidR="005563B7">
        <w:rPr>
          <w:lang w:val="fr-CH"/>
        </w:rPr>
        <w:t>ODD</w:t>
      </w:r>
      <w:r w:rsidR="00BD592E">
        <w:rPr>
          <w:lang w:val="fr-CH"/>
        </w:rPr>
        <w:t xml:space="preserve"> dans les villes, compte tenu des princip</w:t>
      </w:r>
      <w:r w:rsidR="005563B7">
        <w:rPr>
          <w:lang w:val="fr-CH"/>
        </w:rPr>
        <w:t>es et de</w:t>
      </w:r>
      <w:r w:rsidR="00BD592E">
        <w:rPr>
          <w:lang w:val="fr-CH"/>
        </w:rPr>
        <w:t xml:space="preserve"> critères généraux d'évaluation de</w:t>
      </w:r>
      <w:r w:rsidR="005563B7">
        <w:rPr>
          <w:lang w:val="fr-CH"/>
        </w:rPr>
        <w:t xml:space="preserve">s </w:t>
      </w:r>
      <w:r w:rsidR="00BD592E">
        <w:rPr>
          <w:lang w:val="fr-CH"/>
        </w:rPr>
        <w:t>incidence</w:t>
      </w:r>
      <w:r w:rsidR="005563B7">
        <w:rPr>
          <w:lang w:val="fr-CH"/>
        </w:rPr>
        <w:t>s</w:t>
      </w:r>
      <w:r w:rsidR="00BD592E">
        <w:rPr>
          <w:lang w:val="fr-CH"/>
        </w:rPr>
        <w:t xml:space="preserve"> des TIC.</w:t>
      </w:r>
    </w:p>
    <w:p w:rsidR="0055168D" w:rsidRDefault="003E4CA2" w:rsidP="005563B7">
      <w:pPr>
        <w:pStyle w:val="enumlev1"/>
        <w:rPr>
          <w:lang w:val="fr-CH"/>
        </w:rPr>
      </w:pPr>
      <w:r w:rsidRPr="0055168D">
        <w:rPr>
          <w:lang w:val="fr-CH"/>
        </w:rPr>
        <w:t>–</w:t>
      </w:r>
      <w:r w:rsidRPr="0055168D">
        <w:rPr>
          <w:lang w:val="fr-CH"/>
        </w:rPr>
        <w:tab/>
      </w:r>
      <w:r>
        <w:rPr>
          <w:lang w:val="fr-CH"/>
        </w:rPr>
        <w:t xml:space="preserve">Elaborer des </w:t>
      </w:r>
      <w:r w:rsidRPr="00F579BB">
        <w:rPr>
          <w:lang w:val="fr-CH"/>
        </w:rPr>
        <w:t>Recomm</w:t>
      </w:r>
      <w:r>
        <w:rPr>
          <w:lang w:val="fr-CH"/>
        </w:rPr>
        <w:t>a</w:t>
      </w:r>
      <w:r w:rsidRPr="00F579BB">
        <w:rPr>
          <w:lang w:val="fr-CH"/>
        </w:rPr>
        <w:t xml:space="preserve">ndations </w:t>
      </w:r>
      <w:r>
        <w:rPr>
          <w:lang w:val="fr-CH"/>
        </w:rPr>
        <w:t xml:space="preserve">sur la collecte et </w:t>
      </w:r>
      <w:r w:rsidR="005563B7">
        <w:rPr>
          <w:lang w:val="fr-CH"/>
        </w:rPr>
        <w:t>l'obtention de données brutes</w:t>
      </w:r>
      <w:r>
        <w:rPr>
          <w:lang w:val="fr-CH"/>
        </w:rPr>
        <w:t xml:space="preserve"> fiables à </w:t>
      </w:r>
      <w:r w:rsidRPr="00F579BB">
        <w:rPr>
          <w:lang w:val="fr-CH"/>
        </w:rPr>
        <w:t>inject</w:t>
      </w:r>
      <w:r>
        <w:rPr>
          <w:lang w:val="fr-CH"/>
        </w:rPr>
        <w:t>er dans le modèle d'évaluation</w:t>
      </w:r>
      <w:r w:rsidR="00C62873">
        <w:rPr>
          <w:lang w:val="fr-CH"/>
        </w:rPr>
        <w:t>.</w:t>
      </w:r>
    </w:p>
    <w:p w:rsidR="00C62873" w:rsidRPr="00281FDC" w:rsidRDefault="003E4CA2" w:rsidP="005563B7">
      <w:pPr>
        <w:pStyle w:val="enumlev1"/>
        <w:rPr>
          <w:lang w:val="fr-CH"/>
        </w:rPr>
      </w:pPr>
      <w:r w:rsidRPr="00281FDC">
        <w:rPr>
          <w:lang w:val="fr-CH"/>
        </w:rPr>
        <w:t>–</w:t>
      </w:r>
      <w:r w:rsidRPr="00281FDC">
        <w:rPr>
          <w:lang w:val="fr-CH"/>
        </w:rPr>
        <w:tab/>
      </w:r>
      <w:r w:rsidR="005563B7">
        <w:rPr>
          <w:lang w:val="fr-CH"/>
        </w:rPr>
        <w:t>E</w:t>
      </w:r>
      <w:r w:rsidR="00C62873" w:rsidRPr="00281FDC">
        <w:rPr>
          <w:lang w:val="fr-CH"/>
        </w:rPr>
        <w:t xml:space="preserve">laborer des Recommandations sur la méthodologie permettant de mesurer les </w:t>
      </w:r>
      <w:r w:rsidR="005563B7">
        <w:rPr>
          <w:lang w:val="fr-CH"/>
        </w:rPr>
        <w:t xml:space="preserve">différentes </w:t>
      </w:r>
      <w:r w:rsidR="00C62873" w:rsidRPr="00281FDC">
        <w:rPr>
          <w:lang w:val="fr-CH"/>
        </w:rPr>
        <w:t>performances d'une ville selon des indicateurs définis par secteur.</w:t>
      </w:r>
    </w:p>
    <w:p w:rsidR="0055168D" w:rsidRDefault="003E4CA2" w:rsidP="005563B7">
      <w:pPr>
        <w:pStyle w:val="enumlev1"/>
        <w:rPr>
          <w:lang w:val="fr-CH"/>
        </w:rPr>
      </w:pPr>
      <w:r w:rsidRPr="0055168D">
        <w:rPr>
          <w:lang w:val="fr-CH"/>
        </w:rPr>
        <w:t>–</w:t>
      </w:r>
      <w:r w:rsidRPr="0055168D">
        <w:rPr>
          <w:lang w:val="fr-CH"/>
        </w:rPr>
        <w:tab/>
      </w:r>
      <w:r>
        <w:rPr>
          <w:lang w:val="fr-CH"/>
        </w:rPr>
        <w:t xml:space="preserve">Elaborer, si nécessaire, des </w:t>
      </w:r>
      <w:r w:rsidR="005563B7">
        <w:rPr>
          <w:lang w:val="fr-CH"/>
        </w:rPr>
        <w:t>m</w:t>
      </w:r>
      <w:r>
        <w:rPr>
          <w:lang w:val="fr-CH"/>
        </w:rPr>
        <w:t xml:space="preserve">anuels faisant référence aux bases de données disponibles </w:t>
      </w:r>
      <w:r>
        <w:rPr>
          <w:rFonts w:eastAsia="MS PGothic" w:hAnsi="MS PGothic"/>
          <w:lang w:val="fr-CH"/>
        </w:rPr>
        <w:t xml:space="preserve">relatives aux </w:t>
      </w:r>
      <w:r w:rsidR="00C62873">
        <w:rPr>
          <w:rFonts w:eastAsia="MS PGothic" w:hAnsi="MS PGothic"/>
          <w:lang w:val="fr-CH"/>
        </w:rPr>
        <w:t xml:space="preserve">profils </w:t>
      </w:r>
      <w:r w:rsidR="005563B7">
        <w:rPr>
          <w:rFonts w:eastAsia="MS PGothic" w:hAnsi="MS PGothic"/>
          <w:lang w:val="fr-CH"/>
        </w:rPr>
        <w:t>courant</w:t>
      </w:r>
      <w:r w:rsidR="00C62873">
        <w:rPr>
          <w:rFonts w:eastAsia="MS PGothic" w:hAnsi="MS PGothic"/>
          <w:lang w:val="fr-CH"/>
        </w:rPr>
        <w:t>s de</w:t>
      </w:r>
      <w:r w:rsidR="005563B7">
        <w:rPr>
          <w:rFonts w:eastAsia="MS PGothic" w:hAnsi="MS PGothic"/>
          <w:lang w:val="fr-CH"/>
        </w:rPr>
        <w:t>s</w:t>
      </w:r>
      <w:r w:rsidR="00C62873">
        <w:rPr>
          <w:rFonts w:eastAsia="MS PGothic" w:hAnsi="MS PGothic"/>
          <w:lang w:val="fr-CH"/>
        </w:rPr>
        <w:t xml:space="preserve"> villes et </w:t>
      </w:r>
      <w:r w:rsidR="009E70DF">
        <w:rPr>
          <w:rFonts w:eastAsia="MS PGothic" w:hAnsi="MS PGothic"/>
          <w:lang w:val="fr-CH"/>
        </w:rPr>
        <w:t xml:space="preserve">des </w:t>
      </w:r>
      <w:r w:rsidR="00C62873">
        <w:rPr>
          <w:rFonts w:eastAsia="MS PGothic" w:hAnsi="MS PGothic"/>
          <w:lang w:val="fr-CH"/>
        </w:rPr>
        <w:t>communaut</w:t>
      </w:r>
      <w:r w:rsidR="00C62873">
        <w:rPr>
          <w:rFonts w:eastAsia="MS PGothic" w:hAnsi="MS PGothic"/>
          <w:lang w:val="fr-CH"/>
        </w:rPr>
        <w:t>é</w:t>
      </w:r>
      <w:r w:rsidR="00C62873">
        <w:rPr>
          <w:rFonts w:eastAsia="MS PGothic" w:hAnsi="MS PGothic"/>
          <w:lang w:val="fr-CH"/>
        </w:rPr>
        <w:t>s intelligentes</w:t>
      </w:r>
      <w:r>
        <w:rPr>
          <w:rFonts w:eastAsia="MS PGothic" w:hAnsi="MS PGothic"/>
          <w:lang w:val="fr-CH"/>
        </w:rPr>
        <w:t>.</w:t>
      </w:r>
    </w:p>
    <w:p w:rsidR="00C62873" w:rsidRPr="00281FDC" w:rsidRDefault="003E4CA2" w:rsidP="00570134">
      <w:pPr>
        <w:pStyle w:val="enumlev1"/>
        <w:rPr>
          <w:lang w:val="fr-CH"/>
        </w:rPr>
      </w:pPr>
      <w:r w:rsidRPr="00281FDC">
        <w:rPr>
          <w:lang w:val="fr-CH"/>
        </w:rPr>
        <w:t>–</w:t>
      </w:r>
      <w:r w:rsidRPr="00281FDC">
        <w:rPr>
          <w:lang w:val="fr-CH"/>
        </w:rPr>
        <w:tab/>
      </w:r>
      <w:r w:rsidR="005563B7">
        <w:rPr>
          <w:lang w:val="fr-CH"/>
        </w:rPr>
        <w:t>E</w:t>
      </w:r>
      <w:r w:rsidR="00C62873" w:rsidRPr="00281FDC">
        <w:rPr>
          <w:lang w:val="fr-CH"/>
        </w:rPr>
        <w:t xml:space="preserve">laborer des manuels concernant </w:t>
      </w:r>
      <w:r w:rsidR="00570134">
        <w:rPr>
          <w:lang w:val="fr-CH"/>
        </w:rPr>
        <w:t>la présentation de</w:t>
      </w:r>
      <w:r w:rsidR="00C62873" w:rsidRPr="00281FDC">
        <w:rPr>
          <w:lang w:val="fr-CH"/>
        </w:rPr>
        <w:t xml:space="preserve"> l'indice mondial des villes intelligentes et durables.</w:t>
      </w:r>
    </w:p>
    <w:p w:rsidR="00C62873" w:rsidRPr="00281FDC" w:rsidRDefault="003E4CA2" w:rsidP="00570134">
      <w:pPr>
        <w:pStyle w:val="enumlev1"/>
        <w:rPr>
          <w:lang w:val="fr-CH"/>
        </w:rPr>
      </w:pPr>
      <w:r w:rsidRPr="00281FDC">
        <w:rPr>
          <w:lang w:val="fr-CH"/>
        </w:rPr>
        <w:t>–</w:t>
      </w:r>
      <w:r w:rsidRPr="00281FDC">
        <w:rPr>
          <w:lang w:val="fr-CH"/>
        </w:rPr>
        <w:tab/>
      </w:r>
      <w:r w:rsidR="00570134">
        <w:rPr>
          <w:lang w:val="fr-CH"/>
        </w:rPr>
        <w:t>E</w:t>
      </w:r>
      <w:r w:rsidR="00C62873" w:rsidRPr="00281FDC">
        <w:rPr>
          <w:lang w:val="fr-CH"/>
        </w:rPr>
        <w:t xml:space="preserve">laborer des lignes directrices des bonnes pratiques </w:t>
      </w:r>
      <w:r w:rsidR="00570134">
        <w:rPr>
          <w:lang w:val="fr-CH"/>
        </w:rPr>
        <w:t>concernant</w:t>
      </w:r>
      <w:r w:rsidR="00C62873" w:rsidRPr="00281FDC">
        <w:rPr>
          <w:lang w:val="fr-CH"/>
        </w:rPr>
        <w:t xml:space="preserve"> l'élaboration de rapports sur les performances d'une ville</w:t>
      </w:r>
      <w:r w:rsidR="009E70DF">
        <w:rPr>
          <w:lang w:val="fr-CH"/>
        </w:rPr>
        <w:t>,</w:t>
      </w:r>
      <w:r w:rsidR="00C62873" w:rsidRPr="00281FDC">
        <w:rPr>
          <w:lang w:val="fr-CH"/>
        </w:rPr>
        <w:t xml:space="preserve"> afin d'aider les villes à atteindre les ODD.</w:t>
      </w:r>
    </w:p>
    <w:p w:rsidR="00C62873" w:rsidRPr="00281FDC" w:rsidRDefault="003E4CA2" w:rsidP="00570134">
      <w:pPr>
        <w:pStyle w:val="enumlev1"/>
        <w:rPr>
          <w:lang w:val="fr-CH"/>
        </w:rPr>
      </w:pPr>
      <w:r w:rsidRPr="00281FDC">
        <w:rPr>
          <w:lang w:val="fr-CH"/>
        </w:rPr>
        <w:t>–</w:t>
      </w:r>
      <w:r w:rsidRPr="00281FDC">
        <w:rPr>
          <w:lang w:val="fr-CH"/>
        </w:rPr>
        <w:tab/>
      </w:r>
      <w:r w:rsidR="00C62873" w:rsidRPr="00281FDC">
        <w:rPr>
          <w:lang w:val="fr-CH"/>
        </w:rPr>
        <w:t xml:space="preserve">Assurer à intervalles réguliers </w:t>
      </w:r>
      <w:r w:rsidR="00570134" w:rsidRPr="00281FDC">
        <w:rPr>
          <w:lang w:val="fr-CH"/>
        </w:rPr>
        <w:t xml:space="preserve">la coordination </w:t>
      </w:r>
      <w:r w:rsidR="00C62873" w:rsidRPr="00281FDC">
        <w:rPr>
          <w:lang w:val="fr-CH"/>
        </w:rPr>
        <w:t>avec les autres commissions d'études et d'autres organisations de normalisation, ainsi qu</w:t>
      </w:r>
      <w:r w:rsidR="00570134">
        <w:rPr>
          <w:lang w:val="fr-CH"/>
        </w:rPr>
        <w:t xml:space="preserve">'avec les </w:t>
      </w:r>
      <w:r w:rsidR="00C62873" w:rsidRPr="00281FDC">
        <w:rPr>
          <w:lang w:val="fr-CH"/>
        </w:rPr>
        <w:t>autres institutions des Nations Unies</w:t>
      </w:r>
      <w:r w:rsidR="00570134">
        <w:rPr>
          <w:lang w:val="fr-CH"/>
        </w:rPr>
        <w:t>,</w:t>
      </w:r>
      <w:r w:rsidR="00C62873" w:rsidRPr="00281FDC">
        <w:rPr>
          <w:lang w:val="fr-CH"/>
        </w:rPr>
        <w:t xml:space="preserve"> afin de </w:t>
      </w:r>
      <w:r w:rsidR="00570134">
        <w:rPr>
          <w:lang w:val="fr-CH"/>
        </w:rPr>
        <w:t>permettre</w:t>
      </w:r>
      <w:r w:rsidR="00C62873" w:rsidRPr="00281FDC">
        <w:rPr>
          <w:lang w:val="fr-CH"/>
        </w:rPr>
        <w:t xml:space="preserve"> une collaboration efficace.</w:t>
      </w:r>
    </w:p>
    <w:p w:rsidR="003E4CA2" w:rsidRPr="00745CFF" w:rsidRDefault="003E4CA2" w:rsidP="00570134">
      <w:pPr>
        <w:rPr>
          <w:lang w:val="fr-CH"/>
        </w:rPr>
      </w:pPr>
      <w:r w:rsidRPr="00183C04">
        <w:rPr>
          <w:lang w:val="fr-CH"/>
        </w:rPr>
        <w:t>L'état actuel d'avancement des travaux au titre de cette Question est indiqué dans le programme de travail de la CE </w:t>
      </w:r>
      <w:r>
        <w:rPr>
          <w:lang w:val="fr-CH"/>
        </w:rPr>
        <w:t>20</w:t>
      </w:r>
      <w:r w:rsidRPr="00183C04">
        <w:rPr>
          <w:lang w:val="fr-CH"/>
        </w:rPr>
        <w:t xml:space="preserve"> (</w:t>
      </w:r>
      <w:hyperlink r:id="rId15" w:history="1">
        <w:r w:rsidR="00570134" w:rsidRPr="00570134">
          <w:rPr>
            <w:rStyle w:val="Hyperlink"/>
            <w:rFonts w:asciiTheme="majorBidi" w:hAnsiTheme="majorBidi" w:cstheme="majorBidi"/>
            <w:lang w:val="fr-CH"/>
          </w:rPr>
          <w:t>http://www.itu.int/ITU-T/workprog/wp_search.aspx?Q=xx/20</w:t>
        </w:r>
      </w:hyperlink>
      <w:r>
        <w:rPr>
          <w:lang w:val="fr-CH"/>
        </w:rPr>
        <w:t>).</w:t>
      </w:r>
    </w:p>
    <w:p w:rsidR="003E4CA2" w:rsidRPr="00183C04" w:rsidRDefault="003E4CA2" w:rsidP="00281FDC">
      <w:pPr>
        <w:pStyle w:val="Heading1"/>
        <w:rPr>
          <w:lang w:val="fr-CH"/>
        </w:rPr>
      </w:pPr>
      <w:r w:rsidRPr="00183C04">
        <w:rPr>
          <w:lang w:val="fr-CH"/>
        </w:rPr>
        <w:t>4</w:t>
      </w:r>
      <w:r w:rsidRPr="00183C04">
        <w:rPr>
          <w:lang w:val="fr-CH"/>
        </w:rPr>
        <w:tab/>
        <w:t>Relations</w:t>
      </w:r>
    </w:p>
    <w:p w:rsidR="003E4CA2" w:rsidRPr="00183C04" w:rsidRDefault="003E4CA2" w:rsidP="00281FDC">
      <w:pPr>
        <w:pStyle w:val="Headingb"/>
      </w:pPr>
      <w:r w:rsidRPr="00183C04">
        <w:t>Recommandations:</w:t>
      </w:r>
    </w:p>
    <w:p w:rsidR="003E4CA2" w:rsidRPr="00183C04" w:rsidRDefault="003E4CA2" w:rsidP="009E70DF">
      <w:pPr>
        <w:pStyle w:val="enumlev1"/>
        <w:rPr>
          <w:lang w:val="fr-CH"/>
        </w:rPr>
      </w:pPr>
      <w:r w:rsidRPr="00183C04">
        <w:rPr>
          <w:lang w:val="fr-CH"/>
        </w:rPr>
        <w:t>•</w:t>
      </w:r>
      <w:r w:rsidRPr="00183C04">
        <w:rPr>
          <w:lang w:val="fr-CH"/>
        </w:rPr>
        <w:tab/>
      </w:r>
      <w:r w:rsidR="009B7DC2">
        <w:rPr>
          <w:lang w:val="fr-CH"/>
        </w:rPr>
        <w:t>Recommandation</w:t>
      </w:r>
      <w:r w:rsidR="00570134">
        <w:rPr>
          <w:lang w:val="fr-CH"/>
        </w:rPr>
        <w:t>s</w:t>
      </w:r>
      <w:r w:rsidR="009B7DC2">
        <w:rPr>
          <w:lang w:val="fr-CH"/>
        </w:rPr>
        <w:t xml:space="preserve"> UIT-T de la série </w:t>
      </w:r>
      <w:r w:rsidR="008C4424" w:rsidRPr="00281FDC">
        <w:rPr>
          <w:lang w:val="fr-CH"/>
        </w:rPr>
        <w:t>Y.4000</w:t>
      </w:r>
      <w:r w:rsidR="009B7DC2" w:rsidRPr="00281FDC">
        <w:rPr>
          <w:lang w:val="fr-CH"/>
        </w:rPr>
        <w:t xml:space="preserve"> y compris </w:t>
      </w:r>
      <w:r w:rsidR="008C4424" w:rsidRPr="00281FDC">
        <w:rPr>
          <w:lang w:val="fr-CH"/>
        </w:rPr>
        <w:t xml:space="preserve">Y.4900/L.1600, Y.4901/L.1601, Y.4902/L.1602 </w:t>
      </w:r>
      <w:r w:rsidR="009B7DC2" w:rsidRPr="00281FDC">
        <w:rPr>
          <w:lang w:val="fr-CH"/>
        </w:rPr>
        <w:t>et</w:t>
      </w:r>
      <w:r w:rsidR="008C4424" w:rsidRPr="00281FDC">
        <w:rPr>
          <w:lang w:val="fr-CH"/>
        </w:rPr>
        <w:t xml:space="preserve"> Y.4903/L.1603</w:t>
      </w:r>
    </w:p>
    <w:p w:rsidR="003E4CA2" w:rsidRPr="00183C04" w:rsidRDefault="003E4CA2" w:rsidP="00281FDC">
      <w:pPr>
        <w:pStyle w:val="Headingb"/>
      </w:pPr>
      <w:r w:rsidRPr="00183C04">
        <w:t>Questions:</w:t>
      </w:r>
      <w:r w:rsidRPr="00491BD7">
        <w:rPr>
          <w:rFonts w:hint="eastAsia"/>
        </w:rPr>
        <w:t xml:space="preserve"> </w:t>
      </w:r>
    </w:p>
    <w:p w:rsidR="003E4CA2" w:rsidRPr="00183C04" w:rsidRDefault="003E4CA2" w:rsidP="00281FDC">
      <w:pPr>
        <w:pStyle w:val="enumlev1"/>
        <w:rPr>
          <w:lang w:val="fr-CH"/>
        </w:rPr>
      </w:pPr>
      <w:r w:rsidRPr="00183C04">
        <w:rPr>
          <w:lang w:val="fr-CH"/>
        </w:rPr>
        <w:t>•</w:t>
      </w:r>
      <w:r w:rsidRPr="00183C04">
        <w:rPr>
          <w:lang w:val="fr-CH"/>
        </w:rPr>
        <w:tab/>
      </w:r>
      <w:r w:rsidR="009B7DC2">
        <w:rPr>
          <w:lang w:val="fr-CH"/>
        </w:rPr>
        <w:t>Toutes les Questions confiées à la CE 20</w:t>
      </w:r>
    </w:p>
    <w:p w:rsidR="003E4CA2" w:rsidRPr="00880210" w:rsidRDefault="003E4CA2" w:rsidP="00281FDC">
      <w:pPr>
        <w:pStyle w:val="Headingb"/>
      </w:pPr>
      <w:r w:rsidRPr="00880210">
        <w:t>Commissions d'études:</w:t>
      </w:r>
    </w:p>
    <w:p w:rsidR="003E4CA2" w:rsidRPr="006A4099" w:rsidRDefault="003E4CA2" w:rsidP="00281FDC">
      <w:pPr>
        <w:pStyle w:val="enumlev1"/>
        <w:rPr>
          <w:lang w:val="fr-CH"/>
        </w:rPr>
      </w:pPr>
      <w:r w:rsidRPr="006A4099">
        <w:rPr>
          <w:lang w:val="fr-CH"/>
        </w:rPr>
        <w:t>•</w:t>
      </w:r>
      <w:r w:rsidRPr="006A4099">
        <w:rPr>
          <w:lang w:val="fr-CH"/>
        </w:rPr>
        <w:tab/>
      </w:r>
      <w:r w:rsidRPr="00E67978">
        <w:rPr>
          <w:lang w:val="fr-CH"/>
        </w:rPr>
        <w:t>Commissions d</w:t>
      </w:r>
      <w:r>
        <w:rPr>
          <w:lang w:val="fr-CH"/>
        </w:rPr>
        <w:t>'</w:t>
      </w:r>
      <w:r w:rsidRPr="00E67978">
        <w:rPr>
          <w:lang w:val="fr-CH"/>
        </w:rPr>
        <w:t>études de l</w:t>
      </w:r>
      <w:r>
        <w:rPr>
          <w:lang w:val="fr-CH"/>
        </w:rPr>
        <w:t>'</w:t>
      </w:r>
      <w:r w:rsidRPr="00E67978">
        <w:rPr>
          <w:lang w:val="fr-CH"/>
        </w:rPr>
        <w:t>UIT</w:t>
      </w:r>
      <w:r>
        <w:rPr>
          <w:lang w:val="fr-CH"/>
        </w:rPr>
        <w:noBreakHyphen/>
      </w:r>
      <w:r w:rsidRPr="00E67978">
        <w:rPr>
          <w:lang w:val="fr-CH"/>
        </w:rPr>
        <w:t>T (par exemple compte tenu</w:t>
      </w:r>
      <w:r>
        <w:rPr>
          <w:lang w:val="fr-CH"/>
        </w:rPr>
        <w:t xml:space="preserve"> de </w:t>
      </w:r>
      <w:r w:rsidR="006C4324">
        <w:rPr>
          <w:lang w:val="fr-CH"/>
        </w:rPr>
        <w:t>leurs rôles</w:t>
      </w:r>
      <w:r>
        <w:rPr>
          <w:lang w:val="fr-CH"/>
        </w:rPr>
        <w:t xml:space="preserve"> en tant que commissions d'études directrices), commissions d'études de l'UIT</w:t>
      </w:r>
      <w:r>
        <w:rPr>
          <w:lang w:val="fr-CH"/>
        </w:rPr>
        <w:noBreakHyphen/>
        <w:t>D et de l'UIT</w:t>
      </w:r>
      <w:r>
        <w:rPr>
          <w:lang w:val="fr-CH"/>
        </w:rPr>
        <w:noBreakHyphen/>
        <w:t>R, le cas échéant</w:t>
      </w:r>
    </w:p>
    <w:p w:rsidR="003E4CA2" w:rsidRPr="00880210" w:rsidRDefault="003E4CA2" w:rsidP="00281FDC">
      <w:pPr>
        <w:pStyle w:val="Headingb"/>
      </w:pPr>
      <w:r w:rsidRPr="00880210">
        <w:t>Organismes de normalisation:</w:t>
      </w:r>
    </w:p>
    <w:p w:rsidR="003E4CA2" w:rsidRPr="006A4099" w:rsidRDefault="003E4CA2" w:rsidP="00281FDC">
      <w:pPr>
        <w:pStyle w:val="enumlev1"/>
        <w:rPr>
          <w:lang w:val="fr-CH"/>
        </w:rPr>
      </w:pPr>
      <w:r w:rsidRPr="006A4099">
        <w:rPr>
          <w:lang w:val="fr-CH"/>
        </w:rPr>
        <w:t>•</w:t>
      </w:r>
      <w:r w:rsidRPr="006A4099">
        <w:rPr>
          <w:lang w:val="fr-CH"/>
        </w:rPr>
        <w:tab/>
        <w:t xml:space="preserve">Groupe de coordination CEN-CENELEC-ETSI </w:t>
      </w:r>
      <w:r>
        <w:rPr>
          <w:lang w:val="fr-CH"/>
        </w:rPr>
        <w:t>"Vi</w:t>
      </w:r>
      <w:r w:rsidRPr="006A4099">
        <w:rPr>
          <w:lang w:val="fr-CH"/>
        </w:rPr>
        <w:t xml:space="preserve">lles et communautés </w:t>
      </w:r>
      <w:r>
        <w:rPr>
          <w:lang w:val="fr-CH"/>
        </w:rPr>
        <w:t>intelligentes et durables"</w:t>
      </w:r>
      <w:r w:rsidRPr="006A4099">
        <w:rPr>
          <w:lang w:val="fr-CH"/>
        </w:rPr>
        <w:t xml:space="preserve"> (SSCC-CG) </w:t>
      </w:r>
    </w:p>
    <w:p w:rsidR="003E4CA2" w:rsidRPr="00880210" w:rsidRDefault="003E4CA2" w:rsidP="00281FDC">
      <w:pPr>
        <w:pStyle w:val="enumlev1"/>
        <w:rPr>
          <w:lang w:val="fr-CH"/>
        </w:rPr>
      </w:pPr>
      <w:r w:rsidRPr="00880210">
        <w:rPr>
          <w:lang w:val="fr-CH"/>
        </w:rPr>
        <w:lastRenderedPageBreak/>
        <w:t>•</w:t>
      </w:r>
      <w:r w:rsidRPr="00880210">
        <w:rPr>
          <w:lang w:val="fr-CH"/>
        </w:rPr>
        <w:tab/>
        <w:t>ETSI TC EE</w:t>
      </w:r>
    </w:p>
    <w:p w:rsidR="003E4CA2" w:rsidRPr="00880210" w:rsidRDefault="003E4CA2" w:rsidP="00281FDC">
      <w:pPr>
        <w:pStyle w:val="enumlev1"/>
        <w:rPr>
          <w:lang w:val="fr-CH"/>
        </w:rPr>
      </w:pPr>
      <w:r w:rsidRPr="00880210">
        <w:rPr>
          <w:lang w:val="fr-CH"/>
        </w:rPr>
        <w:t>•</w:t>
      </w:r>
      <w:r w:rsidRPr="00880210">
        <w:rPr>
          <w:lang w:val="fr-CH"/>
        </w:rPr>
        <w:tab/>
        <w:t>ETSI TC Smart M2M</w:t>
      </w:r>
    </w:p>
    <w:p w:rsidR="003E4CA2" w:rsidRPr="00880210" w:rsidRDefault="003E4CA2" w:rsidP="00281FDC">
      <w:pPr>
        <w:pStyle w:val="enumlev1"/>
        <w:rPr>
          <w:lang w:val="fr-CH"/>
        </w:rPr>
      </w:pPr>
      <w:r w:rsidRPr="00880210">
        <w:rPr>
          <w:lang w:val="fr-CH"/>
        </w:rPr>
        <w:t>•</w:t>
      </w:r>
      <w:r w:rsidRPr="00880210">
        <w:rPr>
          <w:lang w:val="fr-CH"/>
        </w:rPr>
        <w:tab/>
        <w:t>IEC SEG1</w:t>
      </w:r>
    </w:p>
    <w:p w:rsidR="003E4CA2" w:rsidRPr="00647EFF" w:rsidRDefault="003E4CA2" w:rsidP="00281FDC">
      <w:pPr>
        <w:pStyle w:val="enumlev1"/>
        <w:rPr>
          <w:lang w:val="fr-CH"/>
        </w:rPr>
      </w:pPr>
      <w:r w:rsidRPr="00647EFF">
        <w:rPr>
          <w:lang w:val="fr-CH"/>
        </w:rPr>
        <w:t>•</w:t>
      </w:r>
      <w:r w:rsidRPr="00647EFF">
        <w:rPr>
          <w:lang w:val="fr-CH"/>
        </w:rPr>
        <w:tab/>
        <w:t xml:space="preserve">IEC TC 111 </w:t>
      </w:r>
    </w:p>
    <w:p w:rsidR="003E4CA2" w:rsidRPr="00647EFF" w:rsidRDefault="003E4CA2" w:rsidP="006B3F0F">
      <w:pPr>
        <w:pStyle w:val="enumlev1"/>
        <w:rPr>
          <w:lang w:val="fr-CH"/>
        </w:rPr>
      </w:pPr>
      <w:bookmarkStart w:id="7" w:name="lt_pId106"/>
      <w:r w:rsidRPr="00647EFF">
        <w:rPr>
          <w:lang w:val="fr-CH"/>
        </w:rPr>
        <w:t>•</w:t>
      </w:r>
      <w:r w:rsidRPr="00647EFF">
        <w:rPr>
          <w:lang w:val="fr-CH"/>
        </w:rPr>
        <w:tab/>
        <w:t>OneM2M</w:t>
      </w:r>
      <w:bookmarkEnd w:id="7"/>
      <w:r w:rsidRPr="00647EFF">
        <w:rPr>
          <w:lang w:val="fr-CH"/>
        </w:rPr>
        <w:t xml:space="preserve"> </w:t>
      </w:r>
    </w:p>
    <w:p w:rsidR="003E4CA2" w:rsidRPr="00570134" w:rsidRDefault="003E4CA2" w:rsidP="00570134">
      <w:pPr>
        <w:pStyle w:val="enumlev1"/>
        <w:rPr>
          <w:lang w:val="fr-CH"/>
        </w:rPr>
      </w:pPr>
      <w:bookmarkStart w:id="8" w:name="lt_pId108"/>
      <w:r w:rsidRPr="00570134">
        <w:rPr>
          <w:lang w:val="fr-CH"/>
        </w:rPr>
        <w:t>•</w:t>
      </w:r>
      <w:r w:rsidRPr="00570134">
        <w:rPr>
          <w:lang w:val="fr-CH"/>
        </w:rPr>
        <w:tab/>
      </w:r>
      <w:bookmarkEnd w:id="8"/>
      <w:r w:rsidR="00570134" w:rsidRPr="00570134">
        <w:rPr>
          <w:rFonts w:eastAsia="Times New Roman"/>
          <w:lang w:val="fr-CH"/>
        </w:rPr>
        <w:t>Communauté des villes intelligentes de l'IEEE</w:t>
      </w:r>
    </w:p>
    <w:p w:rsidR="003E4CA2" w:rsidRPr="00C91E41" w:rsidRDefault="003E4CA2" w:rsidP="00281FDC">
      <w:pPr>
        <w:pStyle w:val="enumlev1"/>
        <w:rPr>
          <w:lang w:val="fr-CH"/>
        </w:rPr>
      </w:pPr>
      <w:r w:rsidRPr="00C91E41">
        <w:rPr>
          <w:lang w:val="fr-CH"/>
        </w:rPr>
        <w:t>•</w:t>
      </w:r>
      <w:r w:rsidRPr="00C91E41">
        <w:rPr>
          <w:lang w:val="fr-CH"/>
        </w:rPr>
        <w:tab/>
        <w:t>ISO/</w:t>
      </w:r>
      <w:r w:rsidR="009B7DC2" w:rsidRPr="00C91E41">
        <w:rPr>
          <w:lang w:val="fr-CH"/>
        </w:rPr>
        <w:t xml:space="preserve">CEI </w:t>
      </w:r>
      <w:r w:rsidRPr="00C91E41">
        <w:rPr>
          <w:lang w:val="fr-CH"/>
        </w:rPr>
        <w:t>JTC 1/WG11</w:t>
      </w:r>
    </w:p>
    <w:p w:rsidR="003E4CA2" w:rsidRPr="00C91E41" w:rsidRDefault="003E4CA2" w:rsidP="00281FDC">
      <w:pPr>
        <w:pStyle w:val="enumlev1"/>
        <w:rPr>
          <w:lang w:val="fr-CH"/>
        </w:rPr>
      </w:pPr>
      <w:r w:rsidRPr="00C91E41">
        <w:rPr>
          <w:lang w:val="fr-CH"/>
        </w:rPr>
        <w:t>•</w:t>
      </w:r>
      <w:r w:rsidRPr="00C91E41">
        <w:rPr>
          <w:lang w:val="fr-CH"/>
        </w:rPr>
        <w:tab/>
        <w:t>ISO TC 268 SC1</w:t>
      </w:r>
    </w:p>
    <w:p w:rsidR="003E4CA2" w:rsidRPr="00C91E41" w:rsidRDefault="003E4CA2" w:rsidP="00281FDC">
      <w:pPr>
        <w:pStyle w:val="enumlev1"/>
        <w:rPr>
          <w:lang w:val="fr-CH"/>
        </w:rPr>
      </w:pPr>
      <w:r w:rsidRPr="00C91E41">
        <w:rPr>
          <w:lang w:val="fr-CH"/>
        </w:rPr>
        <w:t>•</w:t>
      </w:r>
      <w:r w:rsidRPr="00C91E41">
        <w:rPr>
          <w:lang w:val="fr-CH"/>
        </w:rPr>
        <w:tab/>
        <w:t>ISO SAGIIC (Industrial Internet Consortium)</w:t>
      </w:r>
    </w:p>
    <w:p w:rsidR="008D3C60" w:rsidRPr="00C91E41" w:rsidRDefault="008D3C60" w:rsidP="00281FDC">
      <w:pPr>
        <w:pStyle w:val="Reasons"/>
        <w:rPr>
          <w:lang w:val="fr-CH"/>
        </w:rPr>
      </w:pPr>
    </w:p>
    <w:p w:rsidR="003E4CA2" w:rsidRPr="00C91E41" w:rsidRDefault="003E4CA2" w:rsidP="00281FDC">
      <w:pPr>
        <w:tabs>
          <w:tab w:val="clear" w:pos="1134"/>
          <w:tab w:val="clear" w:pos="1871"/>
          <w:tab w:val="clear" w:pos="2268"/>
        </w:tabs>
        <w:overflowPunct/>
        <w:autoSpaceDE/>
        <w:autoSpaceDN/>
        <w:adjustRightInd/>
        <w:spacing w:before="0"/>
        <w:textAlignment w:val="auto"/>
        <w:rPr>
          <w:lang w:val="fr-CH"/>
        </w:rPr>
      </w:pPr>
      <w:r w:rsidRPr="00C91E41">
        <w:rPr>
          <w:lang w:val="fr-CH"/>
        </w:rPr>
        <w:br w:type="page"/>
      </w:r>
    </w:p>
    <w:p w:rsidR="008D3C60" w:rsidRPr="00C91E41" w:rsidRDefault="008A41C7" w:rsidP="00281FDC">
      <w:pPr>
        <w:pStyle w:val="Proposal"/>
        <w:rPr>
          <w:lang w:val="fr-CH"/>
        </w:rPr>
      </w:pPr>
      <w:r w:rsidRPr="00C91E41">
        <w:rPr>
          <w:lang w:val="fr-CH"/>
        </w:rPr>
        <w:lastRenderedPageBreak/>
        <w:tab/>
        <w:t>ARB/43A32/2</w:t>
      </w:r>
    </w:p>
    <w:p w:rsidR="003C5C09" w:rsidRPr="00281FDC" w:rsidRDefault="00376A97" w:rsidP="00281FDC">
      <w:pPr>
        <w:rPr>
          <w:b/>
          <w:bCs/>
          <w:lang w:val="fr-CH"/>
        </w:rPr>
      </w:pPr>
      <w:r w:rsidRPr="00281FDC">
        <w:rPr>
          <w:b/>
          <w:bCs/>
          <w:lang w:val="fr-CH"/>
        </w:rPr>
        <w:t>Nouvelle</w:t>
      </w:r>
      <w:r w:rsidR="006244B1">
        <w:rPr>
          <w:b/>
          <w:bCs/>
          <w:lang w:val="fr-CH"/>
        </w:rPr>
        <w:t xml:space="preserve"> Question 3/20 intitulée</w:t>
      </w:r>
      <w:r w:rsidR="000D5B84">
        <w:rPr>
          <w:b/>
          <w:bCs/>
          <w:lang w:val="fr-CH"/>
        </w:rPr>
        <w:t xml:space="preserve"> "</w:t>
      </w:r>
      <w:r w:rsidRPr="00281FDC">
        <w:rPr>
          <w:b/>
          <w:bCs/>
          <w:lang w:val="fr-CH"/>
        </w:rPr>
        <w:t xml:space="preserve">Sécurité, </w:t>
      </w:r>
      <w:r w:rsidR="00365ED1" w:rsidRPr="00281FDC">
        <w:rPr>
          <w:b/>
          <w:bCs/>
          <w:lang w:val="fr-CH"/>
        </w:rPr>
        <w:t>confidentialité</w:t>
      </w:r>
      <w:r w:rsidRPr="00281FDC">
        <w:rPr>
          <w:b/>
          <w:bCs/>
          <w:lang w:val="fr-CH"/>
        </w:rPr>
        <w:t xml:space="preserve">, </w:t>
      </w:r>
      <w:r w:rsidR="00365ED1" w:rsidRPr="00281FDC">
        <w:rPr>
          <w:b/>
          <w:bCs/>
          <w:lang w:val="fr-CH"/>
        </w:rPr>
        <w:t>confiance</w:t>
      </w:r>
      <w:r w:rsidRPr="00281FDC">
        <w:rPr>
          <w:b/>
          <w:bCs/>
          <w:lang w:val="fr-CH"/>
        </w:rPr>
        <w:t xml:space="preserve"> et identification</w:t>
      </w:r>
      <w:r w:rsidR="000D5B84">
        <w:rPr>
          <w:b/>
          <w:bCs/>
          <w:lang w:val="fr-CH"/>
        </w:rPr>
        <w:t>"</w:t>
      </w:r>
    </w:p>
    <w:p w:rsidR="00052B58" w:rsidRPr="00281FDC" w:rsidRDefault="00052B58" w:rsidP="006244B1">
      <w:pPr>
        <w:rPr>
          <w:lang w:val="fr-CH"/>
        </w:rPr>
      </w:pPr>
      <w:r w:rsidRPr="00281FDC">
        <w:rPr>
          <w:lang w:val="fr-CH"/>
        </w:rPr>
        <w:t xml:space="preserve">Conformément au mandat confié par le GCNT à la CE 20 en ce qui concerne l'étude de la sécurité, de la </w:t>
      </w:r>
      <w:r w:rsidR="00365ED1" w:rsidRPr="00281FDC">
        <w:rPr>
          <w:lang w:val="fr-CH"/>
        </w:rPr>
        <w:t>confidentialité</w:t>
      </w:r>
      <w:r w:rsidRPr="00281FDC">
        <w:rPr>
          <w:lang w:val="fr-CH"/>
        </w:rPr>
        <w:t xml:space="preserve">, </w:t>
      </w:r>
      <w:r w:rsidR="006244B1">
        <w:rPr>
          <w:lang w:val="fr-CH"/>
        </w:rPr>
        <w:t xml:space="preserve">de </w:t>
      </w:r>
      <w:r w:rsidRPr="00281FDC">
        <w:rPr>
          <w:lang w:val="fr-CH"/>
        </w:rPr>
        <w:t>la confiance</w:t>
      </w:r>
      <w:r w:rsidR="00A61049" w:rsidRPr="00281FDC">
        <w:rPr>
          <w:lang w:val="fr-CH"/>
        </w:rPr>
        <w:t xml:space="preserve"> et</w:t>
      </w:r>
      <w:r w:rsidRPr="00281FDC">
        <w:rPr>
          <w:lang w:val="fr-CH"/>
        </w:rPr>
        <w:t xml:space="preserve"> de l'identification</w:t>
      </w:r>
      <w:r w:rsidR="00A61049" w:rsidRPr="00281FDC">
        <w:rPr>
          <w:lang w:val="fr-CH"/>
        </w:rPr>
        <w:t xml:space="preserve"> </w:t>
      </w:r>
      <w:r w:rsidR="006244B1">
        <w:rPr>
          <w:lang w:val="fr-CH"/>
        </w:rPr>
        <w:t>pour</w:t>
      </w:r>
      <w:r w:rsidR="00A61049" w:rsidRPr="00281FDC">
        <w:rPr>
          <w:lang w:val="fr-CH"/>
        </w:rPr>
        <w:t xml:space="preserve"> </w:t>
      </w:r>
      <w:r w:rsidRPr="00281FDC">
        <w:rPr>
          <w:lang w:val="fr-CH"/>
        </w:rPr>
        <w:t xml:space="preserve">les systèmes, </w:t>
      </w:r>
      <w:r w:rsidR="006244B1">
        <w:rPr>
          <w:lang w:val="fr-CH"/>
        </w:rPr>
        <w:t xml:space="preserve">les </w:t>
      </w:r>
      <w:r w:rsidRPr="00281FDC">
        <w:rPr>
          <w:lang w:val="fr-CH"/>
        </w:rPr>
        <w:t xml:space="preserve">services et </w:t>
      </w:r>
      <w:r w:rsidR="006244B1">
        <w:rPr>
          <w:lang w:val="fr-CH"/>
        </w:rPr>
        <w:t xml:space="preserve">les </w:t>
      </w:r>
      <w:r w:rsidRPr="00281FDC">
        <w:rPr>
          <w:lang w:val="fr-CH"/>
        </w:rPr>
        <w:t>applications de l'Internet des objets</w:t>
      </w:r>
      <w:r w:rsidR="006244B1">
        <w:rPr>
          <w:lang w:val="fr-CH"/>
        </w:rPr>
        <w:t xml:space="preserve"> (IoT)</w:t>
      </w:r>
      <w:r w:rsidRPr="00281FDC">
        <w:rPr>
          <w:lang w:val="fr-CH"/>
        </w:rPr>
        <w:t xml:space="preserve"> et des villes et </w:t>
      </w:r>
      <w:r w:rsidR="00C0530C">
        <w:rPr>
          <w:lang w:val="fr-CH"/>
        </w:rPr>
        <w:t xml:space="preserve">des </w:t>
      </w:r>
      <w:r w:rsidRPr="00281FDC">
        <w:rPr>
          <w:lang w:val="fr-CH"/>
        </w:rPr>
        <w:t>communautés intelligentes</w:t>
      </w:r>
      <w:r w:rsidR="006244B1">
        <w:rPr>
          <w:lang w:val="fr-CH"/>
        </w:rPr>
        <w:t xml:space="preserve"> (SC&amp;C)</w:t>
      </w:r>
      <w:r w:rsidRPr="00281FDC">
        <w:rPr>
          <w:lang w:val="fr-CH"/>
        </w:rPr>
        <w:t>, compte tenu des travaux et des études menés au titre des Questions 1/20, 4/20, 5/20 et 6/20, les auteurs de la présente contribution proposent</w:t>
      </w:r>
      <w:r w:rsidR="0032568A" w:rsidRPr="00281FDC">
        <w:rPr>
          <w:lang w:val="fr-CH"/>
        </w:rPr>
        <w:t xml:space="preserve"> d</w:t>
      </w:r>
      <w:r w:rsidR="000D5B84">
        <w:rPr>
          <w:lang w:val="fr-CH"/>
        </w:rPr>
        <w:t xml:space="preserve">'adopter une question autonome </w:t>
      </w:r>
      <w:r w:rsidR="006244B1">
        <w:rPr>
          <w:lang w:val="fr-CH"/>
        </w:rPr>
        <w:t xml:space="preserve">intitulée </w:t>
      </w:r>
      <w:r w:rsidR="000D5B84">
        <w:rPr>
          <w:lang w:val="fr-CH"/>
        </w:rPr>
        <w:t>"</w:t>
      </w:r>
      <w:r w:rsidR="00365ED1" w:rsidRPr="00281FDC">
        <w:rPr>
          <w:lang w:val="fr-CH"/>
        </w:rPr>
        <w:t>S</w:t>
      </w:r>
      <w:r w:rsidR="0032568A" w:rsidRPr="00281FDC">
        <w:rPr>
          <w:lang w:val="fr-CH"/>
        </w:rPr>
        <w:t xml:space="preserve">écurité, </w:t>
      </w:r>
      <w:r w:rsidR="00365ED1" w:rsidRPr="00281FDC">
        <w:rPr>
          <w:lang w:val="fr-CH"/>
        </w:rPr>
        <w:t>confidentialité</w:t>
      </w:r>
      <w:r w:rsidR="0032568A" w:rsidRPr="00281FDC">
        <w:rPr>
          <w:lang w:val="fr-CH"/>
        </w:rPr>
        <w:t>, confiance et identification</w:t>
      </w:r>
      <w:r w:rsidR="000D5B84">
        <w:rPr>
          <w:lang w:val="fr-CH"/>
        </w:rPr>
        <w:t>"</w:t>
      </w:r>
      <w:r w:rsidR="0032568A" w:rsidRPr="00281FDC">
        <w:rPr>
          <w:lang w:val="fr-CH"/>
        </w:rPr>
        <w:t xml:space="preserve"> </w:t>
      </w:r>
      <w:r w:rsidR="006244B1">
        <w:rPr>
          <w:lang w:val="fr-CH"/>
        </w:rPr>
        <w:t>pour les</w:t>
      </w:r>
      <w:r w:rsidR="0032568A" w:rsidRPr="00281FDC">
        <w:rPr>
          <w:lang w:val="fr-CH"/>
        </w:rPr>
        <w:t xml:space="preserve"> services et </w:t>
      </w:r>
      <w:r w:rsidR="006244B1">
        <w:rPr>
          <w:lang w:val="fr-CH"/>
        </w:rPr>
        <w:t xml:space="preserve">les </w:t>
      </w:r>
      <w:r w:rsidR="0032568A" w:rsidRPr="00281FDC">
        <w:rPr>
          <w:lang w:val="fr-CH"/>
        </w:rPr>
        <w:t>applications</w:t>
      </w:r>
      <w:r w:rsidR="00A61049" w:rsidRPr="00281FDC">
        <w:rPr>
          <w:lang w:val="fr-CH"/>
        </w:rPr>
        <w:t xml:space="preserve"> compte </w:t>
      </w:r>
      <w:r w:rsidR="0032568A" w:rsidRPr="00281FDC">
        <w:rPr>
          <w:lang w:val="fr-CH"/>
        </w:rPr>
        <w:t>tenu des travaux</w:t>
      </w:r>
      <w:r w:rsidR="00A61049" w:rsidRPr="00281FDC">
        <w:rPr>
          <w:lang w:val="fr-CH"/>
        </w:rPr>
        <w:t xml:space="preserve"> et des </w:t>
      </w:r>
      <w:r w:rsidR="0032568A" w:rsidRPr="00281FDC">
        <w:rPr>
          <w:lang w:val="fr-CH"/>
        </w:rPr>
        <w:t>études menés au titre des Questions 4/20, 5/20 et 6/20.</w:t>
      </w:r>
    </w:p>
    <w:p w:rsidR="003C5C09" w:rsidRPr="00281FDC" w:rsidRDefault="003C5C09" w:rsidP="00281FDC">
      <w:pPr>
        <w:pStyle w:val="QuestionNo"/>
        <w:rPr>
          <w:lang w:val="fr-CH"/>
        </w:rPr>
      </w:pPr>
      <w:r w:rsidRPr="00281FDC">
        <w:rPr>
          <w:lang w:val="fr-CH"/>
        </w:rPr>
        <w:t>Question 3/20</w:t>
      </w:r>
    </w:p>
    <w:p w:rsidR="00987C1F" w:rsidRPr="00281FDC" w:rsidRDefault="0032568A" w:rsidP="00281FDC">
      <w:pPr>
        <w:pStyle w:val="Questiontitle"/>
        <w:rPr>
          <w:lang w:val="fr-CH"/>
        </w:rPr>
      </w:pPr>
      <w:r w:rsidRPr="00281FDC">
        <w:rPr>
          <w:b w:val="0"/>
          <w:bCs/>
          <w:lang w:val="fr-CH"/>
        </w:rPr>
        <w:t xml:space="preserve">Sécurité, </w:t>
      </w:r>
      <w:r w:rsidR="00365ED1" w:rsidRPr="00281FDC">
        <w:rPr>
          <w:b w:val="0"/>
          <w:bCs/>
          <w:lang w:val="fr-CH"/>
        </w:rPr>
        <w:t>confidentialité</w:t>
      </w:r>
      <w:r w:rsidRPr="00281FDC">
        <w:rPr>
          <w:b w:val="0"/>
          <w:bCs/>
          <w:lang w:val="fr-CH"/>
        </w:rPr>
        <w:t>, confiance et identification</w:t>
      </w:r>
    </w:p>
    <w:p w:rsidR="003C5C09" w:rsidRPr="00281FDC" w:rsidRDefault="003C5C09" w:rsidP="00281FDC">
      <w:pPr>
        <w:pStyle w:val="Heading1"/>
        <w:rPr>
          <w:lang w:val="fr-CH"/>
        </w:rPr>
      </w:pPr>
      <w:r w:rsidRPr="00281FDC">
        <w:rPr>
          <w:lang w:val="fr-CH" w:eastAsia="zh-CN"/>
        </w:rPr>
        <w:t>1</w:t>
      </w:r>
      <w:r w:rsidRPr="00281FDC">
        <w:rPr>
          <w:lang w:val="fr-CH" w:eastAsia="zh-CN"/>
        </w:rPr>
        <w:tab/>
        <w:t>Moti</w:t>
      </w:r>
      <w:r w:rsidR="00746599" w:rsidRPr="00281FDC">
        <w:rPr>
          <w:lang w:val="fr-CH" w:eastAsia="zh-CN"/>
        </w:rPr>
        <w:t>fs</w:t>
      </w:r>
    </w:p>
    <w:p w:rsidR="008F0272" w:rsidRPr="00281FDC" w:rsidRDefault="006C330C" w:rsidP="00E371F2">
      <w:pPr>
        <w:rPr>
          <w:lang w:val="fr-CH" w:eastAsia="zh-CN"/>
        </w:rPr>
      </w:pPr>
      <w:r w:rsidRPr="00281FDC">
        <w:rPr>
          <w:lang w:val="fr-CH" w:eastAsia="zh-CN"/>
        </w:rPr>
        <w:t xml:space="preserve">A l'ère de la société de l'information, </w:t>
      </w:r>
      <w:r w:rsidR="006244B1">
        <w:rPr>
          <w:lang w:val="fr-CH" w:eastAsia="zh-CN"/>
        </w:rPr>
        <w:t>le nombre</w:t>
      </w:r>
      <w:r w:rsidRPr="00281FDC">
        <w:rPr>
          <w:lang w:val="fr-CH" w:eastAsia="zh-CN"/>
        </w:rPr>
        <w:t xml:space="preserve"> de cyberattaques et de </w:t>
      </w:r>
      <w:r w:rsidR="006244B1">
        <w:rPr>
          <w:lang w:val="fr-CH" w:eastAsia="zh-CN"/>
        </w:rPr>
        <w:t>cyberdélits</w:t>
      </w:r>
      <w:r w:rsidRPr="00281FDC">
        <w:rPr>
          <w:lang w:val="fr-CH" w:eastAsia="zh-CN"/>
        </w:rPr>
        <w:t xml:space="preserve"> </w:t>
      </w:r>
      <w:r w:rsidR="006244B1">
        <w:rPr>
          <w:lang w:val="fr-CH" w:eastAsia="zh-CN"/>
        </w:rPr>
        <w:t>augmente et</w:t>
      </w:r>
      <w:r w:rsidRPr="00281FDC">
        <w:rPr>
          <w:lang w:val="fr-CH" w:eastAsia="zh-CN"/>
        </w:rPr>
        <w:t xml:space="preserve"> la perte de crédibilité ou de confiance </w:t>
      </w:r>
      <w:r w:rsidR="006244B1">
        <w:rPr>
          <w:lang w:val="fr-CH" w:eastAsia="zh-CN"/>
        </w:rPr>
        <w:t>s'accentue</w:t>
      </w:r>
      <w:r w:rsidRPr="00281FDC">
        <w:rPr>
          <w:lang w:val="fr-CH" w:eastAsia="zh-CN"/>
        </w:rPr>
        <w:t xml:space="preserve">. L'infrastructure des TIC évoluera pour fournir les services et </w:t>
      </w:r>
      <w:r w:rsidR="006244B1">
        <w:rPr>
          <w:lang w:val="fr-CH" w:eastAsia="zh-CN"/>
        </w:rPr>
        <w:t xml:space="preserve">les </w:t>
      </w:r>
      <w:r w:rsidRPr="00281FDC">
        <w:rPr>
          <w:lang w:val="fr-CH" w:eastAsia="zh-CN"/>
        </w:rPr>
        <w:t>applications de demain issus de la con</w:t>
      </w:r>
      <w:r w:rsidR="006244B1">
        <w:rPr>
          <w:lang w:val="fr-CH" w:eastAsia="zh-CN"/>
        </w:rPr>
        <w:t>vergence en prenant en charge un grand</w:t>
      </w:r>
      <w:r w:rsidRPr="00281FDC">
        <w:rPr>
          <w:lang w:val="fr-CH" w:eastAsia="zh-CN"/>
        </w:rPr>
        <w:t xml:space="preserve"> nombre</w:t>
      </w:r>
      <w:r w:rsidR="006244B1">
        <w:rPr>
          <w:lang w:val="fr-CH" w:eastAsia="zh-CN"/>
        </w:rPr>
        <w:t xml:space="preserve"> de</w:t>
      </w:r>
      <w:r w:rsidRPr="00281FDC">
        <w:rPr>
          <w:lang w:val="fr-CH" w:eastAsia="zh-CN"/>
        </w:rPr>
        <w:t xml:space="preserve"> capteurs de l'Internet des objets (IoT) et </w:t>
      </w:r>
      <w:r w:rsidR="006244B1">
        <w:rPr>
          <w:lang w:val="fr-CH" w:eastAsia="zh-CN"/>
        </w:rPr>
        <w:t xml:space="preserve">de </w:t>
      </w:r>
      <w:r w:rsidRPr="00281FDC">
        <w:rPr>
          <w:lang w:val="fr-CH" w:eastAsia="zh-CN"/>
        </w:rPr>
        <w:t xml:space="preserve">systèmes </w:t>
      </w:r>
      <w:r w:rsidR="006244B1">
        <w:rPr>
          <w:lang w:val="fr-CH" w:eastAsia="zh-CN"/>
        </w:rPr>
        <w:t>liés à l'Internet des objets</w:t>
      </w:r>
      <w:r w:rsidRPr="00281FDC">
        <w:rPr>
          <w:lang w:val="fr-CH" w:eastAsia="zh-CN"/>
        </w:rPr>
        <w:t xml:space="preserve">. </w:t>
      </w:r>
      <w:r w:rsidR="006244B1">
        <w:rPr>
          <w:lang w:val="fr-CH" w:eastAsia="zh-CN"/>
        </w:rPr>
        <w:t>En outre</w:t>
      </w:r>
      <w:r w:rsidRPr="00281FDC">
        <w:rPr>
          <w:lang w:val="fr-CH" w:eastAsia="zh-CN"/>
        </w:rPr>
        <w:t xml:space="preserve">, les villes intelligentes évoluent elles aussi partout dans le monde. Les services convergents et intelligents </w:t>
      </w:r>
      <w:r w:rsidR="001475BE">
        <w:rPr>
          <w:lang w:val="fr-CH" w:eastAsia="zh-CN"/>
        </w:rPr>
        <w:t>de demain qui seront</w:t>
      </w:r>
      <w:r w:rsidRPr="00281FDC">
        <w:rPr>
          <w:lang w:val="fr-CH" w:eastAsia="zh-CN"/>
        </w:rPr>
        <w:t xml:space="preserve"> déployés </w:t>
      </w:r>
      <w:r w:rsidR="001475BE">
        <w:rPr>
          <w:lang w:val="fr-CH" w:eastAsia="zh-CN"/>
        </w:rPr>
        <w:t>grâce à</w:t>
      </w:r>
      <w:r w:rsidRPr="00281FDC">
        <w:rPr>
          <w:lang w:val="fr-CH" w:eastAsia="zh-CN"/>
        </w:rPr>
        <w:t xml:space="preserve"> l'infrastructure des TIC font intervenir un grand nombre de parties prenantes de </w:t>
      </w:r>
      <w:r w:rsidR="001475BE">
        <w:rPr>
          <w:lang w:val="fr-CH" w:eastAsia="zh-CN"/>
        </w:rPr>
        <w:t>divers</w:t>
      </w:r>
      <w:r w:rsidRPr="00281FDC">
        <w:rPr>
          <w:lang w:val="fr-CH" w:eastAsia="zh-CN"/>
        </w:rPr>
        <w:t xml:space="preserve"> secteurs. Bien qu'il </w:t>
      </w:r>
      <w:r w:rsidR="001475BE">
        <w:rPr>
          <w:lang w:val="fr-CH" w:eastAsia="zh-CN"/>
        </w:rPr>
        <w:t>augure</w:t>
      </w:r>
      <w:r w:rsidRPr="00281FDC">
        <w:rPr>
          <w:lang w:val="fr-CH" w:eastAsia="zh-CN"/>
        </w:rPr>
        <w:t xml:space="preserve"> de progrès considérables concernant les modalités </w:t>
      </w:r>
      <w:r w:rsidR="001475BE">
        <w:rPr>
          <w:lang w:val="fr-CH" w:eastAsia="zh-CN"/>
        </w:rPr>
        <w:t>de fourniture des services et des applications</w:t>
      </w:r>
      <w:r w:rsidRPr="00281FDC">
        <w:rPr>
          <w:lang w:val="fr-CH" w:eastAsia="zh-CN"/>
        </w:rPr>
        <w:t xml:space="preserve"> </w:t>
      </w:r>
      <w:r w:rsidR="001475BE">
        <w:rPr>
          <w:lang w:val="fr-CH" w:eastAsia="zh-CN"/>
        </w:rPr>
        <w:t>et les</w:t>
      </w:r>
      <w:r w:rsidRPr="00281FDC">
        <w:rPr>
          <w:lang w:val="fr-CH" w:eastAsia="zh-CN"/>
        </w:rPr>
        <w:t xml:space="preserve"> modalités de gestion, d'administration et de maintenance des systèmes, cet environnement hétérogène n'en est pas moins associé à de </w:t>
      </w:r>
      <w:r w:rsidR="001475BE">
        <w:rPr>
          <w:lang w:val="fr-CH" w:eastAsia="zh-CN"/>
        </w:rPr>
        <w:t xml:space="preserve">très nombreux </w:t>
      </w:r>
      <w:r w:rsidRPr="00281FDC">
        <w:rPr>
          <w:lang w:val="fr-CH" w:eastAsia="zh-CN"/>
        </w:rPr>
        <w:t xml:space="preserve">risques propres aux secteurs et </w:t>
      </w:r>
      <w:r w:rsidR="001475BE">
        <w:rPr>
          <w:lang w:val="fr-CH" w:eastAsia="zh-CN"/>
        </w:rPr>
        <w:t>à de très nombreux</w:t>
      </w:r>
      <w:r w:rsidRPr="00281FDC">
        <w:rPr>
          <w:lang w:val="fr-CH" w:eastAsia="zh-CN"/>
        </w:rPr>
        <w:t xml:space="preserve"> vecteurs de menace. Les répercussions </w:t>
      </w:r>
      <w:r w:rsidR="001475BE">
        <w:rPr>
          <w:lang w:val="fr-CH" w:eastAsia="zh-CN"/>
        </w:rPr>
        <w:t>pour</w:t>
      </w:r>
      <w:r w:rsidRPr="00281FDC">
        <w:rPr>
          <w:lang w:val="fr-CH" w:eastAsia="zh-CN"/>
        </w:rPr>
        <w:t xml:space="preserve"> la sécurité, la confidentialité et la confiance en général </w:t>
      </w:r>
      <w:r w:rsidR="001475BE">
        <w:rPr>
          <w:lang w:val="fr-CH" w:eastAsia="zh-CN"/>
        </w:rPr>
        <w:t>dans</w:t>
      </w:r>
      <w:r w:rsidRPr="00281FDC">
        <w:rPr>
          <w:lang w:val="fr-CH" w:eastAsia="zh-CN"/>
        </w:rPr>
        <w:t xml:space="preserve"> l'utilisation, l'adoption et la multiplication des dispositifs, </w:t>
      </w:r>
      <w:r w:rsidR="001475BE">
        <w:rPr>
          <w:lang w:val="fr-CH" w:eastAsia="zh-CN"/>
        </w:rPr>
        <w:t xml:space="preserve">des </w:t>
      </w:r>
      <w:r w:rsidRPr="00281FDC">
        <w:rPr>
          <w:lang w:val="fr-CH" w:eastAsia="zh-CN"/>
        </w:rPr>
        <w:t xml:space="preserve">systèmes, </w:t>
      </w:r>
      <w:r w:rsidR="001475BE">
        <w:rPr>
          <w:lang w:val="fr-CH" w:eastAsia="zh-CN"/>
        </w:rPr>
        <w:t xml:space="preserve">des </w:t>
      </w:r>
      <w:r w:rsidRPr="00281FDC">
        <w:rPr>
          <w:lang w:val="fr-CH" w:eastAsia="zh-CN"/>
        </w:rPr>
        <w:t xml:space="preserve">services, </w:t>
      </w:r>
      <w:r w:rsidR="001475BE">
        <w:rPr>
          <w:lang w:val="fr-CH" w:eastAsia="zh-CN"/>
        </w:rPr>
        <w:t xml:space="preserve">des </w:t>
      </w:r>
      <w:r w:rsidRPr="00281FDC">
        <w:rPr>
          <w:lang w:val="fr-CH" w:eastAsia="zh-CN"/>
        </w:rPr>
        <w:t xml:space="preserve">applications et </w:t>
      </w:r>
      <w:r w:rsidR="001475BE">
        <w:rPr>
          <w:lang w:val="fr-CH" w:eastAsia="zh-CN"/>
        </w:rPr>
        <w:t xml:space="preserve">des </w:t>
      </w:r>
      <w:r w:rsidRPr="00281FDC">
        <w:rPr>
          <w:lang w:val="fr-CH" w:eastAsia="zh-CN"/>
        </w:rPr>
        <w:t xml:space="preserve">plates-formes de l'Internet des objets et des villes intelligentes pourraient nuire au développement du marché </w:t>
      </w:r>
      <w:r w:rsidR="001475BE">
        <w:rPr>
          <w:lang w:val="fr-CH" w:eastAsia="zh-CN"/>
        </w:rPr>
        <w:t xml:space="preserve">correspondant </w:t>
      </w:r>
      <w:r w:rsidRPr="00281FDC">
        <w:rPr>
          <w:lang w:val="fr-CH" w:eastAsia="zh-CN"/>
        </w:rPr>
        <w:t>dans son ensemble. Par conséquent,</w:t>
      </w:r>
      <w:r w:rsidR="002D2289" w:rsidRPr="00281FDC">
        <w:rPr>
          <w:lang w:val="fr-CH" w:eastAsia="zh-CN"/>
        </w:rPr>
        <w:t xml:space="preserve"> il est important </w:t>
      </w:r>
      <w:r w:rsidR="001475BE">
        <w:rPr>
          <w:lang w:val="fr-CH" w:eastAsia="zh-CN"/>
        </w:rPr>
        <w:t>d'appliquer</w:t>
      </w:r>
      <w:r w:rsidR="002D2289" w:rsidRPr="00281FDC">
        <w:rPr>
          <w:lang w:val="fr-CH" w:eastAsia="zh-CN"/>
        </w:rPr>
        <w:t xml:space="preserve"> le principe de </w:t>
      </w:r>
      <w:r w:rsidR="001475BE">
        <w:rPr>
          <w:lang w:val="fr-CH" w:eastAsia="zh-CN"/>
        </w:rPr>
        <w:t>"</w:t>
      </w:r>
      <w:r w:rsidR="002D2289" w:rsidRPr="00281FDC">
        <w:rPr>
          <w:lang w:val="fr-CH" w:eastAsia="zh-CN"/>
        </w:rPr>
        <w:t>l'intégration de la confide</w:t>
      </w:r>
      <w:r w:rsidR="001475BE">
        <w:rPr>
          <w:lang w:val="fr-CH" w:eastAsia="zh-CN"/>
        </w:rPr>
        <w:t>ntialité et de la sécurité dès la</w:t>
      </w:r>
      <w:r w:rsidR="002D2289" w:rsidRPr="00281FDC">
        <w:rPr>
          <w:lang w:val="fr-CH" w:eastAsia="zh-CN"/>
        </w:rPr>
        <w:t xml:space="preserve"> conception</w:t>
      </w:r>
      <w:r w:rsidR="001475BE">
        <w:rPr>
          <w:lang w:val="fr-CH" w:eastAsia="zh-CN"/>
        </w:rPr>
        <w:t>"</w:t>
      </w:r>
      <w:r w:rsidR="002D2289" w:rsidRPr="00281FDC">
        <w:rPr>
          <w:lang w:val="fr-CH" w:eastAsia="zh-CN"/>
        </w:rPr>
        <w:t>,</w:t>
      </w:r>
      <w:r w:rsidR="008F0272" w:rsidRPr="00281FDC">
        <w:rPr>
          <w:lang w:val="fr-CH" w:eastAsia="zh-CN"/>
        </w:rPr>
        <w:t xml:space="preserve"> selon lequel les mécanismes de protection doivent être intégrés dans les technologies de l'information, les pratiques commerciales, les systèmes, les processus, la conception physique et l'infrastructure en réseau.</w:t>
      </w:r>
    </w:p>
    <w:p w:rsidR="00180460" w:rsidRPr="00281FDC" w:rsidRDefault="008F0272" w:rsidP="00FD4B9B">
      <w:pPr>
        <w:rPr>
          <w:lang w:val="fr-CH" w:eastAsia="zh-CN"/>
        </w:rPr>
      </w:pPr>
      <w:r w:rsidRPr="00281FDC">
        <w:rPr>
          <w:lang w:val="fr-CH" w:eastAsia="zh-CN"/>
        </w:rPr>
        <w:t xml:space="preserve">Le respect des exigences </w:t>
      </w:r>
      <w:r w:rsidR="001475BE">
        <w:rPr>
          <w:lang w:val="fr-CH" w:eastAsia="zh-CN"/>
        </w:rPr>
        <w:t>relatives à la</w:t>
      </w:r>
      <w:r w:rsidRPr="00281FDC">
        <w:rPr>
          <w:lang w:val="fr-CH" w:eastAsia="zh-CN"/>
        </w:rPr>
        <w:t xml:space="preserve"> sécurité et </w:t>
      </w:r>
      <w:r w:rsidR="001475BE">
        <w:rPr>
          <w:lang w:val="fr-CH" w:eastAsia="zh-CN"/>
        </w:rPr>
        <w:t>à la</w:t>
      </w:r>
      <w:r w:rsidRPr="00281FDC">
        <w:rPr>
          <w:lang w:val="fr-CH" w:eastAsia="zh-CN"/>
        </w:rPr>
        <w:t xml:space="preserve"> confidentialité joue un rôle primordial dans l'environnement de l'Internet des objets</w:t>
      </w:r>
      <w:r w:rsidR="001475BE">
        <w:rPr>
          <w:lang w:val="fr-CH" w:eastAsia="zh-CN"/>
        </w:rPr>
        <w:t xml:space="preserve"> (IoT)</w:t>
      </w:r>
      <w:r w:rsidRPr="00281FDC">
        <w:rPr>
          <w:lang w:val="fr-CH" w:eastAsia="zh-CN"/>
        </w:rPr>
        <w:t xml:space="preserve"> et dans les villes </w:t>
      </w:r>
      <w:r w:rsidR="001475BE">
        <w:rPr>
          <w:lang w:val="fr-CH" w:eastAsia="zh-CN"/>
        </w:rPr>
        <w:t>et les</w:t>
      </w:r>
      <w:r w:rsidRPr="00281FDC">
        <w:rPr>
          <w:lang w:val="fr-CH" w:eastAsia="zh-CN"/>
        </w:rPr>
        <w:t xml:space="preserve"> communautés intelligentes</w:t>
      </w:r>
      <w:r w:rsidR="001475BE">
        <w:rPr>
          <w:lang w:val="fr-CH" w:eastAsia="zh-CN"/>
        </w:rPr>
        <w:t xml:space="preserve"> (SC&amp;C)</w:t>
      </w:r>
      <w:r w:rsidRPr="00281FDC">
        <w:rPr>
          <w:lang w:val="fr-CH" w:eastAsia="zh-CN"/>
        </w:rPr>
        <w:t>. Ces exigences sont la confidentialité et l'authentification des données, le contrôle d'accès au sein des réseaux IoT, la disponibilité, l'intégrité des données,</w:t>
      </w:r>
      <w:r w:rsidR="00180460" w:rsidRPr="00281FDC">
        <w:rPr>
          <w:lang w:val="fr-CH" w:eastAsia="zh-CN"/>
        </w:rPr>
        <w:t xml:space="preserve"> la protection de la vie privée et la confiance entre les utilisateurs </w:t>
      </w:r>
      <w:r w:rsidR="001475BE">
        <w:rPr>
          <w:lang w:val="fr-CH" w:eastAsia="zh-CN"/>
        </w:rPr>
        <w:t>et les objets, ainsi que la non-</w:t>
      </w:r>
      <w:r w:rsidR="00180460" w:rsidRPr="00281FDC">
        <w:rPr>
          <w:lang w:val="fr-CH" w:eastAsia="zh-CN"/>
        </w:rPr>
        <w:t xml:space="preserve">répudiation. Les contre-mesures classiques de sécurité ne peuvent être appliquées directement aux technologies </w:t>
      </w:r>
      <w:r w:rsidR="001475BE">
        <w:rPr>
          <w:lang w:val="fr-CH" w:eastAsia="zh-CN"/>
        </w:rPr>
        <w:t>IOT</w:t>
      </w:r>
      <w:r w:rsidR="00180460" w:rsidRPr="00281FDC">
        <w:rPr>
          <w:lang w:val="fr-CH" w:eastAsia="zh-CN"/>
        </w:rPr>
        <w:t xml:space="preserve">, à cause des différentes normes et </w:t>
      </w:r>
      <w:r w:rsidR="001475BE">
        <w:rPr>
          <w:lang w:val="fr-CH" w:eastAsia="zh-CN"/>
        </w:rPr>
        <w:t xml:space="preserve">des </w:t>
      </w:r>
      <w:r w:rsidR="00180460" w:rsidRPr="00281FDC">
        <w:rPr>
          <w:lang w:val="fr-CH" w:eastAsia="zh-CN"/>
        </w:rPr>
        <w:t xml:space="preserve">piles </w:t>
      </w:r>
      <w:r w:rsidR="0053384E">
        <w:rPr>
          <w:lang w:val="fr-CH" w:eastAsia="zh-CN"/>
        </w:rPr>
        <w:t xml:space="preserve">relatives aux </w:t>
      </w:r>
      <w:r w:rsidR="00180460" w:rsidRPr="00281FDC">
        <w:rPr>
          <w:lang w:val="fr-CH" w:eastAsia="zh-CN"/>
        </w:rPr>
        <w:t xml:space="preserve">communications utilisées, en plus des </w:t>
      </w:r>
      <w:r w:rsidR="001475BE">
        <w:rPr>
          <w:lang w:val="fr-CH" w:eastAsia="zh-CN"/>
        </w:rPr>
        <w:t xml:space="preserve">différentes compétences </w:t>
      </w:r>
      <w:r w:rsidR="0053384E">
        <w:rPr>
          <w:lang w:val="fr-CH" w:eastAsia="zh-CN"/>
        </w:rPr>
        <w:t>spécialisées propres aux</w:t>
      </w:r>
      <w:r w:rsidR="001475BE">
        <w:rPr>
          <w:lang w:val="fr-CH" w:eastAsia="zh-CN"/>
        </w:rPr>
        <w:t xml:space="preserve"> domaine</w:t>
      </w:r>
      <w:r w:rsidR="0053384E">
        <w:rPr>
          <w:lang w:val="fr-CH" w:eastAsia="zh-CN"/>
        </w:rPr>
        <w:t>s</w:t>
      </w:r>
      <w:r w:rsidR="001475BE">
        <w:rPr>
          <w:lang w:val="fr-CH" w:eastAsia="zh-CN"/>
        </w:rPr>
        <w:t xml:space="preserve"> de</w:t>
      </w:r>
      <w:r w:rsidR="0053384E">
        <w:rPr>
          <w:lang w:val="fr-CH" w:eastAsia="zh-CN"/>
        </w:rPr>
        <w:t xml:space="preserve"> connaissance</w:t>
      </w:r>
      <w:r w:rsidR="00180460" w:rsidRPr="00281FDC">
        <w:rPr>
          <w:lang w:val="fr-CH" w:eastAsia="zh-CN"/>
        </w:rPr>
        <w:t xml:space="preserve"> requise. En outre, le nombre élevé de dispositifs interconnectés pose des problèmes </w:t>
      </w:r>
      <w:r w:rsidR="001475BE">
        <w:rPr>
          <w:lang w:val="fr-CH" w:eastAsia="zh-CN"/>
        </w:rPr>
        <w:t>de modularité</w:t>
      </w:r>
      <w:r w:rsidR="00180460" w:rsidRPr="00281FDC">
        <w:rPr>
          <w:lang w:val="fr-CH" w:eastAsia="zh-CN"/>
        </w:rPr>
        <w:t xml:space="preserve">; par conséquent, il est nécessaire de disposer d'une infrastructure souple, capable de faire face aux menaces de sécurité dans cet environnement dynamique. L'infrastructure </w:t>
      </w:r>
      <w:r w:rsidR="001475BE">
        <w:rPr>
          <w:lang w:val="fr-CH" w:eastAsia="zh-CN"/>
        </w:rPr>
        <w:t xml:space="preserve">des </w:t>
      </w:r>
      <w:r w:rsidR="00180460" w:rsidRPr="00281FDC">
        <w:rPr>
          <w:lang w:val="fr-CH" w:eastAsia="zh-CN"/>
        </w:rPr>
        <w:t>TI</w:t>
      </w:r>
      <w:r w:rsidR="001475BE">
        <w:rPr>
          <w:lang w:val="fr-CH" w:eastAsia="zh-CN"/>
        </w:rPr>
        <w:t>C de demain devrait être fiable et sûr et</w:t>
      </w:r>
      <w:r w:rsidR="00180460" w:rsidRPr="00281FDC">
        <w:rPr>
          <w:lang w:val="fr-CH" w:eastAsia="zh-CN"/>
        </w:rPr>
        <w:t xml:space="preserve"> garant</w:t>
      </w:r>
      <w:r w:rsidR="001475BE">
        <w:rPr>
          <w:lang w:val="fr-CH" w:eastAsia="zh-CN"/>
        </w:rPr>
        <w:t>ir</w:t>
      </w:r>
      <w:r w:rsidR="00180460" w:rsidRPr="00281FDC">
        <w:rPr>
          <w:lang w:val="fr-CH" w:eastAsia="zh-CN"/>
        </w:rPr>
        <w:t xml:space="preserve"> la confidentialité et </w:t>
      </w:r>
      <w:r w:rsidR="001475BE">
        <w:rPr>
          <w:lang w:val="fr-CH" w:eastAsia="zh-CN"/>
        </w:rPr>
        <w:t>la</w:t>
      </w:r>
      <w:r w:rsidR="00180460" w:rsidRPr="00281FDC">
        <w:rPr>
          <w:lang w:val="fr-CH" w:eastAsia="zh-CN"/>
        </w:rPr>
        <w:t xml:space="preserve"> confiance. Par conséquent, </w:t>
      </w:r>
      <w:r w:rsidR="001475BE">
        <w:rPr>
          <w:lang w:val="fr-CH" w:eastAsia="zh-CN"/>
        </w:rPr>
        <w:t>l'instauration</w:t>
      </w:r>
      <w:r w:rsidR="00180460" w:rsidRPr="00281FDC">
        <w:rPr>
          <w:lang w:val="fr-CH" w:eastAsia="zh-CN"/>
        </w:rPr>
        <w:t xml:space="preserve"> de la sécurité et de la confiance </w:t>
      </w:r>
      <w:r w:rsidR="00DE38D8">
        <w:rPr>
          <w:lang w:val="fr-CH" w:eastAsia="zh-CN"/>
        </w:rPr>
        <w:t>dans</w:t>
      </w:r>
      <w:r w:rsidR="00180460" w:rsidRPr="00281FDC">
        <w:rPr>
          <w:lang w:val="fr-CH" w:eastAsia="zh-CN"/>
        </w:rPr>
        <w:t xml:space="preserve"> l'Internet des objets est l'une des principales questions de normalisation </w:t>
      </w:r>
      <w:r w:rsidR="001475BE">
        <w:rPr>
          <w:lang w:val="fr-CH" w:eastAsia="zh-CN"/>
        </w:rPr>
        <w:t>que</w:t>
      </w:r>
      <w:r w:rsidR="00180460" w:rsidRPr="00281FDC">
        <w:rPr>
          <w:lang w:val="fr-CH" w:eastAsia="zh-CN"/>
        </w:rPr>
        <w:t xml:space="preserve"> la CE 20 de l'UIT-T</w:t>
      </w:r>
      <w:r w:rsidR="001475BE">
        <w:rPr>
          <w:lang w:val="fr-CH" w:eastAsia="zh-CN"/>
        </w:rPr>
        <w:t xml:space="preserve"> devra traiter</w:t>
      </w:r>
      <w:r w:rsidR="00180460" w:rsidRPr="00281FDC">
        <w:rPr>
          <w:lang w:val="fr-CH" w:eastAsia="zh-CN"/>
        </w:rPr>
        <w:t>.</w:t>
      </w:r>
    </w:p>
    <w:p w:rsidR="00A61049" w:rsidRPr="00281FDC" w:rsidRDefault="00180460" w:rsidP="00A163F8">
      <w:pPr>
        <w:rPr>
          <w:lang w:val="fr-CH" w:eastAsia="zh-CN"/>
        </w:rPr>
      </w:pPr>
      <w:r w:rsidRPr="00281FDC">
        <w:rPr>
          <w:lang w:val="fr-CH" w:eastAsia="zh-CN"/>
        </w:rPr>
        <w:lastRenderedPageBreak/>
        <w:t xml:space="preserve">Par ailleurs, les technologies d'identification ont toujours été considérées comme véritablement indispensables à la mise en </w:t>
      </w:r>
      <w:r w:rsidR="00A163F8">
        <w:rPr>
          <w:lang w:val="fr-CH" w:eastAsia="zh-CN"/>
        </w:rPr>
        <w:t>oe</w:t>
      </w:r>
      <w:r w:rsidRPr="00281FDC">
        <w:rPr>
          <w:lang w:val="fr-CH" w:eastAsia="zh-CN"/>
        </w:rPr>
        <w:t>uvre de l'Internet des objets.</w:t>
      </w:r>
      <w:r w:rsidR="00247B01" w:rsidRPr="00281FDC">
        <w:rPr>
          <w:lang w:val="fr-CH" w:eastAsia="zh-CN"/>
        </w:rPr>
        <w:t xml:space="preserve"> On pourrait attribuer aux dispositifs physiques (</w:t>
      </w:r>
      <w:r w:rsidR="00A163F8">
        <w:rPr>
          <w:lang w:val="fr-CH" w:eastAsia="zh-CN"/>
        </w:rPr>
        <w:t>par exemple,</w:t>
      </w:r>
      <w:r w:rsidR="00247B01" w:rsidRPr="00281FDC">
        <w:rPr>
          <w:lang w:val="fr-CH" w:eastAsia="zh-CN"/>
        </w:rPr>
        <w:t xml:space="preserve"> articles et produits avec étiquette, capteurs) et aux entités virtuelles (</w:t>
      </w:r>
      <w:r w:rsidR="00A163F8">
        <w:rPr>
          <w:lang w:val="fr-CH" w:eastAsia="zh-CN"/>
        </w:rPr>
        <w:t>par exemple,</w:t>
      </w:r>
      <w:r w:rsidR="00247B01" w:rsidRPr="00281FDC">
        <w:rPr>
          <w:lang w:val="fr-CH" w:eastAsia="zh-CN"/>
        </w:rPr>
        <w:t xml:space="preserve"> processus informatiques, logiciel</w:t>
      </w:r>
      <w:r w:rsidR="00A163F8">
        <w:rPr>
          <w:lang w:val="fr-CH" w:eastAsia="zh-CN"/>
        </w:rPr>
        <w:t>s</w:t>
      </w:r>
      <w:r w:rsidR="00247B01" w:rsidRPr="00281FDC">
        <w:rPr>
          <w:lang w:val="fr-CH" w:eastAsia="zh-CN"/>
        </w:rPr>
        <w:t xml:space="preserve">) un identificateur qui permettrait </w:t>
      </w:r>
      <w:r w:rsidR="00A163F8">
        <w:rPr>
          <w:lang w:val="fr-CH" w:eastAsia="zh-CN"/>
        </w:rPr>
        <w:t>leur</w:t>
      </w:r>
      <w:r w:rsidR="00247B01" w:rsidRPr="00281FDC">
        <w:rPr>
          <w:lang w:val="fr-CH" w:eastAsia="zh-CN"/>
        </w:rPr>
        <w:t xml:space="preserve"> identifi</w:t>
      </w:r>
      <w:r w:rsidR="00A163F8">
        <w:rPr>
          <w:lang w:val="fr-CH" w:eastAsia="zh-CN"/>
        </w:rPr>
        <w:t>cation</w:t>
      </w:r>
      <w:r w:rsidR="00247B01" w:rsidRPr="00281FDC">
        <w:rPr>
          <w:lang w:val="fr-CH" w:eastAsia="zh-CN"/>
        </w:rPr>
        <w:t xml:space="preserve"> et </w:t>
      </w:r>
      <w:r w:rsidR="00A163F8">
        <w:rPr>
          <w:lang w:val="fr-CH" w:eastAsia="zh-CN"/>
        </w:rPr>
        <w:t>leur distinction. E</w:t>
      </w:r>
      <w:r w:rsidR="00247B01" w:rsidRPr="00281FDC">
        <w:rPr>
          <w:lang w:val="fr-CH" w:eastAsia="zh-CN"/>
        </w:rPr>
        <w:t xml:space="preserve">tant donné qu'un objet est </w:t>
      </w:r>
      <w:r w:rsidR="00A163F8">
        <w:rPr>
          <w:lang w:val="fr-CH" w:eastAsia="zh-CN"/>
        </w:rPr>
        <w:t xml:space="preserve">lui-même </w:t>
      </w:r>
      <w:r w:rsidR="00247B01" w:rsidRPr="00281FDC">
        <w:rPr>
          <w:lang w:val="fr-CH" w:eastAsia="zh-CN"/>
        </w:rPr>
        <w:t>composé d'autres objets,</w:t>
      </w:r>
      <w:r w:rsidR="0053000E" w:rsidRPr="00281FDC">
        <w:rPr>
          <w:lang w:val="fr-CH" w:eastAsia="zh-CN"/>
        </w:rPr>
        <w:t xml:space="preserve"> </w:t>
      </w:r>
      <w:r w:rsidR="00A163F8">
        <w:rPr>
          <w:lang w:val="fr-CH" w:eastAsia="zh-CN"/>
        </w:rPr>
        <w:t>chaque objet d</w:t>
      </w:r>
      <w:r w:rsidR="0053000E" w:rsidRPr="00281FDC">
        <w:rPr>
          <w:lang w:val="fr-CH" w:eastAsia="zh-CN"/>
        </w:rPr>
        <w:t xml:space="preserve">oit </w:t>
      </w:r>
      <w:r w:rsidR="00A163F8">
        <w:rPr>
          <w:lang w:val="fr-CH" w:eastAsia="zh-CN"/>
        </w:rPr>
        <w:t xml:space="preserve">impérativement être </w:t>
      </w:r>
      <w:r w:rsidR="0053000E" w:rsidRPr="00281FDC">
        <w:rPr>
          <w:lang w:val="fr-CH" w:eastAsia="zh-CN"/>
        </w:rPr>
        <w:t xml:space="preserve">adressable et identifiable </w:t>
      </w:r>
      <w:r w:rsidR="00A163F8">
        <w:rPr>
          <w:lang w:val="fr-CH" w:eastAsia="zh-CN"/>
        </w:rPr>
        <w:t>si l'on veut</w:t>
      </w:r>
      <w:r w:rsidR="0053000E" w:rsidRPr="00281FDC">
        <w:rPr>
          <w:lang w:val="fr-CH" w:eastAsia="zh-CN"/>
        </w:rPr>
        <w:t xml:space="preserve"> résoudre les problèmes de confidentialité, de sécurité, de confiance et</w:t>
      </w:r>
      <w:r w:rsidR="00F8044A" w:rsidRPr="00281FDC">
        <w:rPr>
          <w:lang w:val="fr-CH" w:eastAsia="zh-CN"/>
        </w:rPr>
        <w:t xml:space="preserve"> d'accessibilité du réseau dans le cadre du déploiement de l'Internet des objets.</w:t>
      </w:r>
    </w:p>
    <w:p w:rsidR="003C5C09" w:rsidRPr="00281FDC" w:rsidRDefault="003C5C09" w:rsidP="00281FDC">
      <w:pPr>
        <w:pStyle w:val="Heading1"/>
        <w:rPr>
          <w:bCs/>
          <w:lang w:val="fr-CH"/>
        </w:rPr>
      </w:pPr>
      <w:r w:rsidRPr="00281FDC">
        <w:rPr>
          <w:lang w:val="fr-CH" w:eastAsia="ja-JP"/>
        </w:rPr>
        <w:t>2</w:t>
      </w:r>
      <w:r w:rsidRPr="00281FDC">
        <w:rPr>
          <w:lang w:val="fr-CH" w:eastAsia="ja-JP"/>
        </w:rPr>
        <w:tab/>
        <w:t>Question</w:t>
      </w:r>
    </w:p>
    <w:p w:rsidR="00F8044A" w:rsidRPr="00281FDC" w:rsidRDefault="00F8044A" w:rsidP="00603909">
      <w:pPr>
        <w:rPr>
          <w:lang w:val="fr-CH" w:eastAsia="ja-JP"/>
        </w:rPr>
      </w:pPr>
      <w:r w:rsidRPr="00281FDC">
        <w:rPr>
          <w:lang w:val="fr-CH" w:eastAsia="ja-JP"/>
        </w:rPr>
        <w:t xml:space="preserve">Cette Question concerne la sécurité, la confidentialité, </w:t>
      </w:r>
      <w:r w:rsidR="00603909">
        <w:rPr>
          <w:lang w:val="fr-CH" w:eastAsia="ja-JP"/>
        </w:rPr>
        <w:t>l'instauration</w:t>
      </w:r>
      <w:r w:rsidRPr="00281FDC">
        <w:rPr>
          <w:lang w:val="fr-CH" w:eastAsia="ja-JP"/>
        </w:rPr>
        <w:t xml:space="preserve"> de la confiance, le nommage, l'adressage et l'identification des systèmes, </w:t>
      </w:r>
      <w:r w:rsidR="00603909">
        <w:rPr>
          <w:lang w:val="fr-CH" w:eastAsia="ja-JP"/>
        </w:rPr>
        <w:t xml:space="preserve">des </w:t>
      </w:r>
      <w:r w:rsidRPr="00281FDC">
        <w:rPr>
          <w:lang w:val="fr-CH" w:eastAsia="ja-JP"/>
        </w:rPr>
        <w:t xml:space="preserve">services, </w:t>
      </w:r>
      <w:r w:rsidR="00603909">
        <w:rPr>
          <w:lang w:val="fr-CH" w:eastAsia="ja-JP"/>
        </w:rPr>
        <w:t xml:space="preserve">des </w:t>
      </w:r>
      <w:r w:rsidRPr="00281FDC">
        <w:rPr>
          <w:lang w:val="fr-CH" w:eastAsia="ja-JP"/>
        </w:rPr>
        <w:t xml:space="preserve">applications et </w:t>
      </w:r>
      <w:r w:rsidR="00603909">
        <w:rPr>
          <w:lang w:val="fr-CH" w:eastAsia="ja-JP"/>
        </w:rPr>
        <w:t xml:space="preserve">des </w:t>
      </w:r>
      <w:r w:rsidRPr="00281FDC">
        <w:rPr>
          <w:lang w:val="fr-CH" w:eastAsia="ja-JP"/>
        </w:rPr>
        <w:t xml:space="preserve">protocoles </w:t>
      </w:r>
      <w:r w:rsidR="00603909">
        <w:rPr>
          <w:lang w:val="fr-CH" w:eastAsia="ja-JP"/>
        </w:rPr>
        <w:t>IoT</w:t>
      </w:r>
      <w:r w:rsidRPr="00281FDC">
        <w:rPr>
          <w:lang w:val="fr-CH" w:eastAsia="ja-JP"/>
        </w:rPr>
        <w:t>.</w:t>
      </w:r>
    </w:p>
    <w:p w:rsidR="00F8044A" w:rsidRPr="00281FDC" w:rsidRDefault="00F37A13" w:rsidP="00281FDC">
      <w:pPr>
        <w:rPr>
          <w:lang w:val="fr-CH" w:eastAsia="ja-JP"/>
        </w:rPr>
      </w:pPr>
      <w:r w:rsidRPr="00F579BB">
        <w:rPr>
          <w:lang w:val="fr-CH"/>
        </w:rPr>
        <w:t>Les sujets à étudier sont notamment les suivants (la liste n</w:t>
      </w:r>
      <w:r>
        <w:rPr>
          <w:lang w:val="fr-CH"/>
        </w:rPr>
        <w:t>'</w:t>
      </w:r>
      <w:r w:rsidRPr="00F579BB">
        <w:rPr>
          <w:lang w:val="fr-CH"/>
        </w:rPr>
        <w:t>est pas exhaustive):</w:t>
      </w:r>
    </w:p>
    <w:p w:rsidR="00F37A13" w:rsidRPr="00281FDC" w:rsidRDefault="003C5C09" w:rsidP="00603909">
      <w:pPr>
        <w:pStyle w:val="enumlev1"/>
        <w:rPr>
          <w:lang w:val="fr-CH"/>
        </w:rPr>
      </w:pPr>
      <w:r w:rsidRPr="00281FDC">
        <w:rPr>
          <w:lang w:val="fr-CH"/>
        </w:rPr>
        <w:t>–</w:t>
      </w:r>
      <w:r w:rsidRPr="00281FDC">
        <w:rPr>
          <w:lang w:val="fr-CH"/>
        </w:rPr>
        <w:tab/>
      </w:r>
      <w:r w:rsidR="00F37A13" w:rsidRPr="00281FDC">
        <w:rPr>
          <w:lang w:val="fr-CH"/>
        </w:rPr>
        <w:t>Quelles sont les possibles menaces pouvant mettre à mal l'authenticité, la confi</w:t>
      </w:r>
      <w:r w:rsidR="00A163F8">
        <w:rPr>
          <w:lang w:val="fr-CH"/>
        </w:rPr>
        <w:t>dentialité, l'intégrité, la non-</w:t>
      </w:r>
      <w:r w:rsidR="00F37A13" w:rsidRPr="00281FDC">
        <w:rPr>
          <w:lang w:val="fr-CH"/>
        </w:rPr>
        <w:t xml:space="preserve">répudiation et la disponibilité des dispositifs, </w:t>
      </w:r>
      <w:r w:rsidR="00603909">
        <w:rPr>
          <w:lang w:val="fr-CH" w:eastAsia="ja-JP"/>
        </w:rPr>
        <w:t xml:space="preserve">des </w:t>
      </w:r>
      <w:r w:rsidR="00F37A13" w:rsidRPr="00281FDC">
        <w:rPr>
          <w:lang w:val="fr-CH"/>
        </w:rPr>
        <w:t xml:space="preserve">systèmes, </w:t>
      </w:r>
      <w:r w:rsidR="00603909">
        <w:rPr>
          <w:lang w:val="fr-CH" w:eastAsia="ja-JP"/>
        </w:rPr>
        <w:t xml:space="preserve">des </w:t>
      </w:r>
      <w:r w:rsidR="00F37A13" w:rsidRPr="00281FDC">
        <w:rPr>
          <w:lang w:val="fr-CH"/>
        </w:rPr>
        <w:t xml:space="preserve">applications, </w:t>
      </w:r>
      <w:r w:rsidR="00603909">
        <w:rPr>
          <w:lang w:val="fr-CH" w:eastAsia="ja-JP"/>
        </w:rPr>
        <w:t xml:space="preserve">des </w:t>
      </w:r>
      <w:r w:rsidR="00F37A13" w:rsidRPr="00281FDC">
        <w:rPr>
          <w:lang w:val="fr-CH"/>
        </w:rPr>
        <w:t xml:space="preserve">protocoles, </w:t>
      </w:r>
      <w:r w:rsidR="00603909">
        <w:rPr>
          <w:lang w:val="fr-CH" w:eastAsia="ja-JP"/>
        </w:rPr>
        <w:t xml:space="preserve">des </w:t>
      </w:r>
      <w:r w:rsidR="00F37A13" w:rsidRPr="00281FDC">
        <w:rPr>
          <w:lang w:val="fr-CH"/>
        </w:rPr>
        <w:t xml:space="preserve">plates-formes et </w:t>
      </w:r>
      <w:r w:rsidR="00603909">
        <w:rPr>
          <w:lang w:val="fr-CH" w:eastAsia="ja-JP"/>
        </w:rPr>
        <w:t xml:space="preserve">des </w:t>
      </w:r>
      <w:r w:rsidR="00603909">
        <w:rPr>
          <w:lang w:val="fr-CH"/>
        </w:rPr>
        <w:t>services IoT</w:t>
      </w:r>
      <w:r w:rsidR="00F37A13" w:rsidRPr="00281FDC">
        <w:rPr>
          <w:lang w:val="fr-CH"/>
        </w:rPr>
        <w:t xml:space="preserve">, quels que soient la difficulté et le coût de la mise en </w:t>
      </w:r>
      <w:r w:rsidR="00A163F8">
        <w:rPr>
          <w:lang w:val="fr-CH"/>
        </w:rPr>
        <w:t>oe</w:t>
      </w:r>
      <w:r w:rsidR="00F37A13" w:rsidRPr="00281FDC">
        <w:rPr>
          <w:lang w:val="fr-CH"/>
        </w:rPr>
        <w:t>uvre d'une attaque concrétisant une menace particulière</w:t>
      </w:r>
      <w:r w:rsidR="00671EB9">
        <w:rPr>
          <w:lang w:val="fr-CH"/>
        </w:rPr>
        <w:t>?</w:t>
      </w:r>
    </w:p>
    <w:p w:rsidR="00C94B62" w:rsidRPr="00281FDC" w:rsidRDefault="003C5C09" w:rsidP="002B272E">
      <w:pPr>
        <w:pStyle w:val="enumlev1"/>
        <w:rPr>
          <w:lang w:val="fr-CH"/>
        </w:rPr>
      </w:pPr>
      <w:r w:rsidRPr="00281FDC">
        <w:rPr>
          <w:lang w:val="fr-CH"/>
        </w:rPr>
        <w:t>–</w:t>
      </w:r>
      <w:r w:rsidRPr="00281FDC">
        <w:rPr>
          <w:lang w:val="fr-CH"/>
        </w:rPr>
        <w:tab/>
      </w:r>
      <w:r w:rsidR="00C94B62" w:rsidRPr="00281FDC">
        <w:rPr>
          <w:lang w:val="fr-CH"/>
        </w:rPr>
        <w:t>Quelles sont les probabilités estim</w:t>
      </w:r>
      <w:r w:rsidR="002B272E">
        <w:rPr>
          <w:lang w:val="fr-CH"/>
        </w:rPr>
        <w:t>ées</w:t>
      </w:r>
      <w:r w:rsidR="00C94B62" w:rsidRPr="00281FDC">
        <w:rPr>
          <w:lang w:val="fr-CH"/>
        </w:rPr>
        <w:t xml:space="preserve"> </w:t>
      </w:r>
      <w:r w:rsidR="002B272E">
        <w:rPr>
          <w:lang w:val="fr-CH"/>
        </w:rPr>
        <w:t>associées aux diverses</w:t>
      </w:r>
      <w:r w:rsidR="00C94B62" w:rsidRPr="00281FDC">
        <w:rPr>
          <w:lang w:val="fr-CH"/>
        </w:rPr>
        <w:t xml:space="preserve"> attaques </w:t>
      </w:r>
      <w:r w:rsidR="002B272E">
        <w:rPr>
          <w:lang w:val="fr-CH"/>
        </w:rPr>
        <w:t>contre</w:t>
      </w:r>
      <w:r w:rsidR="00C94B62" w:rsidRPr="00281FDC">
        <w:rPr>
          <w:lang w:val="fr-CH"/>
        </w:rPr>
        <w:t xml:space="preserve"> un système </w:t>
      </w:r>
      <w:r w:rsidR="002B272E">
        <w:rPr>
          <w:lang w:val="fr-CH"/>
        </w:rPr>
        <w:t>IoT</w:t>
      </w:r>
      <w:r w:rsidR="00C94B62" w:rsidRPr="00281FDC">
        <w:rPr>
          <w:lang w:val="fr-CH"/>
        </w:rPr>
        <w:t xml:space="preserve"> ou </w:t>
      </w:r>
      <w:r w:rsidR="002B272E">
        <w:rPr>
          <w:lang w:val="fr-CH"/>
        </w:rPr>
        <w:t>SC&amp;C et quel est le gain potentiel pour l'attaquant</w:t>
      </w:r>
      <w:r w:rsidR="00C94B62" w:rsidRPr="00281FDC">
        <w:rPr>
          <w:lang w:val="fr-CH"/>
        </w:rPr>
        <w:t xml:space="preserve">? Quels sont les dégâts estimés </w:t>
      </w:r>
      <w:r w:rsidR="002B272E">
        <w:rPr>
          <w:lang w:val="fr-CH"/>
        </w:rPr>
        <w:t>pour le système visé</w:t>
      </w:r>
      <w:r w:rsidR="00C94B62" w:rsidRPr="00281FDC">
        <w:rPr>
          <w:lang w:val="fr-CH"/>
        </w:rPr>
        <w:t>?</w:t>
      </w:r>
    </w:p>
    <w:p w:rsidR="00C94B62" w:rsidRPr="00281FDC" w:rsidRDefault="003C5C09" w:rsidP="009261ED">
      <w:pPr>
        <w:pStyle w:val="enumlev1"/>
        <w:rPr>
          <w:lang w:val="fr-CH"/>
        </w:rPr>
      </w:pPr>
      <w:r w:rsidRPr="00281FDC">
        <w:rPr>
          <w:lang w:val="fr-CH"/>
        </w:rPr>
        <w:t>–</w:t>
      </w:r>
      <w:r w:rsidRPr="00281FDC">
        <w:rPr>
          <w:lang w:val="fr-CH"/>
        </w:rPr>
        <w:tab/>
      </w:r>
      <w:r w:rsidR="00C94B62" w:rsidRPr="00281FDC">
        <w:rPr>
          <w:lang w:val="fr-CH"/>
        </w:rPr>
        <w:t xml:space="preserve">Quelles sont les exigences à respecter pour atténuer et contrer les risques et </w:t>
      </w:r>
      <w:r w:rsidR="006929D8">
        <w:rPr>
          <w:lang w:val="fr-CH"/>
        </w:rPr>
        <w:t>les menaces identifié</w:t>
      </w:r>
      <w:r w:rsidR="00C94B62" w:rsidRPr="00281FDC">
        <w:rPr>
          <w:lang w:val="fr-CH"/>
        </w:rPr>
        <w:t xml:space="preserve">s </w:t>
      </w:r>
      <w:r w:rsidR="006929D8">
        <w:rPr>
          <w:lang w:val="fr-CH"/>
        </w:rPr>
        <w:t>pour</w:t>
      </w:r>
      <w:r w:rsidR="00C94B62" w:rsidRPr="00281FDC">
        <w:rPr>
          <w:lang w:val="fr-CH"/>
        </w:rPr>
        <w:t xml:space="preserve"> les dispositifs, </w:t>
      </w:r>
      <w:r w:rsidR="006929D8">
        <w:rPr>
          <w:lang w:val="fr-CH"/>
        </w:rPr>
        <w:t xml:space="preserve">les </w:t>
      </w:r>
      <w:r w:rsidR="00C94B62" w:rsidRPr="00281FDC">
        <w:rPr>
          <w:lang w:val="fr-CH"/>
        </w:rPr>
        <w:t xml:space="preserve">systèmes, </w:t>
      </w:r>
      <w:r w:rsidR="006929D8">
        <w:rPr>
          <w:lang w:val="fr-CH"/>
        </w:rPr>
        <w:t xml:space="preserve">les </w:t>
      </w:r>
      <w:r w:rsidR="00C94B62" w:rsidRPr="00281FDC">
        <w:rPr>
          <w:lang w:val="fr-CH"/>
        </w:rPr>
        <w:t xml:space="preserve">applications, </w:t>
      </w:r>
      <w:r w:rsidR="006929D8">
        <w:rPr>
          <w:lang w:val="fr-CH"/>
        </w:rPr>
        <w:t xml:space="preserve">les </w:t>
      </w:r>
      <w:r w:rsidR="00C94B62" w:rsidRPr="00281FDC">
        <w:rPr>
          <w:lang w:val="fr-CH"/>
        </w:rPr>
        <w:t xml:space="preserve">protocoles, </w:t>
      </w:r>
      <w:r w:rsidR="006929D8">
        <w:rPr>
          <w:lang w:val="fr-CH"/>
        </w:rPr>
        <w:t xml:space="preserve">les </w:t>
      </w:r>
      <w:r w:rsidR="00C94B62" w:rsidRPr="00281FDC">
        <w:rPr>
          <w:lang w:val="fr-CH"/>
        </w:rPr>
        <w:t>plates</w:t>
      </w:r>
      <w:r w:rsidR="009261ED">
        <w:rPr>
          <w:lang w:val="fr-CH"/>
        </w:rPr>
        <w:noBreakHyphen/>
      </w:r>
      <w:r w:rsidR="00C94B62" w:rsidRPr="00281FDC">
        <w:rPr>
          <w:lang w:val="fr-CH"/>
        </w:rPr>
        <w:t xml:space="preserve">formes et </w:t>
      </w:r>
      <w:r w:rsidR="006929D8">
        <w:rPr>
          <w:lang w:val="fr-CH"/>
        </w:rPr>
        <w:t xml:space="preserve">les </w:t>
      </w:r>
      <w:r w:rsidR="00C94B62" w:rsidRPr="00281FDC">
        <w:rPr>
          <w:lang w:val="fr-CH"/>
        </w:rPr>
        <w:t xml:space="preserve">services </w:t>
      </w:r>
      <w:r w:rsidR="006929D8">
        <w:rPr>
          <w:lang w:val="fr-CH"/>
        </w:rPr>
        <w:t>IoT</w:t>
      </w:r>
      <w:r w:rsidR="00C94B62" w:rsidRPr="00281FDC">
        <w:rPr>
          <w:lang w:val="fr-CH"/>
        </w:rPr>
        <w:t xml:space="preserve"> et </w:t>
      </w:r>
      <w:r w:rsidR="006929D8">
        <w:rPr>
          <w:lang w:val="fr-CH"/>
        </w:rPr>
        <w:t>SC&amp;C</w:t>
      </w:r>
      <w:r w:rsidR="00C94B62" w:rsidRPr="00281FDC">
        <w:rPr>
          <w:lang w:val="fr-CH"/>
        </w:rPr>
        <w:t>?</w:t>
      </w:r>
    </w:p>
    <w:p w:rsidR="00C94B62" w:rsidRPr="00281FDC" w:rsidRDefault="003C5C09" w:rsidP="006929D8">
      <w:pPr>
        <w:pStyle w:val="enumlev1"/>
        <w:rPr>
          <w:lang w:val="fr-CH"/>
        </w:rPr>
      </w:pPr>
      <w:r w:rsidRPr="00281FDC">
        <w:rPr>
          <w:lang w:val="fr-CH"/>
        </w:rPr>
        <w:t>–</w:t>
      </w:r>
      <w:r w:rsidRPr="00281FDC">
        <w:rPr>
          <w:lang w:val="fr-CH"/>
        </w:rPr>
        <w:tab/>
      </w:r>
      <w:r w:rsidR="00C94B62" w:rsidRPr="00281FDC">
        <w:rPr>
          <w:lang w:val="fr-CH"/>
        </w:rPr>
        <w:t>Quel</w:t>
      </w:r>
      <w:r w:rsidR="006929D8">
        <w:rPr>
          <w:lang w:val="fr-CH"/>
        </w:rPr>
        <w:t>s</w:t>
      </w:r>
      <w:r w:rsidR="00C94B62" w:rsidRPr="00281FDC">
        <w:rPr>
          <w:lang w:val="fr-CH"/>
        </w:rPr>
        <w:t xml:space="preserve"> sont les systèmes d'identification requi</w:t>
      </w:r>
      <w:r w:rsidR="006929D8">
        <w:rPr>
          <w:lang w:val="fr-CH"/>
        </w:rPr>
        <w:t>s</w:t>
      </w:r>
      <w:r w:rsidR="00C94B62" w:rsidRPr="00281FDC">
        <w:rPr>
          <w:lang w:val="fr-CH"/>
        </w:rPr>
        <w:t xml:space="preserve"> pour </w:t>
      </w:r>
      <w:r w:rsidR="006929D8">
        <w:rPr>
          <w:lang w:val="fr-CH"/>
        </w:rPr>
        <w:t>satisfaire aux exigences</w:t>
      </w:r>
      <w:r w:rsidR="00C94B62" w:rsidRPr="00281FDC">
        <w:rPr>
          <w:lang w:val="fr-CH"/>
        </w:rPr>
        <w:t xml:space="preserve"> de l'Internet des objets</w:t>
      </w:r>
      <w:r w:rsidR="006929D8">
        <w:rPr>
          <w:lang w:val="fr-CH"/>
        </w:rPr>
        <w:t>,</w:t>
      </w:r>
      <w:r w:rsidR="00C94B62" w:rsidRPr="00281FDC">
        <w:rPr>
          <w:lang w:val="fr-CH"/>
        </w:rPr>
        <w:t xml:space="preserve"> y compris en ce qui concerne la sécurité, la confidentialité et la confiance</w:t>
      </w:r>
      <w:r w:rsidR="00671EB9">
        <w:rPr>
          <w:lang w:val="fr-CH"/>
        </w:rPr>
        <w:t>?</w:t>
      </w:r>
    </w:p>
    <w:p w:rsidR="003C5C09" w:rsidRDefault="00181B08" w:rsidP="00281FDC">
      <w:pPr>
        <w:pStyle w:val="enumlev1"/>
        <w:rPr>
          <w:lang w:val="fr-CH"/>
        </w:rPr>
      </w:pPr>
      <w:r w:rsidRPr="00181B08">
        <w:rPr>
          <w:lang w:val="fr-CH"/>
        </w:rPr>
        <w:t>–</w:t>
      </w:r>
      <w:r w:rsidRPr="00181B08">
        <w:rPr>
          <w:lang w:val="fr-CH"/>
        </w:rPr>
        <w:tab/>
      </w:r>
      <w:r w:rsidR="00B60EA7" w:rsidRPr="00B60EA7">
        <w:rPr>
          <w:lang w:val="fr-CH"/>
        </w:rPr>
        <w:t xml:space="preserve">Quelles sont les exigences et les mécanismes permettant de protéger les informations </w:t>
      </w:r>
      <w:r w:rsidR="00B60EA7">
        <w:rPr>
          <w:lang w:val="fr-CH"/>
        </w:rPr>
        <w:t>relatives aux objets</w:t>
      </w:r>
      <w:r w:rsidR="00B60EA7" w:rsidRPr="00B60EA7">
        <w:rPr>
          <w:lang w:val="fr-CH"/>
        </w:rPr>
        <w:t xml:space="preserve"> et d'éviter leur divulgation?</w:t>
      </w:r>
    </w:p>
    <w:p w:rsidR="00181B08" w:rsidRPr="00E703AF" w:rsidRDefault="00181B08" w:rsidP="00281FDC">
      <w:pPr>
        <w:pStyle w:val="enumlev1"/>
        <w:rPr>
          <w:lang w:val="fr-CH"/>
        </w:rPr>
      </w:pPr>
      <w:r w:rsidRPr="00181B08">
        <w:rPr>
          <w:lang w:val="fr-CH"/>
        </w:rPr>
        <w:t>–</w:t>
      </w:r>
      <w:r w:rsidRPr="00181B08">
        <w:rPr>
          <w:lang w:val="fr-CH"/>
        </w:rPr>
        <w:tab/>
      </w:r>
      <w:r w:rsidRPr="00E703AF">
        <w:rPr>
          <w:lang w:val="fr-CH"/>
        </w:rPr>
        <w:t>Comment intégrer la gestion sécurisée des justificatifs dans les systèmes</w:t>
      </w:r>
      <w:r w:rsidR="00B60EA7">
        <w:rPr>
          <w:lang w:val="fr-CH"/>
        </w:rPr>
        <w:t xml:space="preserve"> d'identification</w:t>
      </w:r>
      <w:r w:rsidR="00671EB9">
        <w:rPr>
          <w:lang w:val="fr-CH"/>
        </w:rPr>
        <w:t>?</w:t>
      </w:r>
    </w:p>
    <w:p w:rsidR="003C5C09" w:rsidRPr="00181B08" w:rsidRDefault="00181B08" w:rsidP="00281FDC">
      <w:pPr>
        <w:pStyle w:val="enumlev1"/>
        <w:rPr>
          <w:lang w:val="fr-CH"/>
        </w:rPr>
      </w:pPr>
      <w:r w:rsidRPr="00181B08">
        <w:rPr>
          <w:lang w:val="fr-CH"/>
        </w:rPr>
        <w:t>–</w:t>
      </w:r>
      <w:r w:rsidRPr="00181B08">
        <w:rPr>
          <w:lang w:val="fr-CH"/>
        </w:rPr>
        <w:tab/>
      </w:r>
      <w:r w:rsidRPr="00E703AF">
        <w:rPr>
          <w:lang w:val="fr-CH"/>
        </w:rPr>
        <w:t>Comment intégrer les technologies d'authentification dans les systèmes</w:t>
      </w:r>
      <w:r w:rsidR="00B60EA7">
        <w:rPr>
          <w:lang w:val="fr-CH"/>
        </w:rPr>
        <w:t xml:space="preserve"> d'identification</w:t>
      </w:r>
      <w:r w:rsidR="00671EB9">
        <w:rPr>
          <w:lang w:val="fr-CH"/>
        </w:rPr>
        <w:t>?</w:t>
      </w:r>
    </w:p>
    <w:p w:rsidR="00B60EA7" w:rsidRPr="00281FDC" w:rsidRDefault="003C5C09" w:rsidP="00116CBA">
      <w:pPr>
        <w:pStyle w:val="enumlev1"/>
        <w:rPr>
          <w:lang w:val="fr-CH"/>
        </w:rPr>
      </w:pPr>
      <w:r w:rsidRPr="00281FDC">
        <w:rPr>
          <w:lang w:val="fr-CH"/>
        </w:rPr>
        <w:t>–</w:t>
      </w:r>
      <w:r w:rsidRPr="00281FDC">
        <w:rPr>
          <w:lang w:val="fr-CH"/>
        </w:rPr>
        <w:tab/>
      </w:r>
      <w:r w:rsidR="00B60EA7" w:rsidRPr="00281FDC">
        <w:rPr>
          <w:lang w:val="fr-CH"/>
        </w:rPr>
        <w:t xml:space="preserve">Comment peut-on appliquer les mesures traditionnelles </w:t>
      </w:r>
      <w:r w:rsidR="006929D8">
        <w:rPr>
          <w:lang w:val="fr-CH"/>
        </w:rPr>
        <w:t>visant à garantir l'</w:t>
      </w:r>
      <w:r w:rsidR="00B60EA7" w:rsidRPr="00281FDC">
        <w:rPr>
          <w:lang w:val="fr-CH"/>
        </w:rPr>
        <w:t xml:space="preserve">intégrité, </w:t>
      </w:r>
      <w:r w:rsidR="006929D8">
        <w:rPr>
          <w:lang w:val="fr-CH"/>
        </w:rPr>
        <w:t xml:space="preserve">la disponibilité, l'authenticité et la </w:t>
      </w:r>
      <w:r w:rsidR="00B60EA7" w:rsidRPr="00281FDC">
        <w:rPr>
          <w:lang w:val="fr-CH"/>
        </w:rPr>
        <w:t>non</w:t>
      </w:r>
      <w:r w:rsidR="006929D8">
        <w:rPr>
          <w:lang w:val="fr-CH"/>
        </w:rPr>
        <w:noBreakHyphen/>
      </w:r>
      <w:r w:rsidR="00B60EA7" w:rsidRPr="00281FDC">
        <w:rPr>
          <w:lang w:val="fr-CH"/>
        </w:rPr>
        <w:t>répudiation dans les dispositifs IoT</w:t>
      </w:r>
      <w:r w:rsidR="006929D8">
        <w:rPr>
          <w:lang w:val="fr-CH"/>
        </w:rPr>
        <w:t>,</w:t>
      </w:r>
      <w:r w:rsidR="00B60EA7" w:rsidRPr="00281FDC">
        <w:rPr>
          <w:lang w:val="fr-CH"/>
        </w:rPr>
        <w:t xml:space="preserve"> afin de protéger l'identité, la confidentialité et la sécurité d</w:t>
      </w:r>
      <w:r w:rsidR="00116CBA">
        <w:rPr>
          <w:lang w:val="fr-CH"/>
        </w:rPr>
        <w:t>es</w:t>
      </w:r>
      <w:r w:rsidR="00B60EA7" w:rsidRPr="00281FDC">
        <w:rPr>
          <w:lang w:val="fr-CH"/>
        </w:rPr>
        <w:t xml:space="preserve"> système</w:t>
      </w:r>
      <w:r w:rsidR="00116CBA">
        <w:rPr>
          <w:lang w:val="fr-CH"/>
        </w:rPr>
        <w:t>s</w:t>
      </w:r>
      <w:r w:rsidR="00B60EA7" w:rsidRPr="00281FDC">
        <w:rPr>
          <w:lang w:val="fr-CH"/>
        </w:rPr>
        <w:t xml:space="preserve">, compte tenu des ressources limitées des dispositifs </w:t>
      </w:r>
      <w:r w:rsidR="006929D8">
        <w:rPr>
          <w:lang w:val="fr-CH"/>
        </w:rPr>
        <w:t>en termes d'</w:t>
      </w:r>
      <w:r w:rsidR="00B60EA7" w:rsidRPr="00281FDC">
        <w:rPr>
          <w:lang w:val="fr-CH"/>
        </w:rPr>
        <w:t xml:space="preserve">énergie, </w:t>
      </w:r>
      <w:r w:rsidR="006929D8">
        <w:rPr>
          <w:lang w:val="fr-CH"/>
        </w:rPr>
        <w:t>de place, de mémoire, de bande passante e</w:t>
      </w:r>
      <w:r w:rsidR="00B60EA7" w:rsidRPr="00281FDC">
        <w:rPr>
          <w:lang w:val="fr-CH"/>
        </w:rPr>
        <w:t>t</w:t>
      </w:r>
      <w:r w:rsidR="006929D8">
        <w:rPr>
          <w:lang w:val="fr-CH"/>
        </w:rPr>
        <w:t xml:space="preserve"> de</w:t>
      </w:r>
      <w:r w:rsidR="00B60EA7" w:rsidRPr="00281FDC">
        <w:rPr>
          <w:lang w:val="fr-CH"/>
        </w:rPr>
        <w:t xml:space="preserve"> connectivité</w:t>
      </w:r>
      <w:r w:rsidR="00671EB9">
        <w:rPr>
          <w:lang w:val="fr-CH"/>
        </w:rPr>
        <w:t>?</w:t>
      </w:r>
    </w:p>
    <w:p w:rsidR="00B60EA7" w:rsidRPr="00281FDC" w:rsidRDefault="003C5C09" w:rsidP="00C91E41">
      <w:pPr>
        <w:pStyle w:val="enumlev1"/>
        <w:rPr>
          <w:lang w:val="fr-CH"/>
        </w:rPr>
      </w:pPr>
      <w:r w:rsidRPr="00281FDC">
        <w:rPr>
          <w:lang w:val="fr-CH"/>
        </w:rPr>
        <w:t>–</w:t>
      </w:r>
      <w:r w:rsidRPr="00281FDC">
        <w:rPr>
          <w:lang w:val="fr-CH"/>
        </w:rPr>
        <w:tab/>
      </w:r>
      <w:r w:rsidR="00B60EA7" w:rsidRPr="00281FDC">
        <w:rPr>
          <w:lang w:val="fr-CH"/>
        </w:rPr>
        <w:t xml:space="preserve">Quels sont les mesures techniques, les protocoles et les systèmes </w:t>
      </w:r>
      <w:r w:rsidR="006929D8">
        <w:rPr>
          <w:lang w:val="fr-CH"/>
        </w:rPr>
        <w:t>nécessaires</w:t>
      </w:r>
      <w:r w:rsidR="00B60EA7" w:rsidRPr="00281FDC">
        <w:rPr>
          <w:lang w:val="fr-CH"/>
        </w:rPr>
        <w:t xml:space="preserve"> pour garantir la protection de la confidentialité dans les applications, </w:t>
      </w:r>
      <w:r w:rsidR="006929D8">
        <w:rPr>
          <w:lang w:val="fr-CH"/>
        </w:rPr>
        <w:t xml:space="preserve">les </w:t>
      </w:r>
      <w:r w:rsidR="00B60EA7" w:rsidRPr="00281FDC">
        <w:rPr>
          <w:lang w:val="fr-CH"/>
        </w:rPr>
        <w:t xml:space="preserve">services et </w:t>
      </w:r>
      <w:r w:rsidR="006929D8">
        <w:rPr>
          <w:lang w:val="fr-CH"/>
        </w:rPr>
        <w:t xml:space="preserve">les </w:t>
      </w:r>
      <w:r w:rsidR="00B60EA7" w:rsidRPr="00281FDC">
        <w:rPr>
          <w:lang w:val="fr-CH"/>
        </w:rPr>
        <w:t>plates</w:t>
      </w:r>
      <w:r w:rsidR="00C91E41">
        <w:rPr>
          <w:lang w:val="fr-CH"/>
        </w:rPr>
        <w:noBreakHyphen/>
      </w:r>
      <w:r w:rsidR="00B60EA7" w:rsidRPr="00281FDC">
        <w:rPr>
          <w:lang w:val="fr-CH"/>
        </w:rPr>
        <w:t xml:space="preserve">formes </w:t>
      </w:r>
      <w:r w:rsidR="006929D8">
        <w:rPr>
          <w:lang w:val="fr-CH"/>
        </w:rPr>
        <w:t>SC&amp;C</w:t>
      </w:r>
      <w:r w:rsidR="00B60EA7" w:rsidRPr="00281FDC">
        <w:rPr>
          <w:lang w:val="fr-CH"/>
        </w:rPr>
        <w:t xml:space="preserve">? Comment peut-on maintenir et garantir la confiance </w:t>
      </w:r>
      <w:r w:rsidR="006929D8">
        <w:rPr>
          <w:lang w:val="fr-CH"/>
        </w:rPr>
        <w:t>dans</w:t>
      </w:r>
      <w:r w:rsidR="00B60EA7" w:rsidRPr="00281FDC">
        <w:rPr>
          <w:lang w:val="fr-CH"/>
        </w:rPr>
        <w:t xml:space="preserve"> l'utilisation de ces systèmes</w:t>
      </w:r>
      <w:r w:rsidR="00671EB9">
        <w:rPr>
          <w:lang w:val="fr-CH"/>
        </w:rPr>
        <w:t>?</w:t>
      </w:r>
    </w:p>
    <w:p w:rsidR="00B60EA7" w:rsidRPr="00281FDC" w:rsidRDefault="003C5C09" w:rsidP="006929D8">
      <w:pPr>
        <w:pStyle w:val="enumlev1"/>
        <w:rPr>
          <w:lang w:val="fr-CH"/>
        </w:rPr>
      </w:pPr>
      <w:r w:rsidRPr="00281FDC">
        <w:rPr>
          <w:lang w:val="fr-CH"/>
        </w:rPr>
        <w:t>–</w:t>
      </w:r>
      <w:r w:rsidRPr="00281FDC">
        <w:rPr>
          <w:lang w:val="fr-CH"/>
        </w:rPr>
        <w:tab/>
      </w:r>
      <w:r w:rsidR="00B60EA7" w:rsidRPr="00281FDC">
        <w:rPr>
          <w:lang w:val="fr-CH"/>
        </w:rPr>
        <w:t xml:space="preserve">Comment peut-on empêcher le </w:t>
      </w:r>
      <w:r w:rsidR="006929D8">
        <w:rPr>
          <w:lang w:val="fr-CH"/>
        </w:rPr>
        <w:t>pistage illicite</w:t>
      </w:r>
      <w:r w:rsidR="00B60EA7" w:rsidRPr="00281FDC">
        <w:rPr>
          <w:lang w:val="fr-CH"/>
        </w:rPr>
        <w:t xml:space="preserve">, le profilage et le traitement illicite des systèmes, </w:t>
      </w:r>
      <w:r w:rsidR="006929D8">
        <w:rPr>
          <w:lang w:val="fr-CH"/>
        </w:rPr>
        <w:t xml:space="preserve">des </w:t>
      </w:r>
      <w:r w:rsidR="00B60EA7" w:rsidRPr="00281FDC">
        <w:rPr>
          <w:lang w:val="fr-CH"/>
        </w:rPr>
        <w:t xml:space="preserve">applications, </w:t>
      </w:r>
      <w:r w:rsidR="006929D8">
        <w:rPr>
          <w:lang w:val="fr-CH"/>
        </w:rPr>
        <w:t xml:space="preserve">des </w:t>
      </w:r>
      <w:r w:rsidR="00B60EA7" w:rsidRPr="00281FDC">
        <w:rPr>
          <w:lang w:val="fr-CH"/>
        </w:rPr>
        <w:t xml:space="preserve">plates-formes et </w:t>
      </w:r>
      <w:r w:rsidR="006929D8">
        <w:rPr>
          <w:lang w:val="fr-CH"/>
        </w:rPr>
        <w:t xml:space="preserve">des </w:t>
      </w:r>
      <w:r w:rsidR="00B60EA7" w:rsidRPr="00281FDC">
        <w:rPr>
          <w:lang w:val="fr-CH"/>
        </w:rPr>
        <w:t xml:space="preserve">services </w:t>
      </w:r>
      <w:r w:rsidR="006929D8">
        <w:rPr>
          <w:lang w:val="fr-CH"/>
        </w:rPr>
        <w:t>IoT</w:t>
      </w:r>
      <w:r w:rsidR="00671EB9">
        <w:rPr>
          <w:lang w:val="fr-CH"/>
        </w:rPr>
        <w:t>?</w:t>
      </w:r>
    </w:p>
    <w:p w:rsidR="00B60EA7" w:rsidRPr="00281FDC" w:rsidRDefault="003C5C09" w:rsidP="0032181F">
      <w:pPr>
        <w:pStyle w:val="enumlev1"/>
        <w:rPr>
          <w:lang w:val="fr-CH"/>
        </w:rPr>
      </w:pPr>
      <w:r w:rsidRPr="00281FDC">
        <w:rPr>
          <w:lang w:val="fr-CH"/>
        </w:rPr>
        <w:t>–</w:t>
      </w:r>
      <w:r w:rsidRPr="00281FDC">
        <w:rPr>
          <w:lang w:val="fr-CH"/>
        </w:rPr>
        <w:tab/>
      </w:r>
      <w:r w:rsidR="00B60EA7" w:rsidRPr="00281FDC">
        <w:rPr>
          <w:lang w:val="fr-CH"/>
        </w:rPr>
        <w:t>Quelle</w:t>
      </w:r>
      <w:r w:rsidR="002E049C">
        <w:rPr>
          <w:lang w:val="fr-CH"/>
        </w:rPr>
        <w:t>s</w:t>
      </w:r>
      <w:r w:rsidR="00B60EA7" w:rsidRPr="00281FDC">
        <w:rPr>
          <w:lang w:val="fr-CH"/>
        </w:rPr>
        <w:t xml:space="preserve"> mesure</w:t>
      </w:r>
      <w:r w:rsidR="0032181F">
        <w:rPr>
          <w:lang w:val="fr-CH"/>
        </w:rPr>
        <w:t>s</w:t>
      </w:r>
      <w:r w:rsidR="00B60EA7" w:rsidRPr="00281FDC">
        <w:rPr>
          <w:lang w:val="fr-CH"/>
        </w:rPr>
        <w:t xml:space="preserve"> peut-on élaborer afin de garantir en permanence la disponibilité et la portabilité des données dans les plates-formes, les systèmes et les services </w:t>
      </w:r>
      <w:r w:rsidR="0032181F">
        <w:rPr>
          <w:lang w:val="fr-CH"/>
        </w:rPr>
        <w:t>IoT</w:t>
      </w:r>
      <w:r w:rsidR="00B60EA7" w:rsidRPr="00281FDC">
        <w:rPr>
          <w:lang w:val="fr-CH"/>
        </w:rPr>
        <w:t xml:space="preserve"> et </w:t>
      </w:r>
      <w:r w:rsidR="0032181F">
        <w:rPr>
          <w:lang w:val="fr-CH"/>
        </w:rPr>
        <w:t>SC&amp;C</w:t>
      </w:r>
      <w:r w:rsidR="00B60EA7" w:rsidRPr="00281FDC">
        <w:rPr>
          <w:lang w:val="fr-CH"/>
        </w:rPr>
        <w:t>?</w:t>
      </w:r>
    </w:p>
    <w:p w:rsidR="00B60EA7" w:rsidRPr="00281FDC" w:rsidRDefault="003C5C09" w:rsidP="00166741">
      <w:pPr>
        <w:pStyle w:val="enumlev1"/>
        <w:rPr>
          <w:lang w:val="fr-CH"/>
        </w:rPr>
      </w:pPr>
      <w:r w:rsidRPr="00281FDC">
        <w:rPr>
          <w:lang w:val="fr-CH"/>
        </w:rPr>
        <w:lastRenderedPageBreak/>
        <w:t>–</w:t>
      </w:r>
      <w:r w:rsidRPr="00281FDC">
        <w:rPr>
          <w:lang w:val="fr-CH"/>
        </w:rPr>
        <w:tab/>
      </w:r>
      <w:r w:rsidR="003D398E">
        <w:rPr>
          <w:lang w:val="fr-CH"/>
        </w:rPr>
        <w:t>Comment peut-on traiter l</w:t>
      </w:r>
      <w:r w:rsidR="00166741">
        <w:rPr>
          <w:lang w:val="fr-CH"/>
        </w:rPr>
        <w:t xml:space="preserve">es </w:t>
      </w:r>
      <w:r w:rsidR="00B60EA7" w:rsidRPr="00281FDC">
        <w:rPr>
          <w:lang w:val="fr-CH"/>
        </w:rPr>
        <w:t xml:space="preserve">objets connectés </w:t>
      </w:r>
      <w:r w:rsidR="00166741">
        <w:rPr>
          <w:lang w:val="fr-CH"/>
        </w:rPr>
        <w:t>n'utilisant pas le protocole</w:t>
      </w:r>
      <w:r w:rsidR="00B60EA7" w:rsidRPr="00281FDC">
        <w:rPr>
          <w:lang w:val="fr-CH"/>
        </w:rPr>
        <w:t xml:space="preserve"> IP et/ou le web dans un système</w:t>
      </w:r>
      <w:r w:rsidR="00297444" w:rsidRPr="00281FDC">
        <w:rPr>
          <w:lang w:val="fr-CH"/>
        </w:rPr>
        <w:t xml:space="preserve"> </w:t>
      </w:r>
      <w:r w:rsidR="00166741">
        <w:rPr>
          <w:lang w:val="fr-CH"/>
        </w:rPr>
        <w:t>IoT</w:t>
      </w:r>
      <w:r w:rsidR="00297444" w:rsidRPr="00281FDC">
        <w:rPr>
          <w:lang w:val="fr-CH"/>
        </w:rPr>
        <w:t xml:space="preserve"> hétérogène mixte?</w:t>
      </w:r>
    </w:p>
    <w:p w:rsidR="00297444" w:rsidRPr="00281FDC" w:rsidRDefault="003C5C09" w:rsidP="00166741">
      <w:pPr>
        <w:pStyle w:val="enumlev1"/>
        <w:rPr>
          <w:lang w:val="fr-CH"/>
        </w:rPr>
      </w:pPr>
      <w:r w:rsidRPr="00281FDC">
        <w:rPr>
          <w:lang w:val="fr-CH"/>
        </w:rPr>
        <w:t>–</w:t>
      </w:r>
      <w:r w:rsidRPr="00281FDC">
        <w:rPr>
          <w:lang w:val="fr-CH"/>
        </w:rPr>
        <w:tab/>
      </w:r>
      <w:r w:rsidR="00297444" w:rsidRPr="00281FDC">
        <w:rPr>
          <w:lang w:val="fr-CH"/>
        </w:rPr>
        <w:t>De quelle manière l'interopérabilité sémantique peut-elle être utilisé</w:t>
      </w:r>
      <w:r w:rsidR="00166741">
        <w:rPr>
          <w:lang w:val="fr-CH"/>
        </w:rPr>
        <w:t>e</w:t>
      </w:r>
      <w:r w:rsidR="00297444" w:rsidRPr="00281FDC">
        <w:rPr>
          <w:lang w:val="fr-CH"/>
        </w:rPr>
        <w:t xml:space="preserve"> en tant que mécanisme pour identifier un objet? Quels sont les risques d'identification erronée </w:t>
      </w:r>
      <w:r w:rsidR="00166741">
        <w:rPr>
          <w:lang w:val="fr-CH"/>
        </w:rPr>
        <w:t>associés</w:t>
      </w:r>
      <w:r w:rsidR="00297444" w:rsidRPr="00281FDC">
        <w:rPr>
          <w:lang w:val="fr-CH"/>
        </w:rPr>
        <w:t>?</w:t>
      </w:r>
    </w:p>
    <w:p w:rsidR="00297444" w:rsidRPr="00281FDC" w:rsidRDefault="003C5C09" w:rsidP="00166741">
      <w:pPr>
        <w:pStyle w:val="enumlev1"/>
        <w:rPr>
          <w:lang w:val="fr-CH"/>
        </w:rPr>
      </w:pPr>
      <w:r w:rsidRPr="00281FDC">
        <w:rPr>
          <w:lang w:val="fr-CH"/>
        </w:rPr>
        <w:t>–</w:t>
      </w:r>
      <w:r w:rsidRPr="00281FDC">
        <w:rPr>
          <w:lang w:val="fr-CH"/>
        </w:rPr>
        <w:tab/>
      </w:r>
      <w:r w:rsidR="00297444" w:rsidRPr="00281FDC">
        <w:rPr>
          <w:lang w:val="fr-CH"/>
        </w:rPr>
        <w:t xml:space="preserve">Comment les noms de </w:t>
      </w:r>
      <w:r w:rsidR="00166741">
        <w:rPr>
          <w:lang w:val="fr-CH"/>
        </w:rPr>
        <w:t>IoT</w:t>
      </w:r>
      <w:r w:rsidR="00297444" w:rsidRPr="00281FDC">
        <w:rPr>
          <w:lang w:val="fr-CH"/>
        </w:rPr>
        <w:t xml:space="preserve"> sont-ils enregistrés et gérés?</w:t>
      </w:r>
    </w:p>
    <w:p w:rsidR="00297444" w:rsidRPr="00281FDC" w:rsidRDefault="003C5C09" w:rsidP="003D398E">
      <w:pPr>
        <w:pStyle w:val="enumlev1"/>
        <w:rPr>
          <w:lang w:val="fr-CH"/>
        </w:rPr>
      </w:pPr>
      <w:r w:rsidRPr="00281FDC">
        <w:rPr>
          <w:lang w:val="fr-CH"/>
        </w:rPr>
        <w:t>–</w:t>
      </w:r>
      <w:r w:rsidRPr="00281FDC">
        <w:rPr>
          <w:lang w:val="fr-CH"/>
        </w:rPr>
        <w:tab/>
      </w:r>
      <w:r w:rsidR="00297444" w:rsidRPr="00281FDC">
        <w:rPr>
          <w:lang w:val="fr-CH"/>
        </w:rPr>
        <w:t>Quelles sont les mesures techniques n</w:t>
      </w:r>
      <w:r w:rsidR="00166741">
        <w:rPr>
          <w:lang w:val="fr-CH"/>
        </w:rPr>
        <w:t>écessaires pour la découverte d</w:t>
      </w:r>
      <w:r w:rsidR="003D398E">
        <w:rPr>
          <w:lang w:val="fr-CH"/>
        </w:rPr>
        <w:t>'</w:t>
      </w:r>
      <w:r w:rsidR="00297444" w:rsidRPr="00281FDC">
        <w:rPr>
          <w:lang w:val="fr-CH"/>
        </w:rPr>
        <w:t>identité? De quels attributs</w:t>
      </w:r>
      <w:r w:rsidR="00202499" w:rsidRPr="00281FDC">
        <w:rPr>
          <w:lang w:val="fr-CH"/>
        </w:rPr>
        <w:t xml:space="preserve"> un registre d'identité</w:t>
      </w:r>
      <w:r w:rsidR="003D398E">
        <w:rPr>
          <w:lang w:val="fr-CH"/>
        </w:rPr>
        <w:t>s</w:t>
      </w:r>
      <w:r w:rsidR="00202499" w:rsidRPr="00281FDC">
        <w:rPr>
          <w:lang w:val="fr-CH"/>
        </w:rPr>
        <w:t xml:space="preserve"> aurait-il besoin pour </w:t>
      </w:r>
      <w:r w:rsidR="00166741">
        <w:rPr>
          <w:lang w:val="fr-CH"/>
        </w:rPr>
        <w:t>permettre</w:t>
      </w:r>
      <w:r w:rsidR="00202499" w:rsidRPr="00281FDC">
        <w:rPr>
          <w:lang w:val="fr-CH"/>
        </w:rPr>
        <w:t xml:space="preserve"> l'identification des objet</w:t>
      </w:r>
      <w:r w:rsidR="00166741">
        <w:rPr>
          <w:lang w:val="fr-CH"/>
        </w:rPr>
        <w:t>s et l'intégration des systèmes</w:t>
      </w:r>
      <w:r w:rsidR="00202499" w:rsidRPr="00281FDC">
        <w:rPr>
          <w:lang w:val="fr-CH"/>
        </w:rPr>
        <w:t>?</w:t>
      </w:r>
    </w:p>
    <w:p w:rsidR="00202499" w:rsidRPr="00281FDC" w:rsidRDefault="003C5C09" w:rsidP="006C4324">
      <w:pPr>
        <w:pStyle w:val="enumlev1"/>
        <w:rPr>
          <w:lang w:val="fr-CH"/>
        </w:rPr>
      </w:pPr>
      <w:r w:rsidRPr="00281FDC">
        <w:rPr>
          <w:lang w:val="fr-CH"/>
        </w:rPr>
        <w:t>–</w:t>
      </w:r>
      <w:r w:rsidRPr="00281FDC">
        <w:rPr>
          <w:lang w:val="fr-CH"/>
        </w:rPr>
        <w:tab/>
      </w:r>
      <w:r w:rsidR="00D44F3A" w:rsidRPr="00281FDC">
        <w:rPr>
          <w:lang w:val="fr-CH"/>
        </w:rPr>
        <w:t xml:space="preserve">Comment les dispositifs empêcheront-t-il </w:t>
      </w:r>
      <w:r w:rsidR="00166741">
        <w:rPr>
          <w:lang w:val="fr-CH"/>
        </w:rPr>
        <w:t>l'</w:t>
      </w:r>
      <w:r w:rsidR="00D44F3A" w:rsidRPr="00281FDC">
        <w:rPr>
          <w:lang w:val="fr-CH"/>
        </w:rPr>
        <w:t xml:space="preserve">usurpation d'identité des autres dispositifs avec lesquels </w:t>
      </w:r>
      <w:r w:rsidR="00166741">
        <w:rPr>
          <w:lang w:val="fr-CH"/>
        </w:rPr>
        <w:t>ils échangent des données</w:t>
      </w:r>
      <w:r w:rsidR="00D44F3A" w:rsidRPr="00281FDC">
        <w:rPr>
          <w:lang w:val="fr-CH"/>
        </w:rPr>
        <w:t>? De quelle mani</w:t>
      </w:r>
      <w:r w:rsidR="00EB76CE">
        <w:rPr>
          <w:lang w:val="fr-CH"/>
        </w:rPr>
        <w:t xml:space="preserve">ère les dispositifs </w:t>
      </w:r>
      <w:r w:rsidR="006C4324">
        <w:rPr>
          <w:lang w:val="fr-CH"/>
        </w:rPr>
        <w:t>procéderont</w:t>
      </w:r>
      <w:r w:rsidR="006C4324">
        <w:rPr>
          <w:lang w:val="fr-CH"/>
        </w:rPr>
        <w:noBreakHyphen/>
      </w:r>
      <w:r w:rsidR="006C4324" w:rsidRPr="00281FDC">
        <w:rPr>
          <w:lang w:val="fr-CH"/>
        </w:rPr>
        <w:t>ils</w:t>
      </w:r>
      <w:r w:rsidR="00D44F3A" w:rsidRPr="00281FDC">
        <w:rPr>
          <w:lang w:val="fr-CH"/>
        </w:rPr>
        <w:t xml:space="preserve"> pour générer, traiter, stocker ou extraire des données privées, sensibles, confidentielles ou secrètes afin de pouvoir </w:t>
      </w:r>
      <w:r w:rsidR="00843DAE">
        <w:rPr>
          <w:lang w:val="fr-CH"/>
        </w:rPr>
        <w:t>repérer</w:t>
      </w:r>
      <w:r w:rsidR="00D44F3A" w:rsidRPr="00281FDC">
        <w:rPr>
          <w:lang w:val="fr-CH"/>
        </w:rPr>
        <w:t xml:space="preserve"> et empêcher les utilisations frauduleuses</w:t>
      </w:r>
      <w:r w:rsidR="00671EB9">
        <w:rPr>
          <w:lang w:val="fr-CH"/>
        </w:rPr>
        <w:t>?</w:t>
      </w:r>
    </w:p>
    <w:p w:rsidR="003C5C09" w:rsidRPr="00281FDC" w:rsidRDefault="003C5C09" w:rsidP="00281FDC">
      <w:pPr>
        <w:pStyle w:val="Heading1"/>
        <w:rPr>
          <w:lang w:val="fr-CH"/>
        </w:rPr>
      </w:pPr>
      <w:r w:rsidRPr="00281FDC">
        <w:rPr>
          <w:lang w:val="fr-CH"/>
        </w:rPr>
        <w:t>3</w:t>
      </w:r>
      <w:r w:rsidRPr="00281FDC">
        <w:rPr>
          <w:lang w:val="fr-CH"/>
        </w:rPr>
        <w:tab/>
        <w:t>Tâches</w:t>
      </w:r>
    </w:p>
    <w:p w:rsidR="003C5C09" w:rsidRPr="00281FDC" w:rsidRDefault="007F0DA0" w:rsidP="00281FDC">
      <w:pPr>
        <w:keepNext/>
        <w:keepLines/>
        <w:rPr>
          <w:lang w:val="fr-CH"/>
        </w:rPr>
      </w:pPr>
      <w:r w:rsidRPr="00F579BB">
        <w:rPr>
          <w:lang w:val="fr-CH"/>
        </w:rPr>
        <w:t>Les tâches sont notamment les suivantes (la liste n</w:t>
      </w:r>
      <w:r>
        <w:rPr>
          <w:lang w:val="fr-CH"/>
        </w:rPr>
        <w:t>'</w:t>
      </w:r>
      <w:r w:rsidRPr="00F579BB">
        <w:rPr>
          <w:lang w:val="fr-CH"/>
        </w:rPr>
        <w:t>est pas exhaustive)</w:t>
      </w:r>
      <w:r>
        <w:rPr>
          <w:lang w:val="fr-CH"/>
        </w:rPr>
        <w:t>:</w:t>
      </w:r>
    </w:p>
    <w:p w:rsidR="002C6EF8" w:rsidRPr="00281FDC" w:rsidRDefault="003C5C09" w:rsidP="00271FAC">
      <w:pPr>
        <w:pStyle w:val="enumlev1"/>
        <w:keepNext/>
        <w:keepLines/>
        <w:rPr>
          <w:lang w:val="fr-CH"/>
        </w:rPr>
      </w:pPr>
      <w:r w:rsidRPr="00281FDC">
        <w:rPr>
          <w:lang w:val="fr-CH"/>
        </w:rPr>
        <w:t>–</w:t>
      </w:r>
      <w:r w:rsidRPr="00281FDC">
        <w:rPr>
          <w:lang w:val="fr-CH"/>
        </w:rPr>
        <w:tab/>
      </w:r>
      <w:r w:rsidR="00843DAE">
        <w:rPr>
          <w:lang w:val="fr-CH"/>
        </w:rPr>
        <w:t>E</w:t>
      </w:r>
      <w:r w:rsidR="002C6EF8" w:rsidRPr="00281FDC">
        <w:rPr>
          <w:lang w:val="fr-CH"/>
        </w:rPr>
        <w:t xml:space="preserve">laborer des Recommandations sur </w:t>
      </w:r>
      <w:r w:rsidR="007A007B">
        <w:rPr>
          <w:lang w:val="fr-CH"/>
        </w:rPr>
        <w:t>les manières d'assurer</w:t>
      </w:r>
      <w:r w:rsidR="002C6EF8" w:rsidRPr="00281FDC">
        <w:rPr>
          <w:lang w:val="fr-CH"/>
        </w:rPr>
        <w:t xml:space="preserve"> l'authenticité, la confidentiali</w:t>
      </w:r>
      <w:r w:rsidR="00843DAE">
        <w:rPr>
          <w:lang w:val="fr-CH"/>
        </w:rPr>
        <w:t>té, l'intégr</w:t>
      </w:r>
      <w:r w:rsidR="007A007B">
        <w:rPr>
          <w:lang w:val="fr-CH"/>
        </w:rPr>
        <w:t>i</w:t>
      </w:r>
      <w:r w:rsidR="00843DAE">
        <w:rPr>
          <w:lang w:val="fr-CH"/>
        </w:rPr>
        <w:t>t</w:t>
      </w:r>
      <w:r w:rsidR="007A007B">
        <w:rPr>
          <w:lang w:val="fr-CH"/>
        </w:rPr>
        <w:t>é</w:t>
      </w:r>
      <w:r w:rsidR="00843DAE">
        <w:rPr>
          <w:lang w:val="fr-CH"/>
        </w:rPr>
        <w:t>, la non-</w:t>
      </w:r>
      <w:r w:rsidR="002C6EF8" w:rsidRPr="00281FDC">
        <w:rPr>
          <w:lang w:val="fr-CH"/>
        </w:rPr>
        <w:t xml:space="preserve">répudiation et la disponibilité </w:t>
      </w:r>
      <w:r w:rsidR="007A007B">
        <w:rPr>
          <w:lang w:val="fr-CH"/>
        </w:rPr>
        <w:t>pour l</w:t>
      </w:r>
      <w:r w:rsidR="002C6EF8" w:rsidRPr="00281FDC">
        <w:rPr>
          <w:lang w:val="fr-CH"/>
        </w:rPr>
        <w:t xml:space="preserve">es dispositifs, </w:t>
      </w:r>
      <w:r w:rsidR="007A007B">
        <w:rPr>
          <w:lang w:val="fr-CH"/>
        </w:rPr>
        <w:t xml:space="preserve">les </w:t>
      </w:r>
      <w:r w:rsidR="002C6EF8" w:rsidRPr="00281FDC">
        <w:rPr>
          <w:lang w:val="fr-CH"/>
        </w:rPr>
        <w:t xml:space="preserve">systèmes, </w:t>
      </w:r>
      <w:r w:rsidR="007A007B">
        <w:rPr>
          <w:lang w:val="fr-CH"/>
        </w:rPr>
        <w:t xml:space="preserve">les </w:t>
      </w:r>
      <w:r w:rsidR="002C6EF8" w:rsidRPr="00281FDC">
        <w:rPr>
          <w:lang w:val="fr-CH"/>
        </w:rPr>
        <w:t xml:space="preserve">applications, </w:t>
      </w:r>
      <w:r w:rsidR="007A007B">
        <w:rPr>
          <w:lang w:val="fr-CH"/>
        </w:rPr>
        <w:t xml:space="preserve">les </w:t>
      </w:r>
      <w:r w:rsidR="002C6EF8" w:rsidRPr="00281FDC">
        <w:rPr>
          <w:lang w:val="fr-CH"/>
        </w:rPr>
        <w:t xml:space="preserve">protocoles, </w:t>
      </w:r>
      <w:r w:rsidR="007A007B">
        <w:rPr>
          <w:lang w:val="fr-CH"/>
        </w:rPr>
        <w:t xml:space="preserve">les </w:t>
      </w:r>
      <w:r w:rsidR="002C6EF8" w:rsidRPr="00281FDC">
        <w:rPr>
          <w:lang w:val="fr-CH"/>
        </w:rPr>
        <w:t xml:space="preserve">plates-formes et </w:t>
      </w:r>
      <w:r w:rsidR="007A007B">
        <w:rPr>
          <w:lang w:val="fr-CH"/>
        </w:rPr>
        <w:t xml:space="preserve">les </w:t>
      </w:r>
      <w:r w:rsidR="002C6EF8" w:rsidRPr="00281FDC">
        <w:rPr>
          <w:lang w:val="fr-CH"/>
        </w:rPr>
        <w:t xml:space="preserve">services </w:t>
      </w:r>
      <w:r w:rsidR="007A007B">
        <w:rPr>
          <w:lang w:val="fr-CH"/>
        </w:rPr>
        <w:t>IoT</w:t>
      </w:r>
      <w:r w:rsidR="002C6EF8" w:rsidRPr="00281FDC">
        <w:rPr>
          <w:lang w:val="fr-CH"/>
        </w:rPr>
        <w:t>.</w:t>
      </w:r>
    </w:p>
    <w:p w:rsidR="00745D14" w:rsidRPr="00281FDC" w:rsidRDefault="003C5C09" w:rsidP="007A007B">
      <w:pPr>
        <w:pStyle w:val="enumlev1"/>
        <w:rPr>
          <w:lang w:val="fr-CH"/>
        </w:rPr>
      </w:pPr>
      <w:r w:rsidRPr="00281FDC">
        <w:rPr>
          <w:lang w:val="fr-CH"/>
        </w:rPr>
        <w:t>–</w:t>
      </w:r>
      <w:r w:rsidRPr="00281FDC">
        <w:rPr>
          <w:lang w:val="fr-CH"/>
        </w:rPr>
        <w:tab/>
      </w:r>
      <w:r w:rsidR="00843DAE">
        <w:rPr>
          <w:lang w:val="fr-CH"/>
        </w:rPr>
        <w:t>E</w:t>
      </w:r>
      <w:r w:rsidR="00745D14" w:rsidRPr="00281FDC">
        <w:rPr>
          <w:lang w:val="fr-CH"/>
        </w:rPr>
        <w:t>laborer des Recommandations sur l'instauration de la sécurité et de la confiance dans l'Internet des objets</w:t>
      </w:r>
      <w:r w:rsidR="007A007B">
        <w:rPr>
          <w:lang w:val="fr-CH"/>
        </w:rPr>
        <w:t>,</w:t>
      </w:r>
      <w:r w:rsidR="00745D14" w:rsidRPr="00281FDC">
        <w:rPr>
          <w:lang w:val="fr-CH"/>
        </w:rPr>
        <w:t xml:space="preserve"> à la fois au niveau de l'infrastructure </w:t>
      </w:r>
      <w:r w:rsidR="007A007B">
        <w:rPr>
          <w:lang w:val="fr-CH"/>
        </w:rPr>
        <w:t xml:space="preserve">des </w:t>
      </w:r>
      <w:r w:rsidR="00745D14" w:rsidRPr="00281FDC">
        <w:rPr>
          <w:lang w:val="fr-CH"/>
        </w:rPr>
        <w:t xml:space="preserve">TIC (par exemple, </w:t>
      </w:r>
      <w:r w:rsidR="007A007B">
        <w:rPr>
          <w:lang w:val="fr-CH"/>
        </w:rPr>
        <w:t>dans</w:t>
      </w:r>
      <w:r w:rsidR="00745D14" w:rsidRPr="00281FDC">
        <w:rPr>
          <w:lang w:val="fr-CH"/>
        </w:rPr>
        <w:t xml:space="preserve"> la couche infrastructure) et au niveau des </w:t>
      </w:r>
      <w:r w:rsidR="007A007B">
        <w:rPr>
          <w:lang w:val="fr-CH"/>
        </w:rPr>
        <w:t xml:space="preserve">futurs </w:t>
      </w:r>
      <w:r w:rsidR="00745D14" w:rsidRPr="00281FDC">
        <w:rPr>
          <w:lang w:val="fr-CH"/>
        </w:rPr>
        <w:t>environnements de services convergents hétérogènes (par exemple, la couche service).</w:t>
      </w:r>
    </w:p>
    <w:p w:rsidR="00745D14" w:rsidRPr="00281FDC" w:rsidRDefault="003C5C09" w:rsidP="00271FAC">
      <w:pPr>
        <w:pStyle w:val="enumlev1"/>
        <w:rPr>
          <w:lang w:val="fr-CH"/>
        </w:rPr>
      </w:pPr>
      <w:r w:rsidRPr="00281FDC">
        <w:rPr>
          <w:lang w:val="fr-CH"/>
        </w:rPr>
        <w:t>–</w:t>
      </w:r>
      <w:r w:rsidRPr="00281FDC">
        <w:rPr>
          <w:lang w:val="fr-CH"/>
        </w:rPr>
        <w:tab/>
      </w:r>
      <w:r w:rsidR="00843DAE">
        <w:rPr>
          <w:lang w:val="fr-CH"/>
        </w:rPr>
        <w:t>E</w:t>
      </w:r>
      <w:r w:rsidR="00745D14" w:rsidRPr="00281FDC">
        <w:rPr>
          <w:lang w:val="fr-CH"/>
        </w:rPr>
        <w:t xml:space="preserve">laborer des </w:t>
      </w:r>
      <w:r w:rsidR="00D13175" w:rsidRPr="00281FDC">
        <w:rPr>
          <w:lang w:val="fr-CH"/>
        </w:rPr>
        <w:t>R</w:t>
      </w:r>
      <w:r w:rsidR="00745D14" w:rsidRPr="00281FDC">
        <w:rPr>
          <w:lang w:val="fr-CH"/>
        </w:rPr>
        <w:t xml:space="preserve">ecommandations sur l'instauration de la sécurité et de la confiance dans les services et </w:t>
      </w:r>
      <w:r w:rsidR="007A007B">
        <w:rPr>
          <w:lang w:val="fr-CH"/>
        </w:rPr>
        <w:t xml:space="preserve">les </w:t>
      </w:r>
      <w:r w:rsidR="00745D14" w:rsidRPr="00281FDC">
        <w:rPr>
          <w:lang w:val="fr-CH"/>
        </w:rPr>
        <w:t xml:space="preserve">applications </w:t>
      </w:r>
      <w:r w:rsidR="007A007B">
        <w:rPr>
          <w:lang w:val="fr-CH"/>
        </w:rPr>
        <w:t>IoT</w:t>
      </w:r>
      <w:r w:rsidR="00745D14" w:rsidRPr="00281FDC">
        <w:rPr>
          <w:lang w:val="fr-CH"/>
        </w:rPr>
        <w:t xml:space="preserve"> pour les environnements issus de la convergence entre de nombreuses parties prenantes d'autres secteurs (par exemple, </w:t>
      </w:r>
      <w:r w:rsidR="007A007B">
        <w:rPr>
          <w:lang w:val="fr-CH"/>
        </w:rPr>
        <w:t xml:space="preserve">utilisation de l'infrastructure TIC </w:t>
      </w:r>
      <w:r w:rsidR="00271FAC">
        <w:rPr>
          <w:lang w:val="fr-CH"/>
        </w:rPr>
        <w:t xml:space="preserve">pour le </w:t>
      </w:r>
      <w:r w:rsidR="007A007B">
        <w:rPr>
          <w:lang w:val="fr-CH"/>
        </w:rPr>
        <w:t>réseau d'énergie</w:t>
      </w:r>
      <w:r w:rsidR="00745D14" w:rsidRPr="00281FDC">
        <w:rPr>
          <w:lang w:val="fr-CH"/>
        </w:rPr>
        <w:t>).</w:t>
      </w:r>
    </w:p>
    <w:p w:rsidR="00745D14" w:rsidRPr="00281FDC" w:rsidRDefault="003C5C09" w:rsidP="00D13175">
      <w:pPr>
        <w:pStyle w:val="enumlev1"/>
        <w:rPr>
          <w:lang w:val="fr-CH"/>
        </w:rPr>
      </w:pPr>
      <w:r w:rsidRPr="00281FDC">
        <w:rPr>
          <w:lang w:val="fr-CH"/>
        </w:rPr>
        <w:t>–</w:t>
      </w:r>
      <w:r w:rsidRPr="00281FDC">
        <w:rPr>
          <w:lang w:val="fr-CH"/>
        </w:rPr>
        <w:tab/>
      </w:r>
      <w:r w:rsidR="00843DAE">
        <w:rPr>
          <w:lang w:val="fr-CH"/>
        </w:rPr>
        <w:t>E</w:t>
      </w:r>
      <w:r w:rsidR="00745D14" w:rsidRPr="00281FDC">
        <w:rPr>
          <w:lang w:val="fr-CH"/>
        </w:rPr>
        <w:t xml:space="preserve">laborer des </w:t>
      </w:r>
      <w:r w:rsidR="00D13175" w:rsidRPr="00281FDC">
        <w:rPr>
          <w:lang w:val="fr-CH"/>
        </w:rPr>
        <w:t>R</w:t>
      </w:r>
      <w:r w:rsidR="00745D14" w:rsidRPr="00281FDC">
        <w:rPr>
          <w:lang w:val="fr-CH"/>
        </w:rPr>
        <w:t xml:space="preserve">ecommandations sur les exigences à respecter pour atténuer les risques et les menaces identifiés </w:t>
      </w:r>
      <w:r w:rsidR="00D13175">
        <w:rPr>
          <w:lang w:val="fr-CH"/>
        </w:rPr>
        <w:t>pour</w:t>
      </w:r>
      <w:r w:rsidR="00745D14" w:rsidRPr="00281FDC">
        <w:rPr>
          <w:lang w:val="fr-CH"/>
        </w:rPr>
        <w:t xml:space="preserve"> les dispositifs, </w:t>
      </w:r>
      <w:r w:rsidR="00D13175">
        <w:rPr>
          <w:lang w:val="fr-CH"/>
        </w:rPr>
        <w:t xml:space="preserve">les </w:t>
      </w:r>
      <w:r w:rsidR="00745D14" w:rsidRPr="00281FDC">
        <w:rPr>
          <w:lang w:val="fr-CH"/>
        </w:rPr>
        <w:t xml:space="preserve">systèmes, </w:t>
      </w:r>
      <w:r w:rsidR="00D13175">
        <w:rPr>
          <w:lang w:val="fr-CH"/>
        </w:rPr>
        <w:t xml:space="preserve">les </w:t>
      </w:r>
      <w:r w:rsidR="00745D14" w:rsidRPr="00281FDC">
        <w:rPr>
          <w:lang w:val="fr-CH"/>
        </w:rPr>
        <w:t xml:space="preserve">applications, </w:t>
      </w:r>
      <w:r w:rsidR="00D13175">
        <w:rPr>
          <w:lang w:val="fr-CH"/>
        </w:rPr>
        <w:t xml:space="preserve">les </w:t>
      </w:r>
      <w:r w:rsidR="00745D14" w:rsidRPr="00281FDC">
        <w:rPr>
          <w:lang w:val="fr-CH"/>
        </w:rPr>
        <w:t xml:space="preserve">protocoles, </w:t>
      </w:r>
      <w:r w:rsidR="00D13175">
        <w:rPr>
          <w:lang w:val="fr-CH"/>
        </w:rPr>
        <w:t xml:space="preserve">les </w:t>
      </w:r>
      <w:r w:rsidR="00745D14" w:rsidRPr="00281FDC">
        <w:rPr>
          <w:lang w:val="fr-CH"/>
        </w:rPr>
        <w:t xml:space="preserve">plates-formes et </w:t>
      </w:r>
      <w:r w:rsidR="00D13175">
        <w:rPr>
          <w:lang w:val="fr-CH"/>
        </w:rPr>
        <w:t xml:space="preserve">les </w:t>
      </w:r>
      <w:r w:rsidR="00745D14" w:rsidRPr="00281FDC">
        <w:rPr>
          <w:lang w:val="fr-CH"/>
        </w:rPr>
        <w:t xml:space="preserve">services </w:t>
      </w:r>
      <w:r w:rsidR="00D13175">
        <w:rPr>
          <w:lang w:val="fr-CH"/>
        </w:rPr>
        <w:t>IoT</w:t>
      </w:r>
      <w:r w:rsidR="00745D14" w:rsidRPr="00281FDC">
        <w:rPr>
          <w:lang w:val="fr-CH"/>
        </w:rPr>
        <w:t xml:space="preserve"> et </w:t>
      </w:r>
      <w:r w:rsidR="00D13175">
        <w:rPr>
          <w:lang w:val="fr-CH"/>
        </w:rPr>
        <w:t>SC&amp;C</w:t>
      </w:r>
      <w:r w:rsidR="00745D14" w:rsidRPr="00281FDC">
        <w:rPr>
          <w:lang w:val="fr-CH"/>
        </w:rPr>
        <w:t>.</w:t>
      </w:r>
    </w:p>
    <w:p w:rsidR="00745D14" w:rsidRPr="00281FDC" w:rsidRDefault="003C5C09" w:rsidP="00D13175">
      <w:pPr>
        <w:pStyle w:val="enumlev1"/>
        <w:rPr>
          <w:lang w:val="fr-CH"/>
        </w:rPr>
      </w:pPr>
      <w:r w:rsidRPr="00281FDC">
        <w:rPr>
          <w:lang w:val="fr-CH"/>
        </w:rPr>
        <w:t>–</w:t>
      </w:r>
      <w:r w:rsidRPr="00281FDC">
        <w:rPr>
          <w:lang w:val="fr-CH"/>
        </w:rPr>
        <w:tab/>
      </w:r>
      <w:r w:rsidR="00843DAE">
        <w:rPr>
          <w:lang w:val="fr-CH"/>
        </w:rPr>
        <w:t>E</w:t>
      </w:r>
      <w:r w:rsidR="00745D14" w:rsidRPr="00281FDC">
        <w:rPr>
          <w:lang w:val="fr-CH"/>
        </w:rPr>
        <w:t xml:space="preserve">laborer des </w:t>
      </w:r>
      <w:r w:rsidR="00D13175" w:rsidRPr="00281FDC">
        <w:rPr>
          <w:lang w:val="fr-CH"/>
        </w:rPr>
        <w:t>R</w:t>
      </w:r>
      <w:r w:rsidR="00745D14" w:rsidRPr="00281FDC">
        <w:rPr>
          <w:lang w:val="fr-CH"/>
        </w:rPr>
        <w:t>ecommandations sur</w:t>
      </w:r>
      <w:r w:rsidR="00453B6C" w:rsidRPr="00281FDC">
        <w:rPr>
          <w:lang w:val="fr-CH"/>
        </w:rPr>
        <w:t xml:space="preserve"> l'utilisation des constructions traditionnelles </w:t>
      </w:r>
      <w:r w:rsidR="00D13175">
        <w:rPr>
          <w:lang w:val="fr-CH"/>
        </w:rPr>
        <w:t>visant à assurer</w:t>
      </w:r>
      <w:r w:rsidR="00453B6C" w:rsidRPr="00281FDC">
        <w:rPr>
          <w:lang w:val="fr-CH"/>
        </w:rPr>
        <w:t xml:space="preserve"> l'intégrité, la disponib</w:t>
      </w:r>
      <w:r w:rsidR="007A007B">
        <w:rPr>
          <w:lang w:val="fr-CH"/>
        </w:rPr>
        <w:t>ilité, l'authenticité et la non-</w:t>
      </w:r>
      <w:r w:rsidR="00453B6C" w:rsidRPr="00281FDC">
        <w:rPr>
          <w:lang w:val="fr-CH"/>
        </w:rPr>
        <w:t xml:space="preserve">répudiation dans les systèmes </w:t>
      </w:r>
      <w:r w:rsidR="00D13175">
        <w:rPr>
          <w:lang w:val="fr-CH"/>
        </w:rPr>
        <w:t>IoT</w:t>
      </w:r>
      <w:r w:rsidR="00453B6C" w:rsidRPr="00281FDC">
        <w:rPr>
          <w:lang w:val="fr-CH"/>
        </w:rPr>
        <w:t xml:space="preserve"> afin de protéger l'identité, la confidentialité et la sécurité des systèmes.</w:t>
      </w:r>
    </w:p>
    <w:p w:rsidR="00453B6C" w:rsidRPr="00281FDC" w:rsidRDefault="003C5C09" w:rsidP="00D13175">
      <w:pPr>
        <w:pStyle w:val="enumlev1"/>
        <w:rPr>
          <w:lang w:val="fr-CH"/>
        </w:rPr>
      </w:pPr>
      <w:r w:rsidRPr="00281FDC">
        <w:rPr>
          <w:lang w:val="fr-CH"/>
        </w:rPr>
        <w:t>–</w:t>
      </w:r>
      <w:r w:rsidRPr="00281FDC">
        <w:rPr>
          <w:lang w:val="fr-CH"/>
        </w:rPr>
        <w:tab/>
      </w:r>
      <w:r w:rsidR="00843DAE">
        <w:rPr>
          <w:lang w:val="fr-CH"/>
        </w:rPr>
        <w:t>E</w:t>
      </w:r>
      <w:r w:rsidR="00453B6C" w:rsidRPr="00281FDC">
        <w:rPr>
          <w:lang w:val="fr-CH"/>
        </w:rPr>
        <w:t xml:space="preserve">laborer des Recommandations sur les mesures techniques propres à empêcher </w:t>
      </w:r>
      <w:r w:rsidR="00271FAC">
        <w:rPr>
          <w:lang w:val="fr-CH"/>
        </w:rPr>
        <w:t xml:space="preserve">le </w:t>
      </w:r>
      <w:r w:rsidR="00D13175">
        <w:rPr>
          <w:lang w:val="fr-CH"/>
        </w:rPr>
        <w:t>pistage illicite</w:t>
      </w:r>
      <w:r w:rsidR="00453B6C" w:rsidRPr="00281FDC">
        <w:rPr>
          <w:lang w:val="fr-CH"/>
        </w:rPr>
        <w:t>, le profilage et le traitement illicite des systèmes,</w:t>
      </w:r>
      <w:r w:rsidR="00D13175">
        <w:rPr>
          <w:lang w:val="fr-CH"/>
        </w:rPr>
        <w:t xml:space="preserve"> des</w:t>
      </w:r>
      <w:r w:rsidR="00453B6C" w:rsidRPr="00281FDC">
        <w:rPr>
          <w:lang w:val="fr-CH"/>
        </w:rPr>
        <w:t xml:space="preserve"> applications, </w:t>
      </w:r>
      <w:r w:rsidR="00D13175">
        <w:rPr>
          <w:lang w:val="fr-CH"/>
        </w:rPr>
        <w:t xml:space="preserve">des </w:t>
      </w:r>
      <w:r w:rsidR="00453B6C" w:rsidRPr="00281FDC">
        <w:rPr>
          <w:lang w:val="fr-CH"/>
        </w:rPr>
        <w:t xml:space="preserve">plates-formes et </w:t>
      </w:r>
      <w:r w:rsidR="00D13175">
        <w:rPr>
          <w:lang w:val="fr-CH"/>
        </w:rPr>
        <w:t xml:space="preserve">des </w:t>
      </w:r>
      <w:r w:rsidR="00453B6C" w:rsidRPr="00281FDC">
        <w:rPr>
          <w:lang w:val="fr-CH"/>
        </w:rPr>
        <w:t xml:space="preserve">services </w:t>
      </w:r>
      <w:r w:rsidR="00D13175">
        <w:rPr>
          <w:lang w:val="fr-CH"/>
        </w:rPr>
        <w:t>IoT</w:t>
      </w:r>
      <w:r w:rsidR="00453B6C" w:rsidRPr="00281FDC">
        <w:rPr>
          <w:lang w:val="fr-CH"/>
        </w:rPr>
        <w:t>.</w:t>
      </w:r>
    </w:p>
    <w:p w:rsidR="00453B6C" w:rsidRPr="00281FDC" w:rsidRDefault="003C5C09" w:rsidP="00D13175">
      <w:pPr>
        <w:pStyle w:val="enumlev1"/>
        <w:rPr>
          <w:lang w:val="fr-CH"/>
        </w:rPr>
      </w:pPr>
      <w:r w:rsidRPr="00281FDC">
        <w:rPr>
          <w:lang w:val="fr-CH"/>
        </w:rPr>
        <w:t>–</w:t>
      </w:r>
      <w:r w:rsidRPr="00281FDC">
        <w:rPr>
          <w:lang w:val="fr-CH"/>
        </w:rPr>
        <w:tab/>
      </w:r>
      <w:r w:rsidR="00843DAE">
        <w:rPr>
          <w:lang w:val="fr-CH"/>
        </w:rPr>
        <w:t>E</w:t>
      </w:r>
      <w:r w:rsidR="00453B6C" w:rsidRPr="00281FDC">
        <w:rPr>
          <w:lang w:val="fr-CH"/>
        </w:rPr>
        <w:t xml:space="preserve">laborer des Recommandations sur les mesures techniques, les protocoles et les systèmes nécessaires pour garantir la protection de la confidentialité dans les applications, </w:t>
      </w:r>
      <w:r w:rsidR="00D13175">
        <w:rPr>
          <w:lang w:val="fr-CH"/>
        </w:rPr>
        <w:t xml:space="preserve">les </w:t>
      </w:r>
      <w:r w:rsidR="00453B6C" w:rsidRPr="00281FDC">
        <w:rPr>
          <w:lang w:val="fr-CH"/>
        </w:rPr>
        <w:t xml:space="preserve">services et </w:t>
      </w:r>
      <w:r w:rsidR="00D13175">
        <w:rPr>
          <w:lang w:val="fr-CH"/>
        </w:rPr>
        <w:t xml:space="preserve">les </w:t>
      </w:r>
      <w:r w:rsidR="00453B6C" w:rsidRPr="00281FDC">
        <w:rPr>
          <w:lang w:val="fr-CH"/>
        </w:rPr>
        <w:t xml:space="preserve">plates-formes </w:t>
      </w:r>
      <w:r w:rsidR="00D13175">
        <w:rPr>
          <w:lang w:val="fr-CH"/>
        </w:rPr>
        <w:t>SC&amp;C</w:t>
      </w:r>
      <w:r w:rsidR="00453B6C" w:rsidRPr="00281FDC">
        <w:rPr>
          <w:lang w:val="fr-CH"/>
        </w:rPr>
        <w:t>.</w:t>
      </w:r>
    </w:p>
    <w:p w:rsidR="00453B6C" w:rsidRPr="00281FDC" w:rsidRDefault="003C5C09" w:rsidP="00271FAC">
      <w:pPr>
        <w:pStyle w:val="enumlev1"/>
        <w:rPr>
          <w:lang w:val="fr-CH"/>
        </w:rPr>
      </w:pPr>
      <w:r w:rsidRPr="00281FDC">
        <w:rPr>
          <w:lang w:val="fr-CH"/>
        </w:rPr>
        <w:t>–</w:t>
      </w:r>
      <w:r w:rsidRPr="00281FDC">
        <w:rPr>
          <w:lang w:val="fr-CH"/>
        </w:rPr>
        <w:tab/>
      </w:r>
      <w:r w:rsidR="00843DAE">
        <w:rPr>
          <w:lang w:val="fr-CH"/>
        </w:rPr>
        <w:t>E</w:t>
      </w:r>
      <w:r w:rsidR="00453B6C" w:rsidRPr="00281FDC">
        <w:rPr>
          <w:lang w:val="fr-CH"/>
        </w:rPr>
        <w:t xml:space="preserve">laborer des lignes directrices sur l'identification des risques potentiels associés aux différentes opérations de gestion, d'administration, de maintenance et de fourniture des services </w:t>
      </w:r>
      <w:r w:rsidR="00D13175">
        <w:rPr>
          <w:lang w:val="fr-CH"/>
        </w:rPr>
        <w:t xml:space="preserve">dans les </w:t>
      </w:r>
      <w:r w:rsidR="00453B6C" w:rsidRPr="00281FDC">
        <w:rPr>
          <w:lang w:val="fr-CH"/>
        </w:rPr>
        <w:t xml:space="preserve">villes et </w:t>
      </w:r>
      <w:r w:rsidR="00D13175">
        <w:rPr>
          <w:lang w:val="fr-CH"/>
        </w:rPr>
        <w:t xml:space="preserve">les </w:t>
      </w:r>
      <w:r w:rsidR="00453B6C" w:rsidRPr="00281FDC">
        <w:rPr>
          <w:lang w:val="fr-CH"/>
        </w:rPr>
        <w:t>communautés intelligentes.</w:t>
      </w:r>
    </w:p>
    <w:p w:rsidR="00453B6C" w:rsidRPr="00281FDC" w:rsidRDefault="003C5C09" w:rsidP="00D13175">
      <w:pPr>
        <w:pStyle w:val="enumlev1"/>
        <w:rPr>
          <w:lang w:val="fr-CH"/>
        </w:rPr>
      </w:pPr>
      <w:r w:rsidRPr="00281FDC">
        <w:rPr>
          <w:lang w:val="fr-CH"/>
        </w:rPr>
        <w:t>–</w:t>
      </w:r>
      <w:r w:rsidRPr="00281FDC">
        <w:rPr>
          <w:lang w:val="fr-CH"/>
        </w:rPr>
        <w:tab/>
      </w:r>
      <w:r w:rsidR="00843DAE">
        <w:rPr>
          <w:lang w:val="fr-CH"/>
        </w:rPr>
        <w:t>E</w:t>
      </w:r>
      <w:r w:rsidR="00453B6C" w:rsidRPr="00281FDC">
        <w:rPr>
          <w:lang w:val="fr-CH"/>
        </w:rPr>
        <w:t xml:space="preserve">laborer des lignes directrices sur la manière d'atténuer les risques associés aux différentes opérations de gestion, d'administration, de maintenance et de fourniture des services </w:t>
      </w:r>
      <w:r w:rsidR="00D13175">
        <w:rPr>
          <w:lang w:val="fr-CH"/>
        </w:rPr>
        <w:t>dans les</w:t>
      </w:r>
      <w:r w:rsidR="00453B6C" w:rsidRPr="00281FDC">
        <w:rPr>
          <w:lang w:val="fr-CH"/>
        </w:rPr>
        <w:t xml:space="preserve"> villes et </w:t>
      </w:r>
      <w:r w:rsidR="00D13175">
        <w:rPr>
          <w:lang w:val="fr-CH"/>
        </w:rPr>
        <w:t xml:space="preserve">les </w:t>
      </w:r>
      <w:r w:rsidR="00453B6C" w:rsidRPr="00281FDC">
        <w:rPr>
          <w:lang w:val="fr-CH"/>
        </w:rPr>
        <w:t>communautés intelligentes.</w:t>
      </w:r>
    </w:p>
    <w:p w:rsidR="007337F0" w:rsidRPr="00281FDC" w:rsidRDefault="003C5C09" w:rsidP="00271FAC">
      <w:pPr>
        <w:pStyle w:val="enumlev1"/>
        <w:rPr>
          <w:lang w:val="fr-CH"/>
        </w:rPr>
      </w:pPr>
      <w:r w:rsidRPr="00281FDC">
        <w:rPr>
          <w:lang w:val="fr-CH"/>
        </w:rPr>
        <w:lastRenderedPageBreak/>
        <w:t>–</w:t>
      </w:r>
      <w:r w:rsidRPr="00281FDC">
        <w:rPr>
          <w:lang w:val="fr-CH"/>
        </w:rPr>
        <w:tab/>
      </w:r>
      <w:r w:rsidR="00843DAE">
        <w:rPr>
          <w:lang w:val="fr-CH"/>
        </w:rPr>
        <w:t>E</w:t>
      </w:r>
      <w:r w:rsidR="007337F0" w:rsidRPr="00281FDC">
        <w:rPr>
          <w:lang w:val="fr-CH"/>
        </w:rPr>
        <w:t xml:space="preserve">laborer des Recommandations sur les solutions permettant de garantir la disponibilité et la portabilité des données dans les plates-formes, </w:t>
      </w:r>
      <w:r w:rsidR="00D13175">
        <w:rPr>
          <w:lang w:val="fr-CH"/>
        </w:rPr>
        <w:t xml:space="preserve">les </w:t>
      </w:r>
      <w:r w:rsidR="007337F0" w:rsidRPr="00281FDC">
        <w:rPr>
          <w:lang w:val="fr-CH"/>
        </w:rPr>
        <w:t xml:space="preserve">systèmes et </w:t>
      </w:r>
      <w:r w:rsidR="00D13175">
        <w:rPr>
          <w:lang w:val="fr-CH"/>
        </w:rPr>
        <w:t xml:space="preserve">les </w:t>
      </w:r>
      <w:r w:rsidR="007337F0" w:rsidRPr="00281FDC">
        <w:rPr>
          <w:lang w:val="fr-CH"/>
        </w:rPr>
        <w:t xml:space="preserve">services </w:t>
      </w:r>
      <w:r w:rsidR="00D13175">
        <w:rPr>
          <w:lang w:val="fr-CH"/>
        </w:rPr>
        <w:t>IoT</w:t>
      </w:r>
      <w:r w:rsidR="007337F0" w:rsidRPr="00281FDC">
        <w:rPr>
          <w:lang w:val="fr-CH"/>
        </w:rPr>
        <w:t xml:space="preserve"> et </w:t>
      </w:r>
      <w:r w:rsidR="00D13175">
        <w:rPr>
          <w:lang w:val="fr-CH"/>
        </w:rPr>
        <w:t>SC&amp;C</w:t>
      </w:r>
      <w:r w:rsidR="007337F0" w:rsidRPr="00281FDC">
        <w:rPr>
          <w:lang w:val="fr-CH"/>
        </w:rPr>
        <w:t>.</w:t>
      </w:r>
    </w:p>
    <w:p w:rsidR="006A64FB" w:rsidRPr="00281FDC" w:rsidRDefault="003C5C09" w:rsidP="00843DAE">
      <w:pPr>
        <w:pStyle w:val="enumlev1"/>
        <w:rPr>
          <w:lang w:val="fr-CH"/>
        </w:rPr>
      </w:pPr>
      <w:r w:rsidRPr="00281FDC">
        <w:rPr>
          <w:lang w:val="fr-CH"/>
        </w:rPr>
        <w:t>–</w:t>
      </w:r>
      <w:r w:rsidRPr="00281FDC">
        <w:rPr>
          <w:lang w:val="fr-CH"/>
        </w:rPr>
        <w:tab/>
      </w:r>
      <w:r w:rsidR="00843DAE">
        <w:rPr>
          <w:lang w:val="fr-CH"/>
        </w:rPr>
        <w:t>E</w:t>
      </w:r>
      <w:r w:rsidR="006A64FB" w:rsidRPr="00281FDC">
        <w:rPr>
          <w:lang w:val="fr-CH"/>
        </w:rPr>
        <w:t xml:space="preserve">laborer des Recommandations sur l'utilisation du nommage et de l'identification dans le cadre du déploiement de l'Internet des objets et des </w:t>
      </w:r>
      <w:r w:rsidR="00D13175">
        <w:rPr>
          <w:lang w:val="fr-CH"/>
        </w:rPr>
        <w:t xml:space="preserve">villes et </w:t>
      </w:r>
      <w:r w:rsidR="00C0530C">
        <w:rPr>
          <w:lang w:val="fr-CH"/>
        </w:rPr>
        <w:t xml:space="preserve">des </w:t>
      </w:r>
      <w:r w:rsidR="006A64FB" w:rsidRPr="00281FDC">
        <w:rPr>
          <w:lang w:val="fr-CH"/>
        </w:rPr>
        <w:t>communautés intelligentes.</w:t>
      </w:r>
    </w:p>
    <w:p w:rsidR="006A64FB" w:rsidRPr="00281FDC" w:rsidRDefault="003C5C09" w:rsidP="0039616F">
      <w:pPr>
        <w:pStyle w:val="enumlev1"/>
        <w:rPr>
          <w:lang w:val="fr-CH"/>
        </w:rPr>
      </w:pPr>
      <w:r w:rsidRPr="00281FDC">
        <w:rPr>
          <w:lang w:val="fr-CH"/>
        </w:rPr>
        <w:t>–</w:t>
      </w:r>
      <w:r w:rsidRPr="00281FDC">
        <w:rPr>
          <w:lang w:val="fr-CH"/>
        </w:rPr>
        <w:tab/>
      </w:r>
      <w:r w:rsidR="00843DAE">
        <w:rPr>
          <w:lang w:val="fr-CH"/>
        </w:rPr>
        <w:t>E</w:t>
      </w:r>
      <w:r w:rsidR="006A64FB" w:rsidRPr="00281FDC">
        <w:rPr>
          <w:lang w:val="fr-CH"/>
        </w:rPr>
        <w:t>laborer des Recommandations sur la découverte d'identité dans l'Internet des objets.</w:t>
      </w:r>
    </w:p>
    <w:p w:rsidR="003C5C09" w:rsidRPr="00281FDC" w:rsidRDefault="003C5C09" w:rsidP="00843DAE">
      <w:pPr>
        <w:pStyle w:val="enumlev1"/>
        <w:rPr>
          <w:lang w:val="fr-CH"/>
        </w:rPr>
      </w:pPr>
      <w:r w:rsidRPr="00281FDC">
        <w:rPr>
          <w:lang w:val="fr-CH"/>
        </w:rPr>
        <w:t>–</w:t>
      </w:r>
      <w:r w:rsidRPr="00281FDC">
        <w:rPr>
          <w:lang w:val="fr-CH"/>
        </w:rPr>
        <w:tab/>
      </w:r>
      <w:r w:rsidR="00843DAE">
        <w:rPr>
          <w:lang w:val="fr-CH"/>
        </w:rPr>
        <w:t>E</w:t>
      </w:r>
      <w:r w:rsidR="006A64FB" w:rsidRPr="00281FDC">
        <w:rPr>
          <w:lang w:val="fr-CH"/>
        </w:rPr>
        <w:t>laborer des Recommandations sur la gestion de l'identité dans l'Internet des objets</w:t>
      </w:r>
      <w:r w:rsidRPr="00281FDC">
        <w:rPr>
          <w:lang w:val="fr-CH"/>
        </w:rPr>
        <w:t>.</w:t>
      </w:r>
    </w:p>
    <w:p w:rsidR="006A64FB" w:rsidRPr="00281FDC" w:rsidRDefault="003C5C09" w:rsidP="00D13175">
      <w:pPr>
        <w:pStyle w:val="enumlev1"/>
        <w:rPr>
          <w:lang w:val="fr-CH"/>
        </w:rPr>
      </w:pPr>
      <w:r w:rsidRPr="00281FDC">
        <w:rPr>
          <w:lang w:val="fr-CH"/>
        </w:rPr>
        <w:t>–</w:t>
      </w:r>
      <w:r w:rsidRPr="00281FDC">
        <w:rPr>
          <w:lang w:val="fr-CH"/>
        </w:rPr>
        <w:tab/>
      </w:r>
      <w:r w:rsidR="00843DAE">
        <w:rPr>
          <w:lang w:val="fr-CH"/>
        </w:rPr>
        <w:t>E</w:t>
      </w:r>
      <w:r w:rsidR="006A64FB" w:rsidRPr="00281FDC">
        <w:rPr>
          <w:lang w:val="fr-CH"/>
        </w:rPr>
        <w:t xml:space="preserve">laborer des </w:t>
      </w:r>
      <w:r w:rsidR="00D13175" w:rsidRPr="00281FDC">
        <w:rPr>
          <w:lang w:val="fr-CH"/>
        </w:rPr>
        <w:t>R</w:t>
      </w:r>
      <w:r w:rsidR="006A64FB" w:rsidRPr="00281FDC">
        <w:rPr>
          <w:lang w:val="fr-CH"/>
        </w:rPr>
        <w:t xml:space="preserve">ecommandations sur le nommage </w:t>
      </w:r>
      <w:r w:rsidR="00D13175">
        <w:rPr>
          <w:lang w:val="fr-CH"/>
        </w:rPr>
        <w:t xml:space="preserve">et </w:t>
      </w:r>
      <w:r w:rsidR="006A64FB" w:rsidRPr="00281FDC">
        <w:rPr>
          <w:lang w:val="fr-CH"/>
        </w:rPr>
        <w:t xml:space="preserve">l'adressage dans les applications et </w:t>
      </w:r>
      <w:r w:rsidR="00D13175">
        <w:rPr>
          <w:lang w:val="fr-CH"/>
        </w:rPr>
        <w:t xml:space="preserve">les </w:t>
      </w:r>
      <w:r w:rsidR="006A64FB" w:rsidRPr="00281FDC">
        <w:rPr>
          <w:lang w:val="fr-CH"/>
        </w:rPr>
        <w:t xml:space="preserve">services </w:t>
      </w:r>
      <w:r w:rsidR="00D13175">
        <w:rPr>
          <w:lang w:val="fr-CH"/>
        </w:rPr>
        <w:t>IoT/SC&amp;C</w:t>
      </w:r>
      <w:r w:rsidR="006A64FB" w:rsidRPr="00281FDC">
        <w:rPr>
          <w:lang w:val="fr-CH"/>
        </w:rPr>
        <w:t>.</w:t>
      </w:r>
    </w:p>
    <w:p w:rsidR="006A64FB" w:rsidRPr="00281FDC" w:rsidRDefault="003C5C09" w:rsidP="00D13175">
      <w:pPr>
        <w:pStyle w:val="enumlev1"/>
        <w:rPr>
          <w:lang w:val="fr-CH"/>
        </w:rPr>
      </w:pPr>
      <w:r w:rsidRPr="00281FDC">
        <w:rPr>
          <w:lang w:val="fr-CH"/>
        </w:rPr>
        <w:t>–</w:t>
      </w:r>
      <w:r w:rsidRPr="00281FDC">
        <w:rPr>
          <w:lang w:val="fr-CH"/>
        </w:rPr>
        <w:tab/>
      </w:r>
      <w:r w:rsidR="00696254" w:rsidRPr="00281FDC">
        <w:rPr>
          <w:lang w:val="fr-CH"/>
        </w:rPr>
        <w:t xml:space="preserve">Assurer à intervalles réguliers </w:t>
      </w:r>
      <w:r w:rsidR="00D13175" w:rsidRPr="00281FDC">
        <w:rPr>
          <w:lang w:val="fr-CH"/>
        </w:rPr>
        <w:t xml:space="preserve">la coordination </w:t>
      </w:r>
      <w:r w:rsidR="00696254" w:rsidRPr="00281FDC">
        <w:rPr>
          <w:lang w:val="fr-CH"/>
        </w:rPr>
        <w:t>avec les a</w:t>
      </w:r>
      <w:r w:rsidR="00D13175">
        <w:rPr>
          <w:lang w:val="fr-CH"/>
        </w:rPr>
        <w:t xml:space="preserve">utres commissions d'études et des </w:t>
      </w:r>
      <w:r w:rsidR="00696254" w:rsidRPr="00281FDC">
        <w:rPr>
          <w:lang w:val="fr-CH"/>
        </w:rPr>
        <w:t>autres organisations de normalisation, ainsi qu'avec d'autres institutions des Nations Unies</w:t>
      </w:r>
      <w:r w:rsidR="00D13175">
        <w:rPr>
          <w:lang w:val="fr-CH"/>
        </w:rPr>
        <w:t>,</w:t>
      </w:r>
      <w:r w:rsidR="00696254" w:rsidRPr="00281FDC">
        <w:rPr>
          <w:lang w:val="fr-CH"/>
        </w:rPr>
        <w:t xml:space="preserve"> afin de </w:t>
      </w:r>
      <w:r w:rsidR="00D13175">
        <w:rPr>
          <w:lang w:val="fr-CH"/>
        </w:rPr>
        <w:t>permettre</w:t>
      </w:r>
      <w:r w:rsidR="00696254" w:rsidRPr="00281FDC">
        <w:rPr>
          <w:lang w:val="fr-CH"/>
        </w:rPr>
        <w:t xml:space="preserve"> une collaboration efficace</w:t>
      </w:r>
      <w:r w:rsidR="00271FAC">
        <w:rPr>
          <w:lang w:val="fr-CH"/>
        </w:rPr>
        <w:t>.</w:t>
      </w:r>
    </w:p>
    <w:p w:rsidR="003C5C09" w:rsidRPr="00281FDC" w:rsidRDefault="003C5C09" w:rsidP="00D242F9">
      <w:pPr>
        <w:pStyle w:val="Heading1"/>
        <w:rPr>
          <w:lang w:val="fr-CH"/>
        </w:rPr>
      </w:pPr>
      <w:r w:rsidRPr="00281FDC">
        <w:rPr>
          <w:lang w:val="fr-CH"/>
        </w:rPr>
        <w:t>4</w:t>
      </w:r>
      <w:r w:rsidRPr="00281FDC">
        <w:rPr>
          <w:lang w:val="fr-CH"/>
        </w:rPr>
        <w:tab/>
      </w:r>
      <w:r w:rsidRPr="00281FDC">
        <w:rPr>
          <w:rStyle w:val="Strong"/>
          <w:b/>
          <w:bCs w:val="0"/>
          <w:lang w:val="fr-CH"/>
        </w:rPr>
        <w:t>Relations</w:t>
      </w:r>
    </w:p>
    <w:p w:rsidR="003C5C09" w:rsidRPr="00E42568" w:rsidRDefault="00181B08" w:rsidP="00281FDC">
      <w:pPr>
        <w:pStyle w:val="Headingb"/>
        <w:rPr>
          <w:rFonts w:asciiTheme="majorBidi" w:hAnsiTheme="majorBidi" w:cstheme="majorBidi"/>
          <w:szCs w:val="24"/>
        </w:rPr>
      </w:pPr>
      <w:r>
        <w:t>Recomma</w:t>
      </w:r>
      <w:r w:rsidR="003C5C09" w:rsidRPr="003C5C09">
        <w:t>ndations:</w:t>
      </w:r>
    </w:p>
    <w:p w:rsidR="007F00D7" w:rsidRPr="00281FDC" w:rsidRDefault="003C5C09" w:rsidP="00281FDC">
      <w:pPr>
        <w:pStyle w:val="enumlev1"/>
        <w:rPr>
          <w:lang w:val="fr-CH"/>
        </w:rPr>
      </w:pPr>
      <w:r w:rsidRPr="00281FDC">
        <w:rPr>
          <w:lang w:val="fr-CH"/>
        </w:rPr>
        <w:t>–</w:t>
      </w:r>
      <w:r w:rsidRPr="00281FDC">
        <w:rPr>
          <w:lang w:val="fr-CH"/>
        </w:rPr>
        <w:tab/>
      </w:r>
      <w:r w:rsidR="007F00D7" w:rsidRPr="00281FDC">
        <w:rPr>
          <w:lang w:val="fr-CH"/>
        </w:rPr>
        <w:t>Recommandations UIT-T de la série Y et autre Recommandations relative</w:t>
      </w:r>
      <w:r w:rsidR="007834BD">
        <w:rPr>
          <w:lang w:val="fr-CH"/>
        </w:rPr>
        <w:t>s</w:t>
      </w:r>
      <w:r w:rsidR="007F00D7" w:rsidRPr="00281FDC">
        <w:rPr>
          <w:lang w:val="fr-CH"/>
        </w:rPr>
        <w:t xml:space="preserve"> à la sécurité, à la confidentialité, à la confiance et à l'identification.</w:t>
      </w:r>
    </w:p>
    <w:p w:rsidR="003C5C09" w:rsidRPr="00E42568" w:rsidRDefault="003C5C09" w:rsidP="00281FDC">
      <w:pPr>
        <w:pStyle w:val="Headingb"/>
        <w:rPr>
          <w:rFonts w:asciiTheme="majorBidi" w:hAnsiTheme="majorBidi" w:cstheme="majorBidi"/>
          <w:szCs w:val="24"/>
        </w:rPr>
      </w:pPr>
      <w:r w:rsidRPr="003C5C09">
        <w:t>Questions:</w:t>
      </w:r>
    </w:p>
    <w:p w:rsidR="003C5C09" w:rsidRPr="00281FDC" w:rsidRDefault="003C5C09" w:rsidP="00281FDC">
      <w:pPr>
        <w:pStyle w:val="enumlev1"/>
        <w:rPr>
          <w:lang w:val="fr-CH"/>
        </w:rPr>
      </w:pPr>
      <w:r w:rsidRPr="00281FDC">
        <w:rPr>
          <w:lang w:val="fr-CH"/>
        </w:rPr>
        <w:t>–</w:t>
      </w:r>
      <w:r w:rsidRPr="00281FDC">
        <w:rPr>
          <w:lang w:val="fr-CH"/>
        </w:rPr>
        <w:tab/>
      </w:r>
      <w:r w:rsidR="007F00D7" w:rsidRPr="00281FDC">
        <w:rPr>
          <w:lang w:val="fr-CH"/>
        </w:rPr>
        <w:t>Toutes les Questions confiées à la CE 20</w:t>
      </w:r>
    </w:p>
    <w:p w:rsidR="003C5C09" w:rsidRPr="003C5C09" w:rsidRDefault="00181B08" w:rsidP="00281FDC">
      <w:pPr>
        <w:pStyle w:val="Headingb"/>
      </w:pPr>
      <w:r w:rsidRPr="00E703AF">
        <w:t>Commissions d'études:</w:t>
      </w:r>
    </w:p>
    <w:p w:rsidR="003C5C09" w:rsidRPr="00181B08" w:rsidRDefault="003C5C09" w:rsidP="00281FDC">
      <w:pPr>
        <w:pStyle w:val="enumlev1"/>
        <w:keepNext/>
        <w:keepLines/>
        <w:rPr>
          <w:lang w:val="fr-CH"/>
        </w:rPr>
      </w:pPr>
      <w:r w:rsidRPr="00181B08">
        <w:rPr>
          <w:lang w:val="fr-CH"/>
        </w:rPr>
        <w:t>–</w:t>
      </w:r>
      <w:r w:rsidRPr="00181B08">
        <w:rPr>
          <w:lang w:val="fr-CH"/>
        </w:rPr>
        <w:tab/>
      </w:r>
      <w:r w:rsidR="00181B08" w:rsidRPr="00E67978">
        <w:rPr>
          <w:lang w:val="fr-CH"/>
        </w:rPr>
        <w:t>Commissions d</w:t>
      </w:r>
      <w:r w:rsidR="00181B08">
        <w:rPr>
          <w:lang w:val="fr-CH"/>
        </w:rPr>
        <w:t>'</w:t>
      </w:r>
      <w:r w:rsidR="00181B08" w:rsidRPr="00E67978">
        <w:rPr>
          <w:lang w:val="fr-CH"/>
        </w:rPr>
        <w:t>études de l</w:t>
      </w:r>
      <w:r w:rsidR="00181B08">
        <w:rPr>
          <w:lang w:val="fr-CH"/>
        </w:rPr>
        <w:t>'</w:t>
      </w:r>
      <w:r w:rsidR="00181B08" w:rsidRPr="00E67978">
        <w:rPr>
          <w:lang w:val="fr-CH"/>
        </w:rPr>
        <w:t>UIT</w:t>
      </w:r>
      <w:r w:rsidR="00181B08">
        <w:rPr>
          <w:lang w:val="fr-CH"/>
        </w:rPr>
        <w:noBreakHyphen/>
      </w:r>
      <w:r w:rsidR="00181B08" w:rsidRPr="00E67978">
        <w:rPr>
          <w:lang w:val="fr-CH"/>
        </w:rPr>
        <w:t>T (par exemple compte tenu</w:t>
      </w:r>
      <w:r w:rsidR="00181B08">
        <w:rPr>
          <w:lang w:val="fr-CH"/>
        </w:rPr>
        <w:t xml:space="preserve"> de leur rôle en tant que commissions d'études directrices), commissions d'études de l'UIT</w:t>
      </w:r>
      <w:r w:rsidR="00181B08">
        <w:rPr>
          <w:lang w:val="fr-CH"/>
        </w:rPr>
        <w:noBreakHyphen/>
        <w:t>D et de l'UIT</w:t>
      </w:r>
      <w:r w:rsidR="00181B08">
        <w:rPr>
          <w:lang w:val="fr-CH"/>
        </w:rPr>
        <w:noBreakHyphen/>
        <w:t>R, le cas échéant</w:t>
      </w:r>
    </w:p>
    <w:p w:rsidR="003C5C09" w:rsidRPr="00281FDC" w:rsidRDefault="003C5C09" w:rsidP="00281FDC">
      <w:pPr>
        <w:pStyle w:val="Headingb"/>
        <w:rPr>
          <w:lang w:val="en-US"/>
        </w:rPr>
      </w:pPr>
      <w:r w:rsidRPr="00281FDC">
        <w:rPr>
          <w:lang w:val="en-US"/>
        </w:rPr>
        <w:t>Other bodies:</w:t>
      </w:r>
    </w:p>
    <w:p w:rsidR="003C5C09" w:rsidRPr="00E42568" w:rsidRDefault="007834BD" w:rsidP="00281FDC">
      <w:pPr>
        <w:pStyle w:val="enumlev1"/>
      </w:pPr>
      <w:r>
        <w:t>–</w:t>
      </w:r>
      <w:r>
        <w:tab/>
        <w:t>ISO/CEI</w:t>
      </w:r>
      <w:r w:rsidR="003C5C09" w:rsidRPr="00E42568">
        <w:t xml:space="preserve"> JCT 1 </w:t>
      </w:r>
    </w:p>
    <w:p w:rsidR="003C5C09" w:rsidRPr="00281FDC" w:rsidRDefault="003C5C09" w:rsidP="00281FDC">
      <w:pPr>
        <w:pStyle w:val="enumlev1"/>
        <w:rPr>
          <w:lang w:val="fr-CH"/>
        </w:rPr>
      </w:pPr>
      <w:r w:rsidRPr="00281FDC">
        <w:rPr>
          <w:lang w:val="fr-CH"/>
        </w:rPr>
        <w:t>–</w:t>
      </w:r>
      <w:r w:rsidRPr="00281FDC">
        <w:rPr>
          <w:lang w:val="fr-CH"/>
        </w:rPr>
        <w:tab/>
      </w:r>
      <w:r w:rsidR="007F00D7" w:rsidRPr="00281FDC">
        <w:rPr>
          <w:lang w:val="fr-CH"/>
        </w:rPr>
        <w:t xml:space="preserve">Fondation </w:t>
      </w:r>
      <w:r w:rsidRPr="00281FDC">
        <w:rPr>
          <w:lang w:val="fr-CH"/>
        </w:rPr>
        <w:t xml:space="preserve">DONA </w:t>
      </w:r>
    </w:p>
    <w:p w:rsidR="003C5C09" w:rsidRPr="00281FDC" w:rsidRDefault="003C5C09" w:rsidP="00281FDC">
      <w:pPr>
        <w:pStyle w:val="enumlev1"/>
        <w:rPr>
          <w:lang w:val="fr-CH"/>
        </w:rPr>
      </w:pPr>
      <w:r w:rsidRPr="00281FDC">
        <w:rPr>
          <w:lang w:val="fr-CH"/>
        </w:rPr>
        <w:t>–</w:t>
      </w:r>
      <w:r w:rsidRPr="00281FDC">
        <w:rPr>
          <w:lang w:val="fr-CH"/>
        </w:rPr>
        <w:tab/>
        <w:t>ETF</w:t>
      </w:r>
    </w:p>
    <w:p w:rsidR="003C5C09" w:rsidRPr="00281FDC" w:rsidRDefault="003C5C09" w:rsidP="00281FDC">
      <w:pPr>
        <w:pStyle w:val="enumlev1"/>
        <w:rPr>
          <w:lang w:val="fr-CH"/>
        </w:rPr>
      </w:pPr>
      <w:r w:rsidRPr="00281FDC">
        <w:rPr>
          <w:lang w:val="fr-CH"/>
        </w:rPr>
        <w:t>–</w:t>
      </w:r>
      <w:r w:rsidRPr="00281FDC">
        <w:rPr>
          <w:lang w:val="fr-CH"/>
        </w:rPr>
        <w:tab/>
        <w:t>OASIS</w:t>
      </w:r>
    </w:p>
    <w:p w:rsidR="003C5C09" w:rsidRPr="00281FDC" w:rsidRDefault="003C5C09" w:rsidP="00281FDC">
      <w:pPr>
        <w:rPr>
          <w:lang w:val="fr-CH"/>
        </w:rPr>
      </w:pPr>
      <w:r w:rsidRPr="00281FDC">
        <w:rPr>
          <w:lang w:val="fr-CH"/>
        </w:rPr>
        <w:t>–</w:t>
      </w:r>
      <w:r w:rsidRPr="00281FDC">
        <w:rPr>
          <w:lang w:val="fr-CH"/>
        </w:rPr>
        <w:tab/>
        <w:t>OneM2M</w:t>
      </w:r>
    </w:p>
    <w:p w:rsidR="008D3C60" w:rsidRDefault="008D3C60" w:rsidP="00281FDC">
      <w:pPr>
        <w:pStyle w:val="Reasons"/>
        <w:rPr>
          <w:b/>
          <w:lang w:val="fr-CH"/>
        </w:rPr>
      </w:pPr>
    </w:p>
    <w:p w:rsidR="00181B08" w:rsidRPr="00281FDC" w:rsidRDefault="00181B08" w:rsidP="00281FDC">
      <w:pPr>
        <w:pStyle w:val="Heading1"/>
        <w:rPr>
          <w:lang w:val="fr-CH"/>
        </w:rPr>
      </w:pPr>
      <w:r w:rsidRPr="00281FDC">
        <w:rPr>
          <w:lang w:val="fr-CH"/>
        </w:rPr>
        <w:t>2</w:t>
      </w:r>
      <w:r w:rsidRPr="00281FDC">
        <w:rPr>
          <w:lang w:val="fr-CH"/>
        </w:rPr>
        <w:tab/>
      </w:r>
      <w:r w:rsidR="007F00D7" w:rsidRPr="00281FDC">
        <w:rPr>
          <w:lang w:val="fr-CH"/>
        </w:rPr>
        <w:t>Proposition de modification de la structure de la CE 20</w:t>
      </w:r>
    </w:p>
    <w:p w:rsidR="008D3C60" w:rsidRDefault="008A41C7" w:rsidP="00281FDC">
      <w:pPr>
        <w:pStyle w:val="Proposal"/>
        <w:rPr>
          <w:lang w:val="fr-CH"/>
        </w:rPr>
      </w:pPr>
      <w:r w:rsidRPr="00281FDC">
        <w:rPr>
          <w:lang w:val="fr-CH"/>
        </w:rPr>
        <w:tab/>
      </w:r>
      <w:r w:rsidRPr="00E14DA2">
        <w:rPr>
          <w:lang w:val="fr-CH"/>
        </w:rPr>
        <w:t>ARB/43A32/3</w:t>
      </w:r>
    </w:p>
    <w:p w:rsidR="007F00D7" w:rsidRPr="00281FDC" w:rsidRDefault="007F00D7" w:rsidP="00271FAC">
      <w:pPr>
        <w:rPr>
          <w:lang w:val="fr-CH"/>
        </w:rPr>
      </w:pPr>
      <w:r w:rsidRPr="00281FDC">
        <w:rPr>
          <w:lang w:val="fr-CH"/>
        </w:rPr>
        <w:t>Au cours de la période d'études, la CE 20 a tenu trois réunions, qui ont rassemblé de nombreux participants.</w:t>
      </w:r>
      <w:r w:rsidR="0076311C" w:rsidRPr="00281FDC">
        <w:rPr>
          <w:lang w:val="fr-CH"/>
        </w:rPr>
        <w:t xml:space="preserve"> Les travaux menés par la </w:t>
      </w:r>
      <w:r w:rsidR="00271FAC">
        <w:rPr>
          <w:lang w:val="fr-CH"/>
        </w:rPr>
        <w:t xml:space="preserve">Commission </w:t>
      </w:r>
      <w:r w:rsidR="0076311C" w:rsidRPr="00281FDC">
        <w:rPr>
          <w:lang w:val="fr-CH"/>
        </w:rPr>
        <w:t xml:space="preserve">ont </w:t>
      </w:r>
      <w:r w:rsidR="007834BD">
        <w:rPr>
          <w:lang w:val="fr-CH"/>
        </w:rPr>
        <w:t xml:space="preserve">abouti à de nombreux résultats; </w:t>
      </w:r>
      <w:r w:rsidR="00271FAC">
        <w:rPr>
          <w:lang w:val="fr-CH"/>
        </w:rPr>
        <w:t>314 </w:t>
      </w:r>
      <w:r w:rsidR="0076311C" w:rsidRPr="00281FDC">
        <w:rPr>
          <w:lang w:val="fr-CH"/>
        </w:rPr>
        <w:t xml:space="preserve">contributions </w:t>
      </w:r>
      <w:r w:rsidR="007834BD">
        <w:rPr>
          <w:lang w:val="fr-CH"/>
        </w:rPr>
        <w:t xml:space="preserve">ont été </w:t>
      </w:r>
      <w:r w:rsidR="0076311C" w:rsidRPr="00281FDC">
        <w:rPr>
          <w:lang w:val="fr-CH"/>
        </w:rPr>
        <w:t>reçues</w:t>
      </w:r>
      <w:r w:rsidR="007834BD">
        <w:rPr>
          <w:lang w:val="fr-CH"/>
        </w:rPr>
        <w:t>,</w:t>
      </w:r>
      <w:r w:rsidR="0076311C" w:rsidRPr="00281FDC">
        <w:rPr>
          <w:lang w:val="fr-CH"/>
        </w:rPr>
        <w:t xml:space="preserve"> </w:t>
      </w:r>
      <w:r w:rsidR="007834BD">
        <w:rPr>
          <w:lang w:val="fr-CH"/>
        </w:rPr>
        <w:t>p</w:t>
      </w:r>
      <w:r w:rsidR="0076311C" w:rsidRPr="00281FDC">
        <w:rPr>
          <w:lang w:val="fr-CH"/>
        </w:rPr>
        <w:t xml:space="preserve">lusieurs </w:t>
      </w:r>
      <w:r w:rsidR="007834BD">
        <w:rPr>
          <w:lang w:val="fr-CH"/>
        </w:rPr>
        <w:t>thèmes</w:t>
      </w:r>
      <w:r w:rsidR="0076311C" w:rsidRPr="00281FDC">
        <w:rPr>
          <w:lang w:val="fr-CH"/>
        </w:rPr>
        <w:t xml:space="preserve"> de travail ont été </w:t>
      </w:r>
      <w:r w:rsidR="007834BD">
        <w:rPr>
          <w:lang w:val="fr-CH"/>
        </w:rPr>
        <w:t>définis</w:t>
      </w:r>
      <w:r w:rsidR="0076311C" w:rsidRPr="00281FDC">
        <w:rPr>
          <w:lang w:val="fr-CH"/>
        </w:rPr>
        <w:t xml:space="preserve"> et un certain nombre de Recommandations ont été approuvées.</w:t>
      </w:r>
    </w:p>
    <w:p w:rsidR="0076311C" w:rsidRPr="00281FDC" w:rsidRDefault="0076311C" w:rsidP="00E061DE">
      <w:pPr>
        <w:rPr>
          <w:lang w:val="fr-CH"/>
        </w:rPr>
      </w:pPr>
      <w:r w:rsidRPr="00281FDC">
        <w:rPr>
          <w:lang w:val="fr-CH"/>
        </w:rPr>
        <w:t>Par ailleurs, en raison du risque de chevauchement entre les travaux des GT 1/20 (Internet des objets) et 2/20 (</w:t>
      </w:r>
      <w:r w:rsidR="007834BD" w:rsidRPr="00281FDC">
        <w:rPr>
          <w:lang w:val="fr-CH"/>
        </w:rPr>
        <w:t>V</w:t>
      </w:r>
      <w:r w:rsidRPr="00281FDC">
        <w:rPr>
          <w:lang w:val="fr-CH"/>
        </w:rPr>
        <w:t>illes et communautés intelligentes) de la CE 20</w:t>
      </w:r>
      <w:r w:rsidR="007834BD">
        <w:rPr>
          <w:lang w:val="fr-CH"/>
        </w:rPr>
        <w:t>, un</w:t>
      </w:r>
      <w:r w:rsidRPr="00281FDC">
        <w:rPr>
          <w:lang w:val="fr-CH"/>
        </w:rPr>
        <w:t xml:space="preserve"> certain nombre de réunions conjointes ont été organisées</w:t>
      </w:r>
      <w:r w:rsidR="007834BD">
        <w:rPr>
          <w:lang w:val="fr-CH"/>
        </w:rPr>
        <w:t>,</w:t>
      </w:r>
      <w:r w:rsidRPr="00281FDC">
        <w:rPr>
          <w:lang w:val="fr-CH"/>
        </w:rPr>
        <w:t xml:space="preserve"> étant donné que les </w:t>
      </w:r>
      <w:r w:rsidR="007834BD">
        <w:rPr>
          <w:lang w:val="fr-CH"/>
        </w:rPr>
        <w:t>thèmes abordés</w:t>
      </w:r>
      <w:r w:rsidRPr="00281FDC">
        <w:rPr>
          <w:lang w:val="fr-CH"/>
        </w:rPr>
        <w:t xml:space="preserve"> et/ou les contributions se </w:t>
      </w:r>
      <w:r w:rsidR="007834BD">
        <w:rPr>
          <w:lang w:val="fr-CH"/>
        </w:rPr>
        <w:lastRenderedPageBreak/>
        <w:t>rapportaient</w:t>
      </w:r>
      <w:r w:rsidRPr="00281FDC">
        <w:rPr>
          <w:lang w:val="fr-CH"/>
        </w:rPr>
        <w:t xml:space="preserve"> à plusieurs Questions. Par conséquent, les auteurs de la présente contribution proposent de revoir et de réorganiser la structure de la CE 20</w:t>
      </w:r>
      <w:r w:rsidR="007834BD">
        <w:rPr>
          <w:lang w:val="fr-CH"/>
        </w:rPr>
        <w:t>,</w:t>
      </w:r>
      <w:r w:rsidRPr="00281FDC">
        <w:rPr>
          <w:lang w:val="fr-CH"/>
        </w:rPr>
        <w:t xml:space="preserve"> étant donné que </w:t>
      </w:r>
      <w:r w:rsidR="00414503" w:rsidRPr="00281FDC">
        <w:rPr>
          <w:lang w:val="fr-CH"/>
        </w:rPr>
        <w:t>la CE 20 conservera ses attributions et poursuivr</w:t>
      </w:r>
      <w:r w:rsidR="007834BD">
        <w:rPr>
          <w:lang w:val="fr-CH"/>
        </w:rPr>
        <w:t>a</w:t>
      </w:r>
      <w:r w:rsidR="00414503" w:rsidRPr="00281FDC">
        <w:rPr>
          <w:lang w:val="fr-CH"/>
        </w:rPr>
        <w:t xml:space="preserve"> les travaux entamés au cours de la période d'études précédente, comme indiqué dans le tableau suivant.</w:t>
      </w:r>
    </w:p>
    <w:p w:rsidR="00181B08" w:rsidRPr="00443255" w:rsidRDefault="003A6A97" w:rsidP="00281FDC">
      <w:pPr>
        <w:pStyle w:val="Tabletitle"/>
        <w:spacing w:before="240"/>
        <w:rPr>
          <w:rFonts w:ascii="Times New Roman" w:hAnsi="Times New Roman"/>
          <w:sz w:val="24"/>
          <w:szCs w:val="24"/>
          <w:lang w:val="fr-CH"/>
        </w:rPr>
      </w:pPr>
      <w:r w:rsidRPr="00443255">
        <w:rPr>
          <w:rFonts w:ascii="Times New Roman" w:hAnsi="Times New Roman"/>
          <w:sz w:val="24"/>
          <w:szCs w:val="24"/>
          <w:lang w:val="fr-CH"/>
        </w:rPr>
        <w:t>Proposition de modification de la structure de la Commission d'études 20 de l'UIT-T</w:t>
      </w:r>
    </w:p>
    <w:tbl>
      <w:tblPr>
        <w:tblStyle w:val="TableGrid"/>
        <w:tblW w:w="0" w:type="auto"/>
        <w:tblLook w:val="04A0" w:firstRow="1" w:lastRow="0" w:firstColumn="1" w:lastColumn="0" w:noHBand="0" w:noVBand="1"/>
      </w:tblPr>
      <w:tblGrid>
        <w:gridCol w:w="2795"/>
        <w:gridCol w:w="6555"/>
      </w:tblGrid>
      <w:tr w:rsidR="00181B08" w:rsidRPr="00443255" w:rsidTr="0039616F">
        <w:tc>
          <w:tcPr>
            <w:tcW w:w="2795" w:type="dxa"/>
          </w:tcPr>
          <w:p w:rsidR="00181B08" w:rsidRPr="00443255" w:rsidRDefault="00181B08" w:rsidP="007834BD">
            <w:pPr>
              <w:pStyle w:val="Tablehead"/>
              <w:rPr>
                <w:sz w:val="24"/>
                <w:szCs w:val="24"/>
                <w:lang w:val="fr-CH"/>
              </w:rPr>
            </w:pPr>
            <w:bookmarkStart w:id="9" w:name="_GoBack" w:colFirst="1" w:colLast="1"/>
            <w:r w:rsidRPr="00443255">
              <w:rPr>
                <w:sz w:val="24"/>
                <w:szCs w:val="24"/>
                <w:lang w:val="fr-CH"/>
              </w:rPr>
              <w:t>Questions</w:t>
            </w:r>
            <w:r w:rsidR="003A6A97" w:rsidRPr="00443255">
              <w:rPr>
                <w:sz w:val="24"/>
                <w:szCs w:val="24"/>
                <w:lang w:val="fr-CH"/>
              </w:rPr>
              <w:t xml:space="preserve"> confiées à la CE 20</w:t>
            </w:r>
          </w:p>
        </w:tc>
        <w:tc>
          <w:tcPr>
            <w:tcW w:w="6555" w:type="dxa"/>
          </w:tcPr>
          <w:p w:rsidR="00181B08" w:rsidRPr="00443255" w:rsidRDefault="003A6A97" w:rsidP="007834BD">
            <w:pPr>
              <w:pStyle w:val="Tablehead"/>
              <w:rPr>
                <w:sz w:val="24"/>
                <w:szCs w:val="24"/>
              </w:rPr>
            </w:pPr>
            <w:r w:rsidRPr="00443255">
              <w:rPr>
                <w:sz w:val="24"/>
                <w:szCs w:val="24"/>
              </w:rPr>
              <w:t>Titre</w:t>
            </w:r>
          </w:p>
        </w:tc>
      </w:tr>
      <w:bookmarkEnd w:id="9"/>
      <w:tr w:rsidR="00181B08" w:rsidRPr="00443255" w:rsidTr="0039616F">
        <w:tc>
          <w:tcPr>
            <w:tcW w:w="2795" w:type="dxa"/>
          </w:tcPr>
          <w:p w:rsidR="00181B08" w:rsidRPr="00443255" w:rsidRDefault="00181B08" w:rsidP="007834BD">
            <w:pPr>
              <w:pStyle w:val="Tablehead"/>
              <w:rPr>
                <w:sz w:val="24"/>
                <w:szCs w:val="24"/>
              </w:rPr>
            </w:pPr>
            <w:r w:rsidRPr="00443255">
              <w:rPr>
                <w:sz w:val="24"/>
                <w:szCs w:val="24"/>
              </w:rPr>
              <w:t>PLEN</w:t>
            </w:r>
          </w:p>
        </w:tc>
        <w:tc>
          <w:tcPr>
            <w:tcW w:w="6555" w:type="dxa"/>
          </w:tcPr>
          <w:p w:rsidR="00181B08" w:rsidRPr="00443255" w:rsidRDefault="00181B08" w:rsidP="007834BD">
            <w:pPr>
              <w:pStyle w:val="Tablehead"/>
              <w:rPr>
                <w:sz w:val="24"/>
                <w:szCs w:val="24"/>
              </w:rPr>
            </w:pPr>
          </w:p>
        </w:tc>
      </w:tr>
      <w:tr w:rsidR="00181B08" w:rsidRPr="00443255" w:rsidTr="0039616F">
        <w:tc>
          <w:tcPr>
            <w:tcW w:w="2795" w:type="dxa"/>
          </w:tcPr>
          <w:p w:rsidR="00181B08" w:rsidRPr="00443255" w:rsidRDefault="003A6A97" w:rsidP="007834BD">
            <w:pPr>
              <w:pStyle w:val="Tablehead"/>
              <w:rPr>
                <w:sz w:val="24"/>
                <w:szCs w:val="24"/>
              </w:rPr>
            </w:pPr>
            <w:r w:rsidRPr="00443255">
              <w:rPr>
                <w:sz w:val="24"/>
                <w:szCs w:val="24"/>
              </w:rPr>
              <w:t xml:space="preserve">Groupe de travail </w:t>
            </w:r>
            <w:r w:rsidR="00181B08" w:rsidRPr="00443255">
              <w:rPr>
                <w:sz w:val="24"/>
                <w:szCs w:val="24"/>
              </w:rPr>
              <w:t>1</w:t>
            </w:r>
          </w:p>
        </w:tc>
        <w:tc>
          <w:tcPr>
            <w:tcW w:w="6555" w:type="dxa"/>
          </w:tcPr>
          <w:p w:rsidR="00181B08" w:rsidRPr="00443255" w:rsidRDefault="00181B08" w:rsidP="007834BD">
            <w:pPr>
              <w:pStyle w:val="Tablehead"/>
              <w:rPr>
                <w:sz w:val="24"/>
                <w:szCs w:val="24"/>
              </w:rPr>
            </w:pPr>
          </w:p>
        </w:tc>
      </w:tr>
      <w:tr w:rsidR="00181B08" w:rsidRPr="00443255" w:rsidTr="0039616F">
        <w:tc>
          <w:tcPr>
            <w:tcW w:w="2795" w:type="dxa"/>
          </w:tcPr>
          <w:p w:rsidR="00181B08" w:rsidRPr="00443255" w:rsidRDefault="00181B08" w:rsidP="007834BD">
            <w:pPr>
              <w:pStyle w:val="Tabletext"/>
              <w:rPr>
                <w:sz w:val="24"/>
                <w:szCs w:val="24"/>
              </w:rPr>
            </w:pPr>
            <w:r w:rsidRPr="00443255">
              <w:rPr>
                <w:sz w:val="24"/>
                <w:szCs w:val="24"/>
              </w:rPr>
              <w:t>Question 1/20</w:t>
            </w:r>
          </w:p>
        </w:tc>
        <w:tc>
          <w:tcPr>
            <w:tcW w:w="6555" w:type="dxa"/>
          </w:tcPr>
          <w:p w:rsidR="00181B08" w:rsidRPr="00443255" w:rsidRDefault="00D64119" w:rsidP="007834BD">
            <w:pPr>
              <w:pStyle w:val="Tabletext"/>
              <w:rPr>
                <w:sz w:val="24"/>
                <w:szCs w:val="24"/>
                <w:lang w:val="fr-CH"/>
              </w:rPr>
            </w:pPr>
            <w:r w:rsidRPr="00443255">
              <w:rPr>
                <w:sz w:val="24"/>
                <w:szCs w:val="24"/>
                <w:lang w:val="fr-CH"/>
              </w:rPr>
              <w:t>Travaux de recherche et technologies émergentes, y compris la terminologie et les définitions</w:t>
            </w:r>
          </w:p>
        </w:tc>
      </w:tr>
      <w:tr w:rsidR="00181B08" w:rsidRPr="00443255" w:rsidTr="0039616F">
        <w:tc>
          <w:tcPr>
            <w:tcW w:w="2795" w:type="dxa"/>
          </w:tcPr>
          <w:p w:rsidR="00181B08" w:rsidRPr="00443255" w:rsidRDefault="00181B08" w:rsidP="007834BD">
            <w:pPr>
              <w:pStyle w:val="Tabletext"/>
              <w:rPr>
                <w:sz w:val="24"/>
                <w:szCs w:val="24"/>
              </w:rPr>
            </w:pPr>
            <w:r w:rsidRPr="00443255">
              <w:rPr>
                <w:sz w:val="24"/>
                <w:szCs w:val="24"/>
              </w:rPr>
              <w:t>Question 2/20</w:t>
            </w:r>
          </w:p>
        </w:tc>
        <w:tc>
          <w:tcPr>
            <w:tcW w:w="6555" w:type="dxa"/>
          </w:tcPr>
          <w:p w:rsidR="00181B08" w:rsidRPr="00443255" w:rsidRDefault="007834BD" w:rsidP="001F3E4D">
            <w:pPr>
              <w:pStyle w:val="Tabletext"/>
              <w:rPr>
                <w:sz w:val="24"/>
                <w:szCs w:val="24"/>
                <w:lang w:val="fr-CH"/>
              </w:rPr>
            </w:pPr>
            <w:r w:rsidRPr="00443255">
              <w:rPr>
                <w:sz w:val="24"/>
                <w:szCs w:val="24"/>
                <w:lang w:val="fr-CH"/>
              </w:rPr>
              <w:t>E</w:t>
            </w:r>
            <w:r w:rsidR="007F6548" w:rsidRPr="00443255">
              <w:rPr>
                <w:sz w:val="24"/>
                <w:szCs w:val="24"/>
                <w:lang w:val="fr-CH"/>
              </w:rPr>
              <w:t xml:space="preserve">valuation des villes et </w:t>
            </w:r>
            <w:r w:rsidR="00C0530C" w:rsidRPr="00443255">
              <w:rPr>
                <w:sz w:val="24"/>
                <w:szCs w:val="24"/>
                <w:lang w:val="fr-CH"/>
              </w:rPr>
              <w:t xml:space="preserve">des </w:t>
            </w:r>
            <w:r w:rsidR="007F6548" w:rsidRPr="00443255">
              <w:rPr>
                <w:sz w:val="24"/>
                <w:szCs w:val="24"/>
                <w:lang w:val="fr-CH"/>
              </w:rPr>
              <w:t>communautés intelligentes</w:t>
            </w:r>
          </w:p>
        </w:tc>
      </w:tr>
      <w:tr w:rsidR="00181B08" w:rsidRPr="00443255" w:rsidTr="0039616F">
        <w:tc>
          <w:tcPr>
            <w:tcW w:w="2795" w:type="dxa"/>
          </w:tcPr>
          <w:p w:rsidR="00181B08" w:rsidRPr="00443255" w:rsidRDefault="00181B08" w:rsidP="007834BD">
            <w:pPr>
              <w:pStyle w:val="Tabletext"/>
              <w:rPr>
                <w:sz w:val="24"/>
                <w:szCs w:val="24"/>
              </w:rPr>
            </w:pPr>
            <w:r w:rsidRPr="00443255">
              <w:rPr>
                <w:sz w:val="24"/>
                <w:szCs w:val="24"/>
              </w:rPr>
              <w:t>Question 3/20</w:t>
            </w:r>
          </w:p>
        </w:tc>
        <w:tc>
          <w:tcPr>
            <w:tcW w:w="6555" w:type="dxa"/>
          </w:tcPr>
          <w:p w:rsidR="00181B08" w:rsidRPr="00443255" w:rsidRDefault="007F6548" w:rsidP="007834BD">
            <w:pPr>
              <w:pStyle w:val="Tabletext"/>
              <w:rPr>
                <w:sz w:val="24"/>
                <w:szCs w:val="24"/>
                <w:lang w:val="fr-CH"/>
              </w:rPr>
            </w:pPr>
            <w:r w:rsidRPr="00443255">
              <w:rPr>
                <w:sz w:val="24"/>
                <w:szCs w:val="24"/>
                <w:lang w:val="fr-CH"/>
              </w:rPr>
              <w:t xml:space="preserve">Sécurité, confidentialité, confiance </w:t>
            </w:r>
            <w:r w:rsidR="001F3E4D" w:rsidRPr="00443255">
              <w:rPr>
                <w:sz w:val="24"/>
                <w:szCs w:val="24"/>
                <w:lang w:val="fr-CH"/>
              </w:rPr>
              <w:t xml:space="preserve">et </w:t>
            </w:r>
            <w:r w:rsidRPr="00443255">
              <w:rPr>
                <w:sz w:val="24"/>
                <w:szCs w:val="24"/>
                <w:lang w:val="fr-CH"/>
              </w:rPr>
              <w:t>identification</w:t>
            </w:r>
          </w:p>
        </w:tc>
      </w:tr>
      <w:tr w:rsidR="00181B08" w:rsidRPr="00443255" w:rsidTr="0039616F">
        <w:tc>
          <w:tcPr>
            <w:tcW w:w="2795" w:type="dxa"/>
          </w:tcPr>
          <w:p w:rsidR="00181B08" w:rsidRPr="00443255" w:rsidRDefault="00D64119" w:rsidP="007834BD">
            <w:pPr>
              <w:pStyle w:val="Tablehead"/>
              <w:rPr>
                <w:sz w:val="24"/>
                <w:szCs w:val="24"/>
              </w:rPr>
            </w:pPr>
            <w:r w:rsidRPr="00443255">
              <w:rPr>
                <w:sz w:val="24"/>
                <w:szCs w:val="24"/>
              </w:rPr>
              <w:t xml:space="preserve">Groupe de travail </w:t>
            </w:r>
            <w:r w:rsidR="00181B08" w:rsidRPr="00443255">
              <w:rPr>
                <w:sz w:val="24"/>
                <w:szCs w:val="24"/>
              </w:rPr>
              <w:t>2</w:t>
            </w:r>
          </w:p>
        </w:tc>
        <w:tc>
          <w:tcPr>
            <w:tcW w:w="6555" w:type="dxa"/>
          </w:tcPr>
          <w:p w:rsidR="00181B08" w:rsidRPr="00443255" w:rsidRDefault="00181B08" w:rsidP="007834BD">
            <w:pPr>
              <w:pStyle w:val="Tablehead"/>
              <w:rPr>
                <w:sz w:val="24"/>
                <w:szCs w:val="24"/>
              </w:rPr>
            </w:pPr>
          </w:p>
        </w:tc>
      </w:tr>
      <w:tr w:rsidR="00181B08" w:rsidRPr="00443255" w:rsidTr="0039616F">
        <w:tc>
          <w:tcPr>
            <w:tcW w:w="2795" w:type="dxa"/>
          </w:tcPr>
          <w:p w:rsidR="00181B08" w:rsidRPr="00443255" w:rsidRDefault="00181B08" w:rsidP="007834BD">
            <w:pPr>
              <w:pStyle w:val="Tabletext"/>
              <w:rPr>
                <w:sz w:val="24"/>
                <w:szCs w:val="24"/>
              </w:rPr>
            </w:pPr>
            <w:r w:rsidRPr="00443255">
              <w:rPr>
                <w:sz w:val="24"/>
                <w:szCs w:val="24"/>
              </w:rPr>
              <w:t>Question 4/20</w:t>
            </w:r>
          </w:p>
        </w:tc>
        <w:tc>
          <w:tcPr>
            <w:tcW w:w="6555" w:type="dxa"/>
          </w:tcPr>
          <w:p w:rsidR="00181B08" w:rsidRPr="00443255" w:rsidRDefault="00C95E3E" w:rsidP="00E061DE">
            <w:pPr>
              <w:pStyle w:val="Tabletext"/>
              <w:rPr>
                <w:sz w:val="24"/>
                <w:szCs w:val="24"/>
                <w:lang w:val="fr-CH"/>
              </w:rPr>
            </w:pPr>
            <w:r w:rsidRPr="00443255">
              <w:rPr>
                <w:sz w:val="24"/>
                <w:szCs w:val="24"/>
                <w:lang w:val="fr-CH"/>
              </w:rPr>
              <w:t xml:space="preserve">Exigences, capacités, </w:t>
            </w:r>
            <w:r w:rsidR="00E061DE" w:rsidRPr="00443255">
              <w:rPr>
                <w:sz w:val="24"/>
                <w:szCs w:val="24"/>
                <w:lang w:val="fr-CH"/>
              </w:rPr>
              <w:t xml:space="preserve">secteurs </w:t>
            </w:r>
            <w:r w:rsidRPr="00443255">
              <w:rPr>
                <w:sz w:val="24"/>
                <w:szCs w:val="24"/>
                <w:lang w:val="fr-CH"/>
              </w:rPr>
              <w:t>vertica</w:t>
            </w:r>
            <w:r w:rsidR="00E061DE" w:rsidRPr="00443255">
              <w:rPr>
                <w:sz w:val="24"/>
                <w:szCs w:val="24"/>
                <w:lang w:val="fr-CH"/>
              </w:rPr>
              <w:t>ux</w:t>
            </w:r>
            <w:r w:rsidRPr="00443255">
              <w:rPr>
                <w:sz w:val="24"/>
                <w:szCs w:val="24"/>
                <w:lang w:val="fr-CH"/>
              </w:rPr>
              <w:t xml:space="preserve"> et cas d'utilisation</w:t>
            </w:r>
            <w:r w:rsidR="00181B08" w:rsidRPr="00443255">
              <w:rPr>
                <w:sz w:val="24"/>
                <w:szCs w:val="24"/>
                <w:lang w:val="fr-CH"/>
              </w:rPr>
              <w:t xml:space="preserve"> </w:t>
            </w:r>
          </w:p>
        </w:tc>
      </w:tr>
      <w:tr w:rsidR="00181B08" w:rsidRPr="00443255" w:rsidTr="0039616F">
        <w:tc>
          <w:tcPr>
            <w:tcW w:w="2795" w:type="dxa"/>
          </w:tcPr>
          <w:p w:rsidR="00181B08" w:rsidRPr="00443255" w:rsidRDefault="00181B08" w:rsidP="007834BD">
            <w:pPr>
              <w:pStyle w:val="Tabletext"/>
              <w:rPr>
                <w:sz w:val="24"/>
                <w:szCs w:val="24"/>
              </w:rPr>
            </w:pPr>
            <w:r w:rsidRPr="00443255">
              <w:rPr>
                <w:sz w:val="24"/>
                <w:szCs w:val="24"/>
              </w:rPr>
              <w:t>Question 5/20</w:t>
            </w:r>
          </w:p>
        </w:tc>
        <w:tc>
          <w:tcPr>
            <w:tcW w:w="6555" w:type="dxa"/>
          </w:tcPr>
          <w:p w:rsidR="00181B08" w:rsidRPr="00443255" w:rsidRDefault="00C95E3E" w:rsidP="007834BD">
            <w:pPr>
              <w:pStyle w:val="Tabletext"/>
              <w:rPr>
                <w:sz w:val="24"/>
                <w:szCs w:val="24"/>
              </w:rPr>
            </w:pPr>
            <w:r w:rsidRPr="00443255">
              <w:rPr>
                <w:sz w:val="24"/>
                <w:szCs w:val="24"/>
              </w:rPr>
              <w:t>Cadres, architecture et protocoles</w:t>
            </w:r>
          </w:p>
        </w:tc>
      </w:tr>
      <w:tr w:rsidR="00181B08" w:rsidRPr="00443255" w:rsidTr="0039616F">
        <w:tc>
          <w:tcPr>
            <w:tcW w:w="2795" w:type="dxa"/>
          </w:tcPr>
          <w:p w:rsidR="00181B08" w:rsidRPr="00443255" w:rsidRDefault="00181B08" w:rsidP="007834BD">
            <w:pPr>
              <w:pStyle w:val="Tabletext"/>
              <w:rPr>
                <w:sz w:val="24"/>
                <w:szCs w:val="24"/>
              </w:rPr>
            </w:pPr>
            <w:r w:rsidRPr="00443255">
              <w:rPr>
                <w:sz w:val="24"/>
                <w:szCs w:val="24"/>
              </w:rPr>
              <w:t>Question 6/20</w:t>
            </w:r>
          </w:p>
        </w:tc>
        <w:tc>
          <w:tcPr>
            <w:tcW w:w="6555" w:type="dxa"/>
          </w:tcPr>
          <w:p w:rsidR="00181B08" w:rsidRPr="00443255" w:rsidRDefault="00181B08" w:rsidP="007834BD">
            <w:pPr>
              <w:pStyle w:val="Tabletext"/>
              <w:rPr>
                <w:sz w:val="24"/>
                <w:szCs w:val="24"/>
                <w:lang w:val="fr-CH"/>
              </w:rPr>
            </w:pPr>
            <w:r w:rsidRPr="00443255">
              <w:rPr>
                <w:sz w:val="24"/>
                <w:szCs w:val="24"/>
                <w:lang w:val="fr-CH"/>
              </w:rPr>
              <w:t xml:space="preserve">Services, applications, </w:t>
            </w:r>
            <w:r w:rsidR="00A70948" w:rsidRPr="00443255">
              <w:rPr>
                <w:sz w:val="24"/>
                <w:szCs w:val="24"/>
                <w:lang w:val="fr-CH"/>
              </w:rPr>
              <w:t>calcul et traitement des données</w:t>
            </w:r>
          </w:p>
        </w:tc>
      </w:tr>
      <w:tr w:rsidR="00181B08" w:rsidRPr="00443255" w:rsidTr="0039616F">
        <w:tc>
          <w:tcPr>
            <w:tcW w:w="2795" w:type="dxa"/>
          </w:tcPr>
          <w:p w:rsidR="00181B08" w:rsidRPr="00443255" w:rsidRDefault="00D64119" w:rsidP="007834BD">
            <w:pPr>
              <w:pStyle w:val="Tablehead"/>
              <w:rPr>
                <w:sz w:val="24"/>
                <w:szCs w:val="24"/>
              </w:rPr>
            </w:pPr>
            <w:r w:rsidRPr="00443255">
              <w:rPr>
                <w:sz w:val="24"/>
                <w:szCs w:val="24"/>
              </w:rPr>
              <w:t xml:space="preserve">Groupe de travail </w:t>
            </w:r>
            <w:r w:rsidR="00181B08" w:rsidRPr="00443255">
              <w:rPr>
                <w:sz w:val="24"/>
                <w:szCs w:val="24"/>
              </w:rPr>
              <w:t>3</w:t>
            </w:r>
          </w:p>
        </w:tc>
        <w:tc>
          <w:tcPr>
            <w:tcW w:w="6555" w:type="dxa"/>
          </w:tcPr>
          <w:p w:rsidR="00181B08" w:rsidRPr="00443255" w:rsidRDefault="00181B08" w:rsidP="007834BD">
            <w:pPr>
              <w:pStyle w:val="Tablehead"/>
              <w:rPr>
                <w:sz w:val="24"/>
                <w:szCs w:val="24"/>
              </w:rPr>
            </w:pPr>
          </w:p>
        </w:tc>
      </w:tr>
      <w:tr w:rsidR="00181B08" w:rsidRPr="00443255" w:rsidTr="0039616F">
        <w:tc>
          <w:tcPr>
            <w:tcW w:w="2795" w:type="dxa"/>
          </w:tcPr>
          <w:p w:rsidR="00181B08" w:rsidRPr="00443255" w:rsidRDefault="00181B08" w:rsidP="007834BD">
            <w:pPr>
              <w:pStyle w:val="Tabletext"/>
              <w:rPr>
                <w:sz w:val="24"/>
                <w:szCs w:val="24"/>
              </w:rPr>
            </w:pPr>
            <w:r w:rsidRPr="00443255">
              <w:rPr>
                <w:sz w:val="24"/>
                <w:szCs w:val="24"/>
              </w:rPr>
              <w:t>Question 7/20</w:t>
            </w:r>
          </w:p>
        </w:tc>
        <w:tc>
          <w:tcPr>
            <w:tcW w:w="6555" w:type="dxa"/>
          </w:tcPr>
          <w:p w:rsidR="00181B08" w:rsidRPr="00443255" w:rsidRDefault="00181B08" w:rsidP="007834BD">
            <w:pPr>
              <w:pStyle w:val="Tabletext"/>
              <w:rPr>
                <w:sz w:val="24"/>
                <w:szCs w:val="24"/>
                <w:lang w:val="fr-CH"/>
              </w:rPr>
            </w:pPr>
            <w:r w:rsidRPr="00443255">
              <w:rPr>
                <w:sz w:val="24"/>
                <w:szCs w:val="24"/>
                <w:lang w:val="fr-CH"/>
              </w:rPr>
              <w:t>Infrastructure,</w:t>
            </w:r>
            <w:r w:rsidR="00A70948" w:rsidRPr="00443255">
              <w:rPr>
                <w:sz w:val="24"/>
                <w:szCs w:val="24"/>
                <w:lang w:val="fr-CH"/>
              </w:rPr>
              <w:t xml:space="preserve"> connectivité, réseaux et interopérabilité</w:t>
            </w:r>
          </w:p>
        </w:tc>
      </w:tr>
      <w:tr w:rsidR="00181B08" w:rsidRPr="00443255" w:rsidTr="0039616F">
        <w:tc>
          <w:tcPr>
            <w:tcW w:w="2795" w:type="dxa"/>
          </w:tcPr>
          <w:p w:rsidR="00181B08" w:rsidRPr="00443255" w:rsidRDefault="00181B08" w:rsidP="007834BD">
            <w:pPr>
              <w:pStyle w:val="Tabletext"/>
              <w:rPr>
                <w:sz w:val="24"/>
                <w:szCs w:val="24"/>
              </w:rPr>
            </w:pPr>
            <w:r w:rsidRPr="00443255">
              <w:rPr>
                <w:sz w:val="24"/>
                <w:szCs w:val="24"/>
              </w:rPr>
              <w:t>Question 8/20</w:t>
            </w:r>
          </w:p>
        </w:tc>
        <w:tc>
          <w:tcPr>
            <w:tcW w:w="6555" w:type="dxa"/>
          </w:tcPr>
          <w:p w:rsidR="00181B08" w:rsidRPr="00443255" w:rsidRDefault="00A70948" w:rsidP="001F3E4D">
            <w:pPr>
              <w:pStyle w:val="Tabletext"/>
              <w:rPr>
                <w:sz w:val="24"/>
                <w:szCs w:val="24"/>
                <w:lang w:val="fr-CH"/>
              </w:rPr>
            </w:pPr>
            <w:r w:rsidRPr="00443255">
              <w:rPr>
                <w:sz w:val="24"/>
                <w:szCs w:val="24"/>
                <w:lang w:val="fr-CH"/>
              </w:rPr>
              <w:t xml:space="preserve">Gestion, commande </w:t>
            </w:r>
            <w:r w:rsidR="001F3E4D" w:rsidRPr="00443255">
              <w:rPr>
                <w:sz w:val="24"/>
                <w:szCs w:val="24"/>
                <w:lang w:val="fr-CH"/>
              </w:rPr>
              <w:t xml:space="preserve">et </w:t>
            </w:r>
            <w:r w:rsidRPr="00443255">
              <w:rPr>
                <w:sz w:val="24"/>
                <w:szCs w:val="24"/>
                <w:lang w:val="fr-CH"/>
              </w:rPr>
              <w:t>qualité de fonctionnement</w:t>
            </w:r>
          </w:p>
        </w:tc>
      </w:tr>
    </w:tbl>
    <w:p w:rsidR="00181B08" w:rsidRPr="00281FDC" w:rsidRDefault="00181B08" w:rsidP="00281FDC">
      <w:pPr>
        <w:pStyle w:val="Heading1"/>
        <w:rPr>
          <w:lang w:val="fr-CH"/>
        </w:rPr>
      </w:pPr>
      <w:r w:rsidRPr="00281FDC">
        <w:rPr>
          <w:lang w:val="fr-CH"/>
        </w:rPr>
        <w:t>3</w:t>
      </w:r>
      <w:r w:rsidRPr="00281FDC">
        <w:rPr>
          <w:lang w:val="fr-CH"/>
        </w:rPr>
        <w:tab/>
      </w:r>
      <w:r w:rsidR="00A70948" w:rsidRPr="00281FDC">
        <w:rPr>
          <w:lang w:val="fr-CH"/>
        </w:rPr>
        <w:t>Résumés des propositions</w:t>
      </w:r>
    </w:p>
    <w:p w:rsidR="00A70948" w:rsidRPr="00281FDC" w:rsidRDefault="00181B08" w:rsidP="00CE2342">
      <w:pPr>
        <w:pStyle w:val="enumlev1"/>
        <w:rPr>
          <w:lang w:val="fr-CH"/>
        </w:rPr>
      </w:pPr>
      <w:r w:rsidRPr="00281FDC">
        <w:rPr>
          <w:lang w:val="fr-CH"/>
        </w:rPr>
        <w:t>1)</w:t>
      </w:r>
      <w:r w:rsidRPr="00281FDC">
        <w:rPr>
          <w:lang w:val="fr-CH"/>
        </w:rPr>
        <w:tab/>
      </w:r>
      <w:r w:rsidR="00A70948" w:rsidRPr="00281FDC">
        <w:rPr>
          <w:lang w:val="fr-CH"/>
        </w:rPr>
        <w:t>Adopt</w:t>
      </w:r>
      <w:r w:rsidR="00110864" w:rsidRPr="00281FDC">
        <w:rPr>
          <w:lang w:val="fr-CH"/>
        </w:rPr>
        <w:t>er</w:t>
      </w:r>
      <w:r w:rsidR="00A70948" w:rsidRPr="00281FDC">
        <w:rPr>
          <w:lang w:val="fr-CH"/>
        </w:rPr>
        <w:t xml:space="preserve"> une nouvelle Question 2/20 </w:t>
      </w:r>
      <w:r w:rsidR="001F3E4D">
        <w:rPr>
          <w:lang w:val="fr-CH"/>
        </w:rPr>
        <w:t xml:space="preserve">intitulée </w:t>
      </w:r>
      <w:r w:rsidR="00CE2342">
        <w:rPr>
          <w:lang w:val="fr-CH"/>
        </w:rPr>
        <w:t>"</w:t>
      </w:r>
      <w:r w:rsidR="001F3E4D">
        <w:rPr>
          <w:lang w:val="fr-CH"/>
        </w:rPr>
        <w:t>E</w:t>
      </w:r>
      <w:r w:rsidR="00A70948" w:rsidRPr="00281FDC">
        <w:rPr>
          <w:lang w:val="fr-CH"/>
        </w:rPr>
        <w:t xml:space="preserve">valuation des villes et </w:t>
      </w:r>
      <w:r w:rsidR="001F3E4D">
        <w:rPr>
          <w:lang w:val="fr-CH"/>
        </w:rPr>
        <w:t xml:space="preserve">des </w:t>
      </w:r>
      <w:r w:rsidR="00A70948" w:rsidRPr="00281FDC">
        <w:rPr>
          <w:lang w:val="fr-CH"/>
        </w:rPr>
        <w:t>communautés intelligentes</w:t>
      </w:r>
      <w:r w:rsidR="00CE2342">
        <w:rPr>
          <w:lang w:val="fr-CH"/>
        </w:rPr>
        <w:t>"</w:t>
      </w:r>
      <w:r w:rsidR="00A70948" w:rsidRPr="00281FDC">
        <w:rPr>
          <w:lang w:val="fr-CH"/>
        </w:rPr>
        <w:t>.</w:t>
      </w:r>
    </w:p>
    <w:p w:rsidR="00110864" w:rsidRPr="00281FDC" w:rsidRDefault="00181B08" w:rsidP="00CE2342">
      <w:pPr>
        <w:pStyle w:val="enumlev1"/>
        <w:rPr>
          <w:lang w:val="fr-CH"/>
        </w:rPr>
      </w:pPr>
      <w:r w:rsidRPr="00281FDC">
        <w:rPr>
          <w:lang w:val="fr-CH"/>
        </w:rPr>
        <w:t>2)</w:t>
      </w:r>
      <w:r w:rsidRPr="00281FDC">
        <w:rPr>
          <w:lang w:val="fr-CH"/>
        </w:rPr>
        <w:tab/>
      </w:r>
      <w:r w:rsidR="00A70948" w:rsidRPr="00281FDC">
        <w:rPr>
          <w:lang w:val="fr-CH"/>
        </w:rPr>
        <w:t>Adopt</w:t>
      </w:r>
      <w:r w:rsidR="00110864" w:rsidRPr="00281FDC">
        <w:rPr>
          <w:lang w:val="fr-CH"/>
        </w:rPr>
        <w:t>er</w:t>
      </w:r>
      <w:r w:rsidR="00A70948" w:rsidRPr="00281FDC">
        <w:rPr>
          <w:lang w:val="fr-CH"/>
        </w:rPr>
        <w:t xml:space="preserve"> une nouvelle </w:t>
      </w:r>
      <w:r w:rsidRPr="00281FDC">
        <w:rPr>
          <w:lang w:val="fr-CH"/>
        </w:rPr>
        <w:t xml:space="preserve">Question 3/20 </w:t>
      </w:r>
      <w:r w:rsidR="001F3E4D">
        <w:rPr>
          <w:lang w:val="fr-CH"/>
        </w:rPr>
        <w:t xml:space="preserve">intitulée </w:t>
      </w:r>
      <w:r w:rsidR="00CE2342">
        <w:rPr>
          <w:lang w:val="fr-CH"/>
        </w:rPr>
        <w:t>"</w:t>
      </w:r>
      <w:r w:rsidR="00110864" w:rsidRPr="00281FDC">
        <w:rPr>
          <w:lang w:val="fr-CH"/>
        </w:rPr>
        <w:t>Sécurité, confidentialité, confiance et identification</w:t>
      </w:r>
      <w:r w:rsidR="00CE2342">
        <w:rPr>
          <w:lang w:val="fr-CH"/>
        </w:rPr>
        <w:t>"</w:t>
      </w:r>
      <w:r w:rsidR="00110864" w:rsidRPr="00281FDC">
        <w:rPr>
          <w:lang w:val="fr-CH"/>
        </w:rPr>
        <w:t>.</w:t>
      </w:r>
    </w:p>
    <w:p w:rsidR="00110864" w:rsidRPr="00281FDC" w:rsidRDefault="00181B08" w:rsidP="00281FDC">
      <w:pPr>
        <w:pStyle w:val="enumlev1"/>
        <w:rPr>
          <w:lang w:val="fr-CH"/>
        </w:rPr>
      </w:pPr>
      <w:r w:rsidRPr="00281FDC">
        <w:rPr>
          <w:lang w:val="fr-CH"/>
        </w:rPr>
        <w:t>3)</w:t>
      </w:r>
      <w:r w:rsidRPr="00281FDC">
        <w:rPr>
          <w:lang w:val="fr-CH"/>
        </w:rPr>
        <w:tab/>
      </w:r>
      <w:r w:rsidR="00110864" w:rsidRPr="00281FDC">
        <w:rPr>
          <w:lang w:val="fr-CH"/>
        </w:rPr>
        <w:t>Modifier la structure de la CE 20 comme indiqué dans la proposition</w:t>
      </w:r>
      <w:r w:rsidRPr="00281FDC">
        <w:rPr>
          <w:lang w:val="fr-CH"/>
        </w:rPr>
        <w:t xml:space="preserve"> ARB/043A32/3 </w:t>
      </w:r>
      <w:r w:rsidR="00110864" w:rsidRPr="00281FDC">
        <w:rPr>
          <w:lang w:val="fr-CH"/>
        </w:rPr>
        <w:t>afin de créer davantage de synergies entre les Questions confiées à la CE 20, de limiter les risques de chevauchement entre les Questions et de disposer d'une structure plus fiable, plus ciblée et mieux organisée.</w:t>
      </w:r>
    </w:p>
    <w:p w:rsidR="00110864" w:rsidRPr="00281FDC" w:rsidRDefault="00181B08" w:rsidP="001F3E4D">
      <w:pPr>
        <w:pStyle w:val="enumlev1"/>
        <w:rPr>
          <w:lang w:val="fr-CH"/>
        </w:rPr>
      </w:pPr>
      <w:r w:rsidRPr="00281FDC">
        <w:rPr>
          <w:lang w:val="fr-CH"/>
        </w:rPr>
        <w:t>4)</w:t>
      </w:r>
      <w:r w:rsidRPr="00281FDC">
        <w:rPr>
          <w:lang w:val="fr-CH"/>
        </w:rPr>
        <w:tab/>
      </w:r>
      <w:r w:rsidR="00110864" w:rsidRPr="00281FDC">
        <w:rPr>
          <w:lang w:val="fr-CH"/>
        </w:rPr>
        <w:t>Demander à l'AMNT-16 d'examiner et d'envisager l</w:t>
      </w:r>
      <w:r w:rsidR="001F3E4D">
        <w:rPr>
          <w:lang w:val="fr-CH"/>
        </w:rPr>
        <w:t>a structure générale proposée e</w:t>
      </w:r>
      <w:r w:rsidR="00110864" w:rsidRPr="00281FDC">
        <w:rPr>
          <w:lang w:val="fr-CH"/>
        </w:rPr>
        <w:t>t d'approuver les nouvelle</w:t>
      </w:r>
      <w:r w:rsidR="001F3E4D">
        <w:rPr>
          <w:lang w:val="fr-CH"/>
        </w:rPr>
        <w:t>s</w:t>
      </w:r>
      <w:r w:rsidR="00110864" w:rsidRPr="00281FDC">
        <w:rPr>
          <w:lang w:val="fr-CH"/>
        </w:rPr>
        <w:t xml:space="preserve"> Question</w:t>
      </w:r>
      <w:r w:rsidR="001F3E4D">
        <w:rPr>
          <w:lang w:val="fr-CH"/>
        </w:rPr>
        <w:t>s proposées</w:t>
      </w:r>
      <w:r w:rsidR="00110864" w:rsidRPr="00281FDC">
        <w:rPr>
          <w:lang w:val="fr-CH"/>
        </w:rPr>
        <w:t>.</w:t>
      </w:r>
    </w:p>
    <w:p w:rsidR="00181B08" w:rsidRPr="00281FDC" w:rsidRDefault="00181B08" w:rsidP="001F3E4D">
      <w:pPr>
        <w:pStyle w:val="enumlev1"/>
        <w:rPr>
          <w:lang w:val="fr-CH"/>
        </w:rPr>
      </w:pPr>
      <w:r w:rsidRPr="00281FDC">
        <w:rPr>
          <w:lang w:val="fr-CH"/>
        </w:rPr>
        <w:t>5)</w:t>
      </w:r>
      <w:r w:rsidRPr="00281FDC">
        <w:rPr>
          <w:lang w:val="fr-CH"/>
        </w:rPr>
        <w:tab/>
      </w:r>
      <w:r w:rsidR="00110864" w:rsidRPr="00281FDC">
        <w:rPr>
          <w:lang w:val="fr-CH"/>
        </w:rPr>
        <w:t xml:space="preserve">Demander à l'AMNT-16 de charger la CE 20, à la première réunion qu'elle tiendra après l'AMNT-16, d'établir la version définitive de sa structure et d'élaborer les textes appropriés </w:t>
      </w:r>
      <w:r w:rsidR="001F3E4D">
        <w:rPr>
          <w:lang w:val="fr-CH"/>
        </w:rPr>
        <w:t>des autres</w:t>
      </w:r>
      <w:r w:rsidR="00110864" w:rsidRPr="00281FDC">
        <w:rPr>
          <w:lang w:val="fr-CH"/>
        </w:rPr>
        <w:t xml:space="preserve"> Questions </w:t>
      </w:r>
      <w:r w:rsidRPr="00281FDC">
        <w:rPr>
          <w:lang w:val="fr-CH"/>
        </w:rPr>
        <w:t>(</w:t>
      </w:r>
      <w:r w:rsidR="00110864" w:rsidRPr="00281FDC">
        <w:rPr>
          <w:lang w:val="fr-CH"/>
        </w:rPr>
        <w:t>Questions 1/20</w:t>
      </w:r>
      <w:r w:rsidRPr="00281FDC">
        <w:rPr>
          <w:lang w:val="fr-CH"/>
        </w:rPr>
        <w:t>, 4/20, 5/20, 6/20, 7/20</w:t>
      </w:r>
      <w:r w:rsidR="00110864" w:rsidRPr="00281FDC">
        <w:rPr>
          <w:lang w:val="fr-CH"/>
        </w:rPr>
        <w:t xml:space="preserve"> et</w:t>
      </w:r>
      <w:r w:rsidRPr="00281FDC">
        <w:rPr>
          <w:lang w:val="fr-CH"/>
        </w:rPr>
        <w:t xml:space="preserve"> 8/20) </w:t>
      </w:r>
      <w:r w:rsidR="00110864" w:rsidRPr="00281FDC">
        <w:rPr>
          <w:lang w:val="fr-CH"/>
        </w:rPr>
        <w:t>compte tenu des résultats de l'Assemblée</w:t>
      </w:r>
      <w:r w:rsidRPr="00281FDC">
        <w:rPr>
          <w:lang w:val="fr-CH"/>
        </w:rPr>
        <w:t>.</w:t>
      </w:r>
    </w:p>
    <w:p w:rsidR="00181B08" w:rsidRPr="00281FDC" w:rsidRDefault="00181B08" w:rsidP="00281FDC">
      <w:pPr>
        <w:pStyle w:val="Reasons"/>
        <w:rPr>
          <w:lang w:val="fr-CH"/>
        </w:rPr>
      </w:pPr>
    </w:p>
    <w:p w:rsidR="008D3C60" w:rsidRPr="00181B08" w:rsidRDefault="00181B08" w:rsidP="00281FDC">
      <w:pPr>
        <w:jc w:val="center"/>
      </w:pPr>
      <w:r>
        <w:t>_________________</w:t>
      </w:r>
    </w:p>
    <w:sectPr w:rsidR="008D3C60" w:rsidRPr="00181B08">
      <w:headerReference w:type="default" r:id="rId16"/>
      <w:footerReference w:type="even" r:id="rId17"/>
      <w:footerReference w:type="default" r:id="rId18"/>
      <w:footerReference w:type="first" r:id="rId19"/>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E2342" w:rsidRDefault="00E45D05">
    <w:pPr>
      <w:ind w:right="360"/>
      <w:rPr>
        <w:lang w:val="fr-CH"/>
      </w:rPr>
    </w:pPr>
    <w:r>
      <w:fldChar w:fldCharType="begin"/>
    </w:r>
    <w:r w:rsidRPr="00CE2342">
      <w:rPr>
        <w:lang w:val="fr-CH"/>
      </w:rPr>
      <w:instrText xml:space="preserve"> FILENAME \p  \* MERGEFORMAT </w:instrText>
    </w:r>
    <w:r>
      <w:fldChar w:fldCharType="separate"/>
    </w:r>
    <w:r w:rsidR="00C91E41">
      <w:rPr>
        <w:noProof/>
        <w:lang w:val="fr-CH"/>
      </w:rPr>
      <w:t>P:\FRA\ITU-T\CONF-T\WTSA16\000\043ADD32F.docx</w:t>
    </w:r>
    <w:r>
      <w:fldChar w:fldCharType="end"/>
    </w:r>
    <w:r w:rsidRPr="00CE2342">
      <w:rPr>
        <w:lang w:val="fr-CH"/>
      </w:rPr>
      <w:tab/>
    </w:r>
    <w:r>
      <w:fldChar w:fldCharType="begin"/>
    </w:r>
    <w:r>
      <w:instrText xml:space="preserve"> SAVEDATE \@ DD.MM.YY </w:instrText>
    </w:r>
    <w:r>
      <w:fldChar w:fldCharType="separate"/>
    </w:r>
    <w:r w:rsidR="00443255">
      <w:rPr>
        <w:noProof/>
      </w:rPr>
      <w:t>20.10.16</w:t>
    </w:r>
    <w:r>
      <w:fldChar w:fldCharType="end"/>
    </w:r>
    <w:r w:rsidRPr="00CE2342">
      <w:rPr>
        <w:lang w:val="fr-CH"/>
      </w:rPr>
      <w:tab/>
    </w:r>
    <w:r>
      <w:fldChar w:fldCharType="begin"/>
    </w:r>
    <w:r>
      <w:instrText xml:space="preserve"> PRINTDATE \@ DD.MM.YY </w:instrText>
    </w:r>
    <w:r>
      <w:fldChar w:fldCharType="separate"/>
    </w:r>
    <w:r w:rsidR="00C91E41">
      <w:rPr>
        <w:noProof/>
      </w:rPr>
      <w:t>20.10.16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281FDC" w:rsidRDefault="00E45D05" w:rsidP="00526703">
    <w:pPr>
      <w:pStyle w:val="Footer"/>
      <w:rPr>
        <w:lang w:val="fr-CH"/>
      </w:rPr>
    </w:pPr>
    <w:r>
      <w:fldChar w:fldCharType="begin"/>
    </w:r>
    <w:r w:rsidRPr="00281FDC">
      <w:rPr>
        <w:lang w:val="fr-CH"/>
      </w:rPr>
      <w:instrText xml:space="preserve"> FILENAME \p  \* MERGEFORMAT </w:instrText>
    </w:r>
    <w:r>
      <w:fldChar w:fldCharType="separate"/>
    </w:r>
    <w:r w:rsidR="00C91E41">
      <w:rPr>
        <w:lang w:val="fr-CH"/>
      </w:rPr>
      <w:t>P:\FRA\ITU-T\CONF-T\WTSA16\000\043ADD32F.docx</w:t>
    </w:r>
    <w:r>
      <w:fldChar w:fldCharType="end"/>
    </w:r>
    <w:r w:rsidR="008A41C7" w:rsidRPr="00281FDC">
      <w:rPr>
        <w:lang w:val="fr-CH"/>
      </w:rPr>
      <w:t xml:space="preserve"> (406907)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281FDC" w:rsidRDefault="00987C1F" w:rsidP="00526703">
    <w:pPr>
      <w:pStyle w:val="Footer"/>
      <w:rPr>
        <w:lang w:val="fr-CH"/>
      </w:rPr>
    </w:pPr>
    <w:r>
      <w:fldChar w:fldCharType="begin"/>
    </w:r>
    <w:r w:rsidRPr="00281FDC">
      <w:rPr>
        <w:lang w:val="fr-CH"/>
      </w:rPr>
      <w:instrText xml:space="preserve"> FILENAME \p  \* MERGEFORMAT </w:instrText>
    </w:r>
    <w:r>
      <w:fldChar w:fldCharType="separate"/>
    </w:r>
    <w:r w:rsidR="00C91E41">
      <w:rPr>
        <w:lang w:val="fr-CH"/>
      </w:rPr>
      <w:t>P:\FRA\ITU-T\CONF-T\WTSA16\000\043ADD32F.docx</w:t>
    </w:r>
    <w:r>
      <w:fldChar w:fldCharType="end"/>
    </w:r>
    <w:r w:rsidR="008A41C7" w:rsidRPr="00281FDC">
      <w:rPr>
        <w:lang w:val="fr-CH"/>
      </w:rPr>
      <w:t xml:space="preserve"> (406907)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443255">
      <w:rPr>
        <w:noProof/>
      </w:rPr>
      <w:t>10</w:t>
    </w:r>
    <w:r>
      <w:fldChar w:fldCharType="end"/>
    </w:r>
  </w:p>
  <w:p w:rsidR="00987C1F" w:rsidRDefault="00E07AF5" w:rsidP="00987C1F">
    <w:pPr>
      <w:pStyle w:val="Header"/>
    </w:pPr>
    <w:r>
      <w:t>AMNT16</w:t>
    </w:r>
    <w:r w:rsidR="00987C1F">
      <w:t>/43(Add.32)-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EDF9A46-4947-4BAD-951A-B05A130D1ACC}"/>
    <w:docVar w:name="dgnword-eventsink" w:val="303808912"/>
  </w:docVars>
  <w:rsids>
    <w:rsidRoot w:val="00B31EF6"/>
    <w:rsid w:val="000032AD"/>
    <w:rsid w:val="000041EA"/>
    <w:rsid w:val="00022A29"/>
    <w:rsid w:val="000355FD"/>
    <w:rsid w:val="00051E39"/>
    <w:rsid w:val="00052B58"/>
    <w:rsid w:val="00077239"/>
    <w:rsid w:val="0008608C"/>
    <w:rsid w:val="00086491"/>
    <w:rsid w:val="00091346"/>
    <w:rsid w:val="0009706C"/>
    <w:rsid w:val="000A14AF"/>
    <w:rsid w:val="000C0040"/>
    <w:rsid w:val="000D5B84"/>
    <w:rsid w:val="000F73FF"/>
    <w:rsid w:val="00110864"/>
    <w:rsid w:val="00114CF7"/>
    <w:rsid w:val="00116CBA"/>
    <w:rsid w:val="00123B68"/>
    <w:rsid w:val="00126F2E"/>
    <w:rsid w:val="00146F6F"/>
    <w:rsid w:val="001475BE"/>
    <w:rsid w:val="00147B49"/>
    <w:rsid w:val="00164C14"/>
    <w:rsid w:val="00166741"/>
    <w:rsid w:val="00180460"/>
    <w:rsid w:val="00181B08"/>
    <w:rsid w:val="00187BD9"/>
    <w:rsid w:val="00190B55"/>
    <w:rsid w:val="001978FA"/>
    <w:rsid w:val="001A0F27"/>
    <w:rsid w:val="001A19CF"/>
    <w:rsid w:val="001C3B5F"/>
    <w:rsid w:val="001D058F"/>
    <w:rsid w:val="001D581B"/>
    <w:rsid w:val="001D77E9"/>
    <w:rsid w:val="001E1430"/>
    <w:rsid w:val="001F3E4D"/>
    <w:rsid w:val="002009EA"/>
    <w:rsid w:val="00202499"/>
    <w:rsid w:val="00202CA0"/>
    <w:rsid w:val="00216B6D"/>
    <w:rsid w:val="00247B01"/>
    <w:rsid w:val="0025028A"/>
    <w:rsid w:val="00250AF4"/>
    <w:rsid w:val="00256139"/>
    <w:rsid w:val="00271316"/>
    <w:rsid w:val="00271FAC"/>
    <w:rsid w:val="00281FDC"/>
    <w:rsid w:val="00297444"/>
    <w:rsid w:val="002B272E"/>
    <w:rsid w:val="002B2A75"/>
    <w:rsid w:val="002C6EF8"/>
    <w:rsid w:val="002D2289"/>
    <w:rsid w:val="002D58BE"/>
    <w:rsid w:val="002E049C"/>
    <w:rsid w:val="002E210D"/>
    <w:rsid w:val="003018FD"/>
    <w:rsid w:val="0032181F"/>
    <w:rsid w:val="003236A6"/>
    <w:rsid w:val="0032568A"/>
    <w:rsid w:val="00326390"/>
    <w:rsid w:val="00332C56"/>
    <w:rsid w:val="00345A52"/>
    <w:rsid w:val="00365ED1"/>
    <w:rsid w:val="00376A97"/>
    <w:rsid w:val="00377BD3"/>
    <w:rsid w:val="003832C0"/>
    <w:rsid w:val="00384088"/>
    <w:rsid w:val="0039169B"/>
    <w:rsid w:val="0039616F"/>
    <w:rsid w:val="003A6A97"/>
    <w:rsid w:val="003A7F8C"/>
    <w:rsid w:val="003B532E"/>
    <w:rsid w:val="003C5C09"/>
    <w:rsid w:val="003D0F8B"/>
    <w:rsid w:val="003D398E"/>
    <w:rsid w:val="003E4CA2"/>
    <w:rsid w:val="004054F5"/>
    <w:rsid w:val="004079B0"/>
    <w:rsid w:val="004123F1"/>
    <w:rsid w:val="0041348E"/>
    <w:rsid w:val="00414503"/>
    <w:rsid w:val="00417AD4"/>
    <w:rsid w:val="00443255"/>
    <w:rsid w:val="00444030"/>
    <w:rsid w:val="004508E2"/>
    <w:rsid w:val="00453B6C"/>
    <w:rsid w:val="00465EE8"/>
    <w:rsid w:val="00476533"/>
    <w:rsid w:val="00492075"/>
    <w:rsid w:val="004969AD"/>
    <w:rsid w:val="004A26C4"/>
    <w:rsid w:val="004B13CB"/>
    <w:rsid w:val="004D5479"/>
    <w:rsid w:val="004D5D5C"/>
    <w:rsid w:val="004E42A3"/>
    <w:rsid w:val="0050139F"/>
    <w:rsid w:val="00526703"/>
    <w:rsid w:val="0053000E"/>
    <w:rsid w:val="00530525"/>
    <w:rsid w:val="0053384E"/>
    <w:rsid w:val="0055140B"/>
    <w:rsid w:val="0055168D"/>
    <w:rsid w:val="005563B7"/>
    <w:rsid w:val="00570134"/>
    <w:rsid w:val="00595780"/>
    <w:rsid w:val="005964AB"/>
    <w:rsid w:val="005C099A"/>
    <w:rsid w:val="005C31A5"/>
    <w:rsid w:val="005E10C9"/>
    <w:rsid w:val="005E554D"/>
    <w:rsid w:val="005E61DD"/>
    <w:rsid w:val="006023DF"/>
    <w:rsid w:val="00603909"/>
    <w:rsid w:val="006244B1"/>
    <w:rsid w:val="00627AAD"/>
    <w:rsid w:val="00647EFF"/>
    <w:rsid w:val="00657DE0"/>
    <w:rsid w:val="00671EB9"/>
    <w:rsid w:val="00685313"/>
    <w:rsid w:val="0069092B"/>
    <w:rsid w:val="00692833"/>
    <w:rsid w:val="006929D8"/>
    <w:rsid w:val="00696254"/>
    <w:rsid w:val="006A64FB"/>
    <w:rsid w:val="006A6E9B"/>
    <w:rsid w:val="006B249F"/>
    <w:rsid w:val="006B3F0F"/>
    <w:rsid w:val="006B7C2A"/>
    <w:rsid w:val="006C23DA"/>
    <w:rsid w:val="006C330C"/>
    <w:rsid w:val="006C4324"/>
    <w:rsid w:val="006E013B"/>
    <w:rsid w:val="006E22C0"/>
    <w:rsid w:val="006E3D45"/>
    <w:rsid w:val="006F580E"/>
    <w:rsid w:val="007149F9"/>
    <w:rsid w:val="007337F0"/>
    <w:rsid w:val="00733A30"/>
    <w:rsid w:val="00745AEE"/>
    <w:rsid w:val="00745D14"/>
    <w:rsid w:val="00746599"/>
    <w:rsid w:val="00750F10"/>
    <w:rsid w:val="0076311C"/>
    <w:rsid w:val="007742CA"/>
    <w:rsid w:val="007834BD"/>
    <w:rsid w:val="00790D70"/>
    <w:rsid w:val="007A007B"/>
    <w:rsid w:val="007D5320"/>
    <w:rsid w:val="007F00D7"/>
    <w:rsid w:val="007F0DA0"/>
    <w:rsid w:val="007F6548"/>
    <w:rsid w:val="008006C5"/>
    <w:rsid w:val="00800972"/>
    <w:rsid w:val="00804475"/>
    <w:rsid w:val="00811633"/>
    <w:rsid w:val="00813B79"/>
    <w:rsid w:val="00843DAE"/>
    <w:rsid w:val="00864CD2"/>
    <w:rsid w:val="00872FC8"/>
    <w:rsid w:val="008845D0"/>
    <w:rsid w:val="008A41C7"/>
    <w:rsid w:val="008A69FB"/>
    <w:rsid w:val="008B1AEA"/>
    <w:rsid w:val="008B43F2"/>
    <w:rsid w:val="008B6CFF"/>
    <w:rsid w:val="008C27E9"/>
    <w:rsid w:val="008C4424"/>
    <w:rsid w:val="008C6BAA"/>
    <w:rsid w:val="008D3C60"/>
    <w:rsid w:val="008F0272"/>
    <w:rsid w:val="0092425C"/>
    <w:rsid w:val="009261ED"/>
    <w:rsid w:val="009274B4"/>
    <w:rsid w:val="00934D6E"/>
    <w:rsid w:val="00934EA2"/>
    <w:rsid w:val="00940614"/>
    <w:rsid w:val="00944A5C"/>
    <w:rsid w:val="00952A66"/>
    <w:rsid w:val="00957670"/>
    <w:rsid w:val="009842A4"/>
    <w:rsid w:val="00987C1F"/>
    <w:rsid w:val="009A32B6"/>
    <w:rsid w:val="009B7DC2"/>
    <w:rsid w:val="009C3191"/>
    <w:rsid w:val="009C56E5"/>
    <w:rsid w:val="009D7B26"/>
    <w:rsid w:val="009E5FC8"/>
    <w:rsid w:val="009E687A"/>
    <w:rsid w:val="009E70DF"/>
    <w:rsid w:val="009F63E2"/>
    <w:rsid w:val="00A066F1"/>
    <w:rsid w:val="00A141AF"/>
    <w:rsid w:val="00A163F8"/>
    <w:rsid w:val="00A16D29"/>
    <w:rsid w:val="00A30305"/>
    <w:rsid w:val="00A31D2D"/>
    <w:rsid w:val="00A40507"/>
    <w:rsid w:val="00A4600A"/>
    <w:rsid w:val="00A538A6"/>
    <w:rsid w:val="00A54C25"/>
    <w:rsid w:val="00A61049"/>
    <w:rsid w:val="00A70948"/>
    <w:rsid w:val="00A710E7"/>
    <w:rsid w:val="00A7372E"/>
    <w:rsid w:val="00A77381"/>
    <w:rsid w:val="00A811DC"/>
    <w:rsid w:val="00A90939"/>
    <w:rsid w:val="00A93B85"/>
    <w:rsid w:val="00A94A88"/>
    <w:rsid w:val="00AA0B18"/>
    <w:rsid w:val="00AA666F"/>
    <w:rsid w:val="00AB2C44"/>
    <w:rsid w:val="00AB5A50"/>
    <w:rsid w:val="00AB7C5F"/>
    <w:rsid w:val="00B30D9C"/>
    <w:rsid w:val="00B31EF6"/>
    <w:rsid w:val="00B4107A"/>
    <w:rsid w:val="00B60EA7"/>
    <w:rsid w:val="00B639E9"/>
    <w:rsid w:val="00B817CD"/>
    <w:rsid w:val="00B94AD0"/>
    <w:rsid w:val="00BA5265"/>
    <w:rsid w:val="00BB3A95"/>
    <w:rsid w:val="00BB3B3C"/>
    <w:rsid w:val="00BB6D50"/>
    <w:rsid w:val="00BD592E"/>
    <w:rsid w:val="00C0018F"/>
    <w:rsid w:val="00C0530C"/>
    <w:rsid w:val="00C16A5A"/>
    <w:rsid w:val="00C20466"/>
    <w:rsid w:val="00C214ED"/>
    <w:rsid w:val="00C234E6"/>
    <w:rsid w:val="00C26BA2"/>
    <w:rsid w:val="00C324A8"/>
    <w:rsid w:val="00C54517"/>
    <w:rsid w:val="00C62873"/>
    <w:rsid w:val="00C64CD8"/>
    <w:rsid w:val="00C91E41"/>
    <w:rsid w:val="00C94B62"/>
    <w:rsid w:val="00C95E3E"/>
    <w:rsid w:val="00C97C68"/>
    <w:rsid w:val="00CA1A47"/>
    <w:rsid w:val="00CC247A"/>
    <w:rsid w:val="00CE2342"/>
    <w:rsid w:val="00CE388F"/>
    <w:rsid w:val="00CE5E47"/>
    <w:rsid w:val="00CF020F"/>
    <w:rsid w:val="00CF1E9D"/>
    <w:rsid w:val="00CF2B5B"/>
    <w:rsid w:val="00D13175"/>
    <w:rsid w:val="00D14CE0"/>
    <w:rsid w:val="00D242F9"/>
    <w:rsid w:val="00D25B65"/>
    <w:rsid w:val="00D44F3A"/>
    <w:rsid w:val="00D54009"/>
    <w:rsid w:val="00D544EE"/>
    <w:rsid w:val="00D5651D"/>
    <w:rsid w:val="00D57A34"/>
    <w:rsid w:val="00D6112A"/>
    <w:rsid w:val="00D64119"/>
    <w:rsid w:val="00D74898"/>
    <w:rsid w:val="00D801ED"/>
    <w:rsid w:val="00D915D1"/>
    <w:rsid w:val="00D936BC"/>
    <w:rsid w:val="00D96530"/>
    <w:rsid w:val="00DA2357"/>
    <w:rsid w:val="00DD44AF"/>
    <w:rsid w:val="00DE2AC3"/>
    <w:rsid w:val="00DE38D8"/>
    <w:rsid w:val="00DE5692"/>
    <w:rsid w:val="00E03944"/>
    <w:rsid w:val="00E03C94"/>
    <w:rsid w:val="00E061DE"/>
    <w:rsid w:val="00E07AF5"/>
    <w:rsid w:val="00E11197"/>
    <w:rsid w:val="00E14DA2"/>
    <w:rsid w:val="00E14E2A"/>
    <w:rsid w:val="00E16A81"/>
    <w:rsid w:val="00E26226"/>
    <w:rsid w:val="00E371F2"/>
    <w:rsid w:val="00E45D05"/>
    <w:rsid w:val="00E55816"/>
    <w:rsid w:val="00E55AEF"/>
    <w:rsid w:val="00E638AF"/>
    <w:rsid w:val="00E83CAA"/>
    <w:rsid w:val="00E84ED7"/>
    <w:rsid w:val="00E917FD"/>
    <w:rsid w:val="00E976C1"/>
    <w:rsid w:val="00EA12E5"/>
    <w:rsid w:val="00EB55C6"/>
    <w:rsid w:val="00EB76CE"/>
    <w:rsid w:val="00EF2B09"/>
    <w:rsid w:val="00F02766"/>
    <w:rsid w:val="00F05BD4"/>
    <w:rsid w:val="00F25637"/>
    <w:rsid w:val="00F25CB2"/>
    <w:rsid w:val="00F37A13"/>
    <w:rsid w:val="00F6155B"/>
    <w:rsid w:val="00F65C19"/>
    <w:rsid w:val="00F7356B"/>
    <w:rsid w:val="00F776DF"/>
    <w:rsid w:val="00F8044A"/>
    <w:rsid w:val="00F840C7"/>
    <w:rsid w:val="00F94484"/>
    <w:rsid w:val="00FB14E4"/>
    <w:rsid w:val="00FD2546"/>
    <w:rsid w:val="00FD4B9B"/>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enumlev1Char">
    <w:name w:val="enumlev1 Char"/>
    <w:basedOn w:val="DefaultParagraphFont"/>
    <w:link w:val="enumlev1"/>
    <w:locked/>
    <w:rsid w:val="00E14DA2"/>
    <w:rPr>
      <w:rFonts w:ascii="Times New Roman" w:hAnsi="Times New Roman"/>
      <w:sz w:val="24"/>
      <w:lang w:val="en-GB" w:eastAsia="en-US"/>
    </w:rPr>
  </w:style>
  <w:style w:type="character" w:styleId="Hyperlink">
    <w:name w:val="Hyperlink"/>
    <w:aliases w:val="超级链接"/>
    <w:basedOn w:val="DefaultParagraphFont"/>
    <w:uiPriority w:val="99"/>
    <w:unhideWhenUsed/>
    <w:rsid w:val="00E14DA2"/>
    <w:rPr>
      <w:color w:val="0000FF" w:themeColor="hyperlink"/>
      <w:u w:val="single"/>
    </w:rPr>
  </w:style>
  <w:style w:type="character" w:styleId="FollowedHyperlink">
    <w:name w:val="FollowedHyperlink"/>
    <w:basedOn w:val="DefaultParagraphFont"/>
    <w:semiHidden/>
    <w:unhideWhenUsed/>
    <w:rsid w:val="00E14DA2"/>
    <w:rPr>
      <w:color w:val="800080" w:themeColor="followedHyperlink"/>
      <w:u w:val="single"/>
    </w:rPr>
  </w:style>
  <w:style w:type="character" w:customStyle="1" w:styleId="Heading5Char">
    <w:name w:val="Heading 5 Char"/>
    <w:basedOn w:val="DefaultParagraphFont"/>
    <w:link w:val="Heading5"/>
    <w:qFormat/>
    <w:rsid w:val="003C5C09"/>
    <w:rPr>
      <w:rFonts w:ascii="Times New Roman" w:hAnsi="Times New Roman"/>
      <w:b/>
      <w:sz w:val="24"/>
      <w:lang w:val="en-GB" w:eastAsia="en-US"/>
    </w:rPr>
  </w:style>
  <w:style w:type="character" w:styleId="Strong">
    <w:name w:val="Strong"/>
    <w:qFormat/>
    <w:rsid w:val="003C5C09"/>
    <w:rPr>
      <w:b/>
      <w:bCs/>
    </w:rPr>
  </w:style>
  <w:style w:type="paragraph" w:customStyle="1" w:styleId="StrongNotBold">
    <w:name w:val="Strong + Not Bold"/>
    <w:basedOn w:val="Normal"/>
    <w:rsid w:val="003C5C09"/>
  </w:style>
  <w:style w:type="table" w:styleId="TableGrid">
    <w:name w:val="Table Grid"/>
    <w:basedOn w:val="TableNormal"/>
    <w:rsid w:val="00181B08"/>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5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SG20-151019-TD-GEN-0003/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itu.int/md/T13-TSAG-150602-TD-GEN-032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itu.int/ITU-T/workprog/wp_search.aspx?Q=xx/20" TargetMode="Externa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TSAG-160201-TD-GEN-0368/e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e1e87c-a397-4ba9-af77-d81fc75de302" targetNamespace="http://schemas.microsoft.com/office/2006/metadata/properties" ma:root="true" ma:fieldsID="d41af5c836d734370eb92e7ee5f83852" ns2:_="" ns3:_="">
    <xsd:import namespace="996b2e75-67fd-4955-a3b0-5ab9934cb50b"/>
    <xsd:import namespace="87e1e87c-a397-4ba9-af77-d81fc75de3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e1e87c-a397-4ba9-af77-d81fc75de3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7e1e87c-a397-4ba9-af77-d81fc75de302">Documents Proposals Manager (DPM)</DPM_x0020_Author>
    <DPM_x0020_File_x0020_name xmlns="87e1e87c-a397-4ba9-af77-d81fc75de302">T13-WTSA.16-C-0043!A32!MSW-F</DPM_x0020_File_x0020_name>
    <DPM_x0020_Version xmlns="87e1e87c-a397-4ba9-af77-d81fc75de302">DPM_v2016.10.17.1_prod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e1e87c-a397-4ba9-af77-d81fc75de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996b2e75-67fd-4955-a3b0-5ab9934cb50b"/>
    <ds:schemaRef ds:uri="http://purl.org/dc/dcmitype/"/>
    <ds:schemaRef ds:uri="http://schemas.microsoft.com/office/infopath/2007/PartnerControls"/>
    <ds:schemaRef ds:uri="http://schemas.openxmlformats.org/package/2006/metadata/core-properties"/>
    <ds:schemaRef ds:uri="87e1e87c-a397-4ba9-af77-d81fc75de302"/>
  </ds:schemaRefs>
</ds:datastoreItem>
</file>

<file path=customXml/itemProps3.xml><?xml version="1.0" encoding="utf-8"?>
<ds:datastoreItem xmlns:ds="http://schemas.openxmlformats.org/officeDocument/2006/customXml" ds:itemID="{08D8E6E4-ED06-4964-884C-EE52B8C0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10</Pages>
  <Words>3259</Words>
  <Characters>19745</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T13-WTSA.16-C-0043!A32!MSW-F</vt:lpstr>
    </vt:vector>
  </TitlesOfParts>
  <Manager>General Secretariat - Pool</Manager>
  <Company>International Telecommunication Union (ITU)</Company>
  <LinksUpToDate>false</LinksUpToDate>
  <CharactersWithSpaces>22959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T13-WTSA.16-C-0043!A32!MSW-F</dc:title>
  <dc:subject>World Telecommunication Standardization Assembly</dc:subject>
  <dc:creator>Documents Proposals Manager (DPM)</dc:creator>
  <cp:keywords>DPM_v2016.10.17.1_prod</cp:keywords>
  <dc:description>Template used by DPM and CPI for the WTSA-16</dc:description>
  <cp:lastModifiedBy>Haari, Laetitia</cp:lastModifiedBy>
  <cp:revision>48</cp:revision>
  <cp:lastPrinted>2016-10-20T11:36:00Z</cp:lastPrinted>
  <dcterms:created xsi:type="dcterms:W3CDTF">2016-10-19T13:12:00Z</dcterms:created>
  <dcterms:modified xsi:type="dcterms:W3CDTF">2016-10-20T12:16:00Z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