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426748" w:rsidTr="00F00DDC">
        <w:trPr>
          <w:cantSplit/>
        </w:trPr>
        <w:tc>
          <w:tcPr>
            <w:tcW w:w="1357" w:type="dxa"/>
            <w:vAlign w:val="center"/>
          </w:tcPr>
          <w:p w:rsidR="00BC7D84" w:rsidRPr="00426748" w:rsidRDefault="00BC7D84" w:rsidP="00F00DDC">
            <w:pPr>
              <w:pStyle w:val="TopHeader"/>
              <w:rPr>
                <w:sz w:val="22"/>
                <w:szCs w:val="22"/>
              </w:rPr>
            </w:pPr>
            <w:bookmarkStart w:id="0" w:name="_GoBack"/>
            <w:bookmarkEnd w:id="0"/>
            <w:r w:rsidRPr="00977369">
              <w:rPr>
                <w:noProof/>
                <w:lang w:val="en-US"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r>
              <w:rPr>
                <w:sz w:val="20"/>
                <w:szCs w:val="20"/>
              </w:rPr>
              <w:t>Hammamet, 25 October - 3 November</w:t>
            </w:r>
            <w:r w:rsidRPr="00EC7F04">
              <w:rPr>
                <w:sz w:val="20"/>
                <w:szCs w:val="20"/>
              </w:rPr>
              <w:t xml:space="preserve"> 2016</w:t>
            </w:r>
          </w:p>
        </w:tc>
        <w:tc>
          <w:tcPr>
            <w:tcW w:w="1804" w:type="dxa"/>
            <w:vAlign w:val="center"/>
          </w:tcPr>
          <w:p w:rsidR="00BC7D84" w:rsidRPr="00E0753B" w:rsidRDefault="00BC7D84" w:rsidP="00F00DDC">
            <w:pPr>
              <w:jc w:val="right"/>
            </w:pPr>
            <w:r w:rsidRPr="00E0753B">
              <w:rPr>
                <w:noProof/>
                <w:lang w:val="en-US"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rsidR="00BC7D84" w:rsidRPr="003251EA" w:rsidRDefault="00BC7D84" w:rsidP="00F00DDC">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F00DDC">
            <w:pPr>
              <w:spacing w:before="0"/>
              <w:rPr>
                <w:sz w:val="20"/>
              </w:rPr>
            </w:pPr>
          </w:p>
        </w:tc>
        <w:tc>
          <w:tcPr>
            <w:tcW w:w="3194" w:type="dxa"/>
            <w:gridSpan w:val="2"/>
          </w:tcPr>
          <w:p w:rsidR="00BC7D84" w:rsidRPr="003251EA" w:rsidRDefault="00BC7D84" w:rsidP="00F00DDC">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F00DDC">
            <w:pPr>
              <w:pStyle w:val="Committee"/>
            </w:pPr>
            <w:r>
              <w:t>PLENARY MEETING</w:t>
            </w:r>
          </w:p>
        </w:tc>
        <w:tc>
          <w:tcPr>
            <w:tcW w:w="3194" w:type="dxa"/>
            <w:gridSpan w:val="2"/>
          </w:tcPr>
          <w:p w:rsidR="00BC7D84" w:rsidRPr="003251EA" w:rsidRDefault="00BC7D84" w:rsidP="00F00DDC">
            <w:pPr>
              <w:pStyle w:val="Docnumber"/>
              <w:ind w:left="-57"/>
            </w:pPr>
            <w:r>
              <w:t>Addendum 32 to</w:t>
            </w:r>
            <w:r>
              <w:br/>
              <w:t>Document 43</w:t>
            </w:r>
            <w:r w:rsidRPr="0056747D">
              <w:t>-</w:t>
            </w:r>
            <w:r w:rsidRPr="003251EA">
              <w:t>E</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11 October 2016</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Original: English</w:t>
            </w:r>
          </w:p>
        </w:tc>
      </w:tr>
      <w:tr w:rsidR="00BC7D84" w:rsidRPr="003251EA" w:rsidTr="00F00DDC">
        <w:trPr>
          <w:cantSplit/>
        </w:trPr>
        <w:tc>
          <w:tcPr>
            <w:tcW w:w="9811" w:type="dxa"/>
            <w:gridSpan w:val="4"/>
          </w:tcPr>
          <w:p w:rsidR="00BC7D84" w:rsidRPr="003251EA" w:rsidRDefault="00BC7D84" w:rsidP="00F00DDC">
            <w:pPr>
              <w:pStyle w:val="TopHeader"/>
              <w:spacing w:before="0"/>
              <w:rPr>
                <w:sz w:val="20"/>
                <w:szCs w:val="20"/>
              </w:rPr>
            </w:pPr>
          </w:p>
        </w:tc>
      </w:tr>
      <w:tr w:rsidR="00BC7D84" w:rsidRPr="00426748" w:rsidTr="00F00DDC">
        <w:trPr>
          <w:cantSplit/>
        </w:trPr>
        <w:tc>
          <w:tcPr>
            <w:tcW w:w="9811" w:type="dxa"/>
            <w:gridSpan w:val="4"/>
          </w:tcPr>
          <w:p w:rsidR="00BC7D84" w:rsidRPr="00D643B3" w:rsidRDefault="00BC7D84" w:rsidP="00900E85">
            <w:pPr>
              <w:pStyle w:val="Source"/>
              <w:spacing w:before="720"/>
              <w:rPr>
                <w:highlight w:val="yellow"/>
              </w:rPr>
            </w:pPr>
            <w:r>
              <w:t>Arab States Administrations</w:t>
            </w:r>
          </w:p>
        </w:tc>
      </w:tr>
      <w:tr w:rsidR="00BC7D84" w:rsidRPr="00426748" w:rsidTr="00F00DDC">
        <w:trPr>
          <w:cantSplit/>
        </w:trPr>
        <w:tc>
          <w:tcPr>
            <w:tcW w:w="9811" w:type="dxa"/>
            <w:gridSpan w:val="4"/>
          </w:tcPr>
          <w:p w:rsidR="00BC7D84" w:rsidRPr="00D643B3" w:rsidRDefault="00BC7D84" w:rsidP="00F00DDC">
            <w:pPr>
              <w:pStyle w:val="Title1"/>
              <w:rPr>
                <w:highlight w:val="yellow"/>
              </w:rPr>
            </w:pPr>
            <w:r>
              <w:t>Proposals and views on ITU-T Study Group 20 structure</w:t>
            </w:r>
          </w:p>
        </w:tc>
      </w:tr>
      <w:tr w:rsidR="00BC7D84" w:rsidRPr="00426748" w:rsidTr="00F00DDC">
        <w:trPr>
          <w:cantSplit/>
        </w:trPr>
        <w:tc>
          <w:tcPr>
            <w:tcW w:w="9811" w:type="dxa"/>
            <w:gridSpan w:val="4"/>
          </w:tcPr>
          <w:p w:rsidR="00BC7D84" w:rsidRDefault="00BC7D84" w:rsidP="00F00DDC">
            <w:pPr>
              <w:pStyle w:val="Title2"/>
            </w:pPr>
          </w:p>
        </w:tc>
      </w:tr>
      <w:tr w:rsidR="00BC7D84" w:rsidRPr="00426748" w:rsidTr="00F00DDC">
        <w:trPr>
          <w:cantSplit/>
        </w:trPr>
        <w:tc>
          <w:tcPr>
            <w:tcW w:w="9811" w:type="dxa"/>
            <w:gridSpan w:val="4"/>
          </w:tcPr>
          <w:p w:rsidR="00BC7D84" w:rsidRPr="00900E85" w:rsidRDefault="00BC7D84" w:rsidP="00F00DDC">
            <w:pPr>
              <w:pStyle w:val="Agendaitem"/>
              <w:rPr>
                <w:lang w:val="en-US"/>
              </w:rPr>
            </w:pP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957A7" w:rsidTr="00D055D3">
        <w:trPr>
          <w:cantSplit/>
        </w:trPr>
        <w:tc>
          <w:tcPr>
            <w:tcW w:w="1951" w:type="dxa"/>
          </w:tcPr>
          <w:p w:rsidR="009E1967" w:rsidRPr="00426748" w:rsidRDefault="009E1967" w:rsidP="00D055D3">
            <w:r w:rsidRPr="008F7104">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079" w:type="dxa"/>
              </w:tcPr>
              <w:p w:rsidR="009E1967" w:rsidRPr="002957A7" w:rsidRDefault="00900E85" w:rsidP="00D055D3">
                <w:pPr>
                  <w:rPr>
                    <w:color w:val="000000" w:themeColor="text1"/>
                  </w:rPr>
                </w:pPr>
                <w:r w:rsidRPr="00900E85">
                  <w:rPr>
                    <w:color w:val="000000" w:themeColor="text1"/>
                    <w:lang w:val="en-US"/>
                  </w:rPr>
                  <w:t>The Arab States Administrations propose to add two new Questions and review ITU-T Study Group 20 Structure, to strengthen the role of SG20 taking into consideration Document 22 and 21 to this Assembly, particularly the section related to Observations conce</w:t>
                </w:r>
                <w:r w:rsidR="00DD14C1">
                  <w:rPr>
                    <w:color w:val="000000" w:themeColor="text1"/>
                    <w:lang w:val="en-US"/>
                  </w:rPr>
                  <w:t>rning future work of SG20.</w:t>
                </w:r>
              </w:p>
            </w:tc>
          </w:sdtContent>
        </w:sdt>
      </w:tr>
    </w:tbl>
    <w:p w:rsidR="00ED30BC" w:rsidRDefault="00ED30BC">
      <w:pPr>
        <w:tabs>
          <w:tab w:val="clear" w:pos="1134"/>
          <w:tab w:val="clear" w:pos="1871"/>
          <w:tab w:val="clear" w:pos="2268"/>
        </w:tabs>
        <w:overflowPunct/>
        <w:autoSpaceDE/>
        <w:autoSpaceDN/>
        <w:adjustRightInd/>
        <w:spacing w:before="0"/>
        <w:textAlignment w:val="auto"/>
      </w:pPr>
    </w:p>
    <w:p w:rsidR="00900E85" w:rsidRPr="00E42568" w:rsidRDefault="00900E85" w:rsidP="00900E85">
      <w:pPr>
        <w:spacing w:before="0"/>
        <w:rPr>
          <w:rFonts w:asciiTheme="majorBidi" w:hAnsiTheme="majorBidi" w:cstheme="majorBidi"/>
          <w:b/>
        </w:rPr>
      </w:pPr>
      <w:r w:rsidRPr="00E42568">
        <w:rPr>
          <w:rFonts w:asciiTheme="majorBidi" w:hAnsiTheme="majorBidi" w:cstheme="majorBidi"/>
          <w:b/>
        </w:rPr>
        <w:t>Discussion</w:t>
      </w:r>
    </w:p>
    <w:p w:rsidR="00900E85" w:rsidRPr="00E42568" w:rsidRDefault="00900E85" w:rsidP="00900E85">
      <w:pPr>
        <w:pStyle w:val="enumlev1"/>
        <w:tabs>
          <w:tab w:val="clear" w:pos="1134"/>
        </w:tabs>
      </w:pPr>
      <w:r w:rsidRPr="00E42568">
        <w:t>–</w:t>
      </w:r>
      <w:r w:rsidRPr="00E42568">
        <w:tab/>
        <w:t>The Telecommunication Standardization Advisory Group (TSAG),</w:t>
      </w:r>
      <w:r w:rsidRPr="00E42568">
        <w:rPr>
          <w:lang w:eastAsia="ko-KR"/>
        </w:rPr>
        <w:t xml:space="preserve"> agreed at its meeting in June 2015 to create a new ITU-T Study Group 20 </w:t>
      </w:r>
      <w:r w:rsidRPr="00E42568">
        <w:t>(SG20)</w:t>
      </w:r>
      <w:r w:rsidRPr="00E42568">
        <w:rPr>
          <w:lang w:eastAsia="ko-KR"/>
        </w:rPr>
        <w:t xml:space="preserve"> entitled “</w:t>
      </w:r>
      <w:proofErr w:type="spellStart"/>
      <w:r w:rsidRPr="00E42568">
        <w:t>IoT</w:t>
      </w:r>
      <w:proofErr w:type="spellEnd"/>
      <w:r w:rsidRPr="00E42568">
        <w:t xml:space="preserve"> and its applications including smart cities and communities”. The Terms of Reference (ToR), SG20 structure and text of the Questions were approved at TSAG meeting (June, 2015), and can be found in </w:t>
      </w:r>
      <w:hyperlink r:id="rId12" w:history="1">
        <w:r w:rsidRPr="00E42568">
          <w:rPr>
            <w:color w:val="0000FF"/>
            <w:u w:val="single"/>
          </w:rPr>
          <w:t>TD322Rev3</w:t>
        </w:r>
      </w:hyperlink>
      <w:r w:rsidRPr="00E42568">
        <w:t xml:space="preserve">. </w:t>
      </w:r>
    </w:p>
    <w:p w:rsidR="00900E85" w:rsidRPr="00E42568" w:rsidRDefault="00900E85" w:rsidP="00900E85">
      <w:pPr>
        <w:pStyle w:val="enumlev1"/>
        <w:tabs>
          <w:tab w:val="clear" w:pos="1134"/>
        </w:tabs>
      </w:pPr>
      <w:r w:rsidRPr="00E42568">
        <w:t>–</w:t>
      </w:r>
      <w:r w:rsidRPr="00E42568">
        <w:tab/>
        <w:t xml:space="preserve">SG20 structure was approved at TSAG </w:t>
      </w:r>
      <w:proofErr w:type="gramStart"/>
      <w:r w:rsidRPr="00E42568">
        <w:t>meeting  in</w:t>
      </w:r>
      <w:proofErr w:type="gramEnd"/>
      <w:r w:rsidRPr="00E42568">
        <w:t xml:space="preserve"> June 2015. It </w:t>
      </w:r>
      <w:proofErr w:type="gramStart"/>
      <w:r w:rsidRPr="00E42568">
        <w:t>was  amended</w:t>
      </w:r>
      <w:proofErr w:type="gramEnd"/>
      <w:r w:rsidRPr="00E42568">
        <w:t xml:space="preserve"> at the first meeting of SG20 held from 19 to 23 October 2015.  SG20 agreed the structure contained in </w:t>
      </w:r>
      <w:hyperlink r:id="rId13" w:history="1">
        <w:r w:rsidRPr="00E42568">
          <w:rPr>
            <w:color w:val="0000FF"/>
            <w:u w:val="single"/>
          </w:rPr>
          <w:t>TD 003 Rev.5 (GEN/20)</w:t>
        </w:r>
      </w:hyperlink>
      <w:r w:rsidRPr="00E42568">
        <w:t xml:space="preserve">, which was presented to TSAG in February 2016. </w:t>
      </w:r>
    </w:p>
    <w:p w:rsidR="00900E85" w:rsidRPr="00E42568" w:rsidRDefault="00900E85" w:rsidP="00900E85">
      <w:r w:rsidRPr="00E42568">
        <w:t xml:space="preserve">TSAG agreed at its meeting held in February 2016 on the following as found in its </w:t>
      </w:r>
      <w:r>
        <w:t>February 2016 meeting report:</w:t>
      </w:r>
    </w:p>
    <w:p w:rsidR="00900E85" w:rsidRPr="00E42568" w:rsidRDefault="00900E85" w:rsidP="00900E85">
      <w:pPr>
        <w:pStyle w:val="enumlev1"/>
        <w:tabs>
          <w:tab w:val="clear" w:pos="1134"/>
        </w:tabs>
      </w:pPr>
      <w:r w:rsidRPr="00E42568">
        <w:t>–</w:t>
      </w:r>
      <w:r w:rsidRPr="00E42568">
        <w:tab/>
      </w:r>
      <w:proofErr w:type="gramStart"/>
      <w:r w:rsidRPr="00E42568">
        <w:t>the</w:t>
      </w:r>
      <w:proofErr w:type="gramEnd"/>
      <w:r w:rsidRPr="00E42568">
        <w:t xml:space="preserve"> lead study group role for ITU-T SG20 on "Internet of Things (</w:t>
      </w:r>
      <w:proofErr w:type="spellStart"/>
      <w:r w:rsidRPr="00E42568">
        <w:t>IoT</w:t>
      </w:r>
      <w:proofErr w:type="spellEnd"/>
      <w:r w:rsidRPr="00E42568">
        <w:t>) and its applications" and on "Smart Cities and Communities (SC&amp;C)";</w:t>
      </w:r>
    </w:p>
    <w:p w:rsidR="00900E85" w:rsidRPr="00E42568" w:rsidRDefault="00900E85" w:rsidP="00900E85">
      <w:pPr>
        <w:pStyle w:val="enumlev1"/>
        <w:tabs>
          <w:tab w:val="clear" w:pos="1134"/>
        </w:tabs>
      </w:pPr>
      <w:r w:rsidRPr="00E42568">
        <w:t>–</w:t>
      </w:r>
      <w:r w:rsidRPr="00E42568">
        <w:tab/>
        <w:t>the updated text of the six SG20 Questions, as found in Annex C of attachment 1 to the ITU-T SG20 Liaison Statement (</w:t>
      </w:r>
      <w:hyperlink r:id="rId14" w:history="1">
        <w:r w:rsidRPr="00E42568">
          <w:rPr>
            <w:color w:val="0000FF"/>
            <w:u w:val="single"/>
          </w:rPr>
          <w:t>TD368</w:t>
        </w:r>
      </w:hyperlink>
      <w:r w:rsidRPr="00E42568">
        <w:t>);</w:t>
      </w:r>
    </w:p>
    <w:p w:rsidR="00900E85" w:rsidRPr="00E42568" w:rsidRDefault="00900E85" w:rsidP="00900E85">
      <w:pPr>
        <w:pStyle w:val="enumlev1"/>
        <w:tabs>
          <w:tab w:val="clear" w:pos="1134"/>
        </w:tabs>
      </w:pPr>
      <w:r w:rsidRPr="00E42568">
        <w:t>–</w:t>
      </w:r>
      <w:r w:rsidRPr="00E42568">
        <w:tab/>
      </w:r>
      <w:proofErr w:type="gramStart"/>
      <w:r w:rsidRPr="00E42568">
        <w:t>changes</w:t>
      </w:r>
      <w:proofErr w:type="gramEnd"/>
      <w:r w:rsidRPr="00E42568">
        <w:t xml:space="preserve"> to the mandate and scope of the JCA-</w:t>
      </w:r>
      <w:proofErr w:type="spellStart"/>
      <w:r w:rsidRPr="00E42568">
        <w:t>IoT</w:t>
      </w:r>
      <w:proofErr w:type="spellEnd"/>
      <w:r w:rsidRPr="00E42568">
        <w:t xml:space="preserve"> and SC&amp;C, on the provision that the first objective of the JCA is changed to read "…and to liaise with ITU-R…".</w:t>
      </w:r>
    </w:p>
    <w:p w:rsidR="00ED30BC" w:rsidRDefault="00900E85" w:rsidP="00900E85">
      <w:pPr>
        <w:tabs>
          <w:tab w:val="clear" w:pos="1134"/>
        </w:tabs>
      </w:pPr>
      <w:r w:rsidRPr="00E42568">
        <w:t>This contribution proposes to add two new Questions and a modification to the SG20 structure to enhance and strengthen the role</w:t>
      </w:r>
      <w:r>
        <w:t xml:space="preserve"> of SG20 to fulfil its mandate.</w:t>
      </w:r>
      <w:r w:rsidR="00ED30BC">
        <w:br w:type="page"/>
      </w:r>
    </w:p>
    <w:p w:rsidR="009E1967" w:rsidRPr="00DD14C1" w:rsidRDefault="00900E85" w:rsidP="00900E85">
      <w:pPr>
        <w:pStyle w:val="Heading1"/>
        <w:rPr>
          <w:szCs w:val="28"/>
        </w:rPr>
      </w:pPr>
      <w:r w:rsidRPr="00DD14C1">
        <w:rPr>
          <w:szCs w:val="28"/>
        </w:rPr>
        <w:lastRenderedPageBreak/>
        <w:t>1</w:t>
      </w:r>
      <w:r w:rsidRPr="00DD14C1">
        <w:rPr>
          <w:szCs w:val="28"/>
        </w:rPr>
        <w:tab/>
        <w:t>Two proposed new Questions</w:t>
      </w:r>
    </w:p>
    <w:p w:rsidR="008A23C2" w:rsidRDefault="008375E8">
      <w:pPr>
        <w:pStyle w:val="Proposal"/>
      </w:pPr>
      <w:r>
        <w:tab/>
        <w:t>ARB/43A32/1</w:t>
      </w:r>
    </w:p>
    <w:p w:rsidR="00900E85" w:rsidRPr="00F065CD" w:rsidRDefault="00900E85" w:rsidP="00F065CD">
      <w:pPr>
        <w:rPr>
          <w:b/>
          <w:bCs/>
          <w:lang w:val="en-US"/>
        </w:rPr>
      </w:pPr>
      <w:r w:rsidRPr="00F065CD">
        <w:rPr>
          <w:b/>
          <w:bCs/>
          <w:lang w:val="en-US"/>
        </w:rPr>
        <w:t>New Question 2/20 on “Evaluation and assessment of Smart Cities and Communities”</w:t>
      </w:r>
    </w:p>
    <w:p w:rsidR="00900E85" w:rsidRDefault="00900E85" w:rsidP="00900E85">
      <w:pPr>
        <w:rPr>
          <w:lang w:val="en-US"/>
        </w:rPr>
      </w:pPr>
      <w:r w:rsidRPr="00900E85">
        <w:rPr>
          <w:lang w:val="en-US"/>
        </w:rPr>
        <w:t>According to the mandate given by TSAG to SG20 as lead Study group on Smart Cities and Communities, and taking into account the work transferred from ITU-T Study Group 5 to SG20, the proponents of this contribution propose to establish a new Question on “Evaluation and assessment of Smart Cities and Communities”.</w:t>
      </w:r>
    </w:p>
    <w:p w:rsidR="00900E85" w:rsidRPr="00E42568" w:rsidRDefault="00900E85" w:rsidP="00900E85">
      <w:pPr>
        <w:pStyle w:val="QuestionNo"/>
      </w:pPr>
      <w:r w:rsidRPr="00E42568">
        <w:t>Question 2/20</w:t>
      </w:r>
    </w:p>
    <w:p w:rsidR="00900E85" w:rsidRPr="00E42568" w:rsidRDefault="00900E85" w:rsidP="00900E85">
      <w:pPr>
        <w:pStyle w:val="Questiontitle"/>
      </w:pPr>
      <w:r w:rsidRPr="00E42568">
        <w:t>Evaluation and Assessment of Smart Cities and Communities</w:t>
      </w:r>
    </w:p>
    <w:p w:rsidR="00900E85" w:rsidRPr="00E42568" w:rsidRDefault="00900E85" w:rsidP="00900E85">
      <w:pPr>
        <w:pStyle w:val="Heading2"/>
      </w:pPr>
      <w:r w:rsidRPr="00E42568">
        <w:t>1</w:t>
      </w:r>
      <w:r w:rsidRPr="00E42568">
        <w:tab/>
        <w:t>Motivation</w:t>
      </w:r>
    </w:p>
    <w:p w:rsidR="00900E85" w:rsidRPr="00E42568" w:rsidRDefault="00900E85" w:rsidP="00900E85">
      <w:r w:rsidRPr="00E42568">
        <w:t>Comprehensive strategies to implement Smart Cities and Communities (SC&amp;C) are emerging around the globe as a response to the challenges posed by rapid urbanization. This involves the integration of information and communication technologies (ICTs) into all aspects of city planning and operation. In this process, ICTs, especially the Internet of Things (</w:t>
      </w:r>
      <w:proofErr w:type="spellStart"/>
      <w:r w:rsidRPr="00E42568">
        <w:t>IoT</w:t>
      </w:r>
      <w:proofErr w:type="spellEnd"/>
      <w:r w:rsidRPr="00E42568">
        <w:t xml:space="preserve">) improve the efficiency of a city’s functions by enabling gathering of pertinent information and interconnecting the multitude of different domains. This would allow the concerned municipalities, the communities and the citizens to make better-informed decisions, thereby facilitating the integration of city services and cooperation across different sectors. </w:t>
      </w:r>
    </w:p>
    <w:p w:rsidR="00900E85" w:rsidRPr="00E42568" w:rsidRDefault="00900E85" w:rsidP="00900E85">
      <w:r w:rsidRPr="00E42568">
        <w:t>At this stage, it is important to be able to measure the performance of various SC&amp;C ventures. One such approach for measurement is provided by key performance indicators (KPIs) that facilitate the monitoring of the progress achieved in SC&amp;C transitions, as well as in the specific sectors such as environment, health, education, utilities.</w:t>
      </w:r>
    </w:p>
    <w:p w:rsidR="00900E85" w:rsidRPr="00E42568" w:rsidRDefault="00900E85" w:rsidP="00900E85">
      <w:r w:rsidRPr="00E42568">
        <w:t>It is desirable that cities can quantify their achievement according to their goals. Therefore, by utilizing these indicators, cities as well as their stakeholders can also objectively assess the extent to which they may be perceived as smarter and more sustainable cities.</w:t>
      </w:r>
    </w:p>
    <w:p w:rsidR="00900E85" w:rsidRPr="00E42568" w:rsidRDefault="00900E85" w:rsidP="00900E85">
      <w:pPr>
        <w:pStyle w:val="Heading2"/>
        <w:rPr>
          <w:bCs/>
        </w:rPr>
      </w:pPr>
      <w:r w:rsidRPr="00E42568">
        <w:t>2</w:t>
      </w:r>
      <w:r w:rsidRPr="00E42568">
        <w:rPr>
          <w:bCs/>
        </w:rPr>
        <w:tab/>
      </w:r>
      <w:r w:rsidRPr="00E42568">
        <w:t xml:space="preserve">Question </w:t>
      </w:r>
    </w:p>
    <w:p w:rsidR="00900E85" w:rsidRPr="00E42568" w:rsidRDefault="00900E85" w:rsidP="00900E85">
      <w:r w:rsidRPr="00E42568">
        <w:t>Study items to be considered include, but are not limited to:</w:t>
      </w:r>
    </w:p>
    <w:p w:rsidR="00900E85" w:rsidRPr="00E42568" w:rsidRDefault="00900E85" w:rsidP="00900E85">
      <w:pPr>
        <w:pStyle w:val="enumlev1"/>
      </w:pPr>
      <w:r w:rsidRPr="00E42568">
        <w:t>–</w:t>
      </w:r>
      <w:r w:rsidRPr="00E42568">
        <w:tab/>
        <w:t>What are the general principles to be used to establish the methodology to assess the use of ICT as well as the impact of ICT in city sustainability?</w:t>
      </w:r>
    </w:p>
    <w:p w:rsidR="00900E85" w:rsidRPr="00E42568" w:rsidRDefault="00900E85" w:rsidP="00900E85">
      <w:pPr>
        <w:pStyle w:val="enumlev1"/>
      </w:pPr>
      <w:r w:rsidRPr="00E42568">
        <w:t>–</w:t>
      </w:r>
      <w:r w:rsidRPr="00E42568">
        <w:tab/>
        <w:t>What are the formulas to calculate a Smart Sustainable Cities Index for worldwide use?</w:t>
      </w:r>
    </w:p>
    <w:p w:rsidR="00900E85" w:rsidRPr="00E42568" w:rsidRDefault="00900E85" w:rsidP="00900E85">
      <w:pPr>
        <w:pStyle w:val="enumlev1"/>
      </w:pPr>
      <w:r w:rsidRPr="00E42568">
        <w:t>–</w:t>
      </w:r>
      <w:r w:rsidRPr="00E42568">
        <w:tab/>
        <w:t>How to collect reliable data, in particular data impacting very significantly the results? How to take into account the evolution of data over time?</w:t>
      </w:r>
    </w:p>
    <w:p w:rsidR="00900E85" w:rsidRPr="00E42568" w:rsidRDefault="00900E85" w:rsidP="00900E85">
      <w:pPr>
        <w:pStyle w:val="enumlev1"/>
      </w:pPr>
      <w:r w:rsidRPr="00E42568">
        <w:t>–</w:t>
      </w:r>
      <w:r w:rsidRPr="00E42568">
        <w:tab/>
        <w:t>How to evaluate the methodology (measurement, statistics sampling, case studies, etc.) including different regional or national aspects?</w:t>
      </w:r>
    </w:p>
    <w:p w:rsidR="00900E85" w:rsidRPr="00E42568" w:rsidRDefault="00900E85" w:rsidP="00900E85">
      <w:pPr>
        <w:pStyle w:val="enumlev1"/>
      </w:pPr>
      <w:r w:rsidRPr="00E42568">
        <w:t>–</w:t>
      </w:r>
      <w:r w:rsidRPr="00E42568">
        <w:tab/>
        <w:t>How to assess the achievement of sustainable development goals (SDGs) in a smart city?</w:t>
      </w:r>
    </w:p>
    <w:p w:rsidR="00900E85" w:rsidRPr="00E42568" w:rsidRDefault="00900E85" w:rsidP="00900E85">
      <w:pPr>
        <w:pStyle w:val="enumlev1"/>
      </w:pPr>
      <w:r w:rsidRPr="00E42568">
        <w:t>–</w:t>
      </w:r>
      <w:r w:rsidRPr="00E42568">
        <w:tab/>
        <w:t>How to measure a city’s specific performance with respect to defined sector indicators such as open data indicators, e-health indicators, utilities indicators, etc.</w:t>
      </w:r>
    </w:p>
    <w:p w:rsidR="00900E85" w:rsidRPr="00E42568" w:rsidRDefault="00900E85" w:rsidP="00900E85">
      <w:pPr>
        <w:pStyle w:val="enumlev1"/>
      </w:pPr>
      <w:r w:rsidRPr="00E42568">
        <w:t>–</w:t>
      </w:r>
      <w:r w:rsidRPr="00E42568">
        <w:tab/>
        <w:t>How to evaluate e-health services’ quality? How to upgrade e-health systems to adapt to future technologies with the evaluation results?</w:t>
      </w:r>
    </w:p>
    <w:p w:rsidR="00900E85" w:rsidRPr="00E42568" w:rsidRDefault="00900E85" w:rsidP="00900E85">
      <w:pPr>
        <w:pStyle w:val="enumlev1"/>
      </w:pPr>
      <w:r w:rsidRPr="00E42568">
        <w:lastRenderedPageBreak/>
        <w:t>–</w:t>
      </w:r>
      <w:r w:rsidRPr="00E42568">
        <w:tab/>
        <w:t>Collaboration with which standards development organizations (SDOs) would be necessary to maximize synergies and harmonize existing standards related to SC&amp;C assessment and evaluation?</w:t>
      </w:r>
    </w:p>
    <w:p w:rsidR="00900E85" w:rsidRPr="00E42568" w:rsidRDefault="00900E85" w:rsidP="00900E85">
      <w:pPr>
        <w:pStyle w:val="Heading2"/>
        <w:rPr>
          <w:bCs/>
        </w:rPr>
      </w:pPr>
      <w:r w:rsidRPr="00E42568">
        <w:t>3</w:t>
      </w:r>
      <w:r w:rsidRPr="00E42568">
        <w:tab/>
        <w:t>Tasks</w:t>
      </w:r>
    </w:p>
    <w:p w:rsidR="00900E85" w:rsidRPr="00E42568" w:rsidRDefault="00900E85" w:rsidP="00900E85">
      <w:r w:rsidRPr="00E42568">
        <w:t>Tasks include, but are not limited to:</w:t>
      </w:r>
    </w:p>
    <w:p w:rsidR="00900E85" w:rsidRPr="00E42568" w:rsidRDefault="00900E85" w:rsidP="00900E85">
      <w:pPr>
        <w:pStyle w:val="enumlev1"/>
        <w:spacing w:before="40"/>
      </w:pPr>
      <w:r w:rsidRPr="00E42568">
        <w:t>–</w:t>
      </w:r>
      <w:r w:rsidRPr="00E42568">
        <w:tab/>
        <w:t>Develop Recommendations on methodology for assessment of city SDGs considering general principles, criteria for evaluating ICT impact.</w:t>
      </w:r>
    </w:p>
    <w:p w:rsidR="00900E85" w:rsidRPr="00E42568" w:rsidRDefault="00900E85" w:rsidP="00900E85">
      <w:pPr>
        <w:pStyle w:val="enumlev1"/>
        <w:spacing w:before="40"/>
      </w:pPr>
      <w:r w:rsidRPr="00E42568">
        <w:t>–</w:t>
      </w:r>
      <w:r w:rsidRPr="00E42568">
        <w:tab/>
        <w:t>Develop Recommendations on collecting and calculating reliable rough data to inject in the assessment model.</w:t>
      </w:r>
    </w:p>
    <w:p w:rsidR="00900E85" w:rsidRPr="00E42568" w:rsidRDefault="00900E85" w:rsidP="00900E85">
      <w:pPr>
        <w:pStyle w:val="enumlev1"/>
        <w:spacing w:before="40"/>
      </w:pPr>
      <w:r w:rsidRPr="00E42568">
        <w:t>–</w:t>
      </w:r>
      <w:r w:rsidRPr="00E42568">
        <w:tab/>
        <w:t>Develop Recommendations on methodology for measuring a city’s specific performance with respect to defined sector indicators.</w:t>
      </w:r>
    </w:p>
    <w:p w:rsidR="00900E85" w:rsidRPr="00E42568" w:rsidRDefault="00900E85" w:rsidP="00900E85">
      <w:pPr>
        <w:pStyle w:val="enumlev1"/>
        <w:spacing w:before="40"/>
      </w:pPr>
      <w:r w:rsidRPr="00E42568">
        <w:t>–</w:t>
      </w:r>
      <w:r w:rsidRPr="00E42568">
        <w:tab/>
        <w:t>Develop Handbooks as necessary making reference to available databases related to common SC&amp;C profiles.</w:t>
      </w:r>
    </w:p>
    <w:p w:rsidR="00900E85" w:rsidRPr="00E42568" w:rsidRDefault="00900E85" w:rsidP="00900E85">
      <w:pPr>
        <w:pStyle w:val="enumlev1"/>
        <w:spacing w:before="40"/>
      </w:pPr>
      <w:r w:rsidRPr="00E42568">
        <w:t>–</w:t>
      </w:r>
      <w:r w:rsidRPr="00E42568">
        <w:tab/>
        <w:t>Develop Handbooks for reporting the global Smart Sustainable Cities Index.</w:t>
      </w:r>
    </w:p>
    <w:p w:rsidR="00900E85" w:rsidRPr="00E42568" w:rsidRDefault="00900E85" w:rsidP="00900E85">
      <w:pPr>
        <w:pStyle w:val="enumlev1"/>
        <w:spacing w:before="40"/>
      </w:pPr>
      <w:r w:rsidRPr="00E42568">
        <w:t>–</w:t>
      </w:r>
      <w:r w:rsidRPr="00E42568">
        <w:tab/>
        <w:t>Develop guidelines and best practices for reporting a city’s performance to help cities to reach SDGs.</w:t>
      </w:r>
    </w:p>
    <w:p w:rsidR="00900E85" w:rsidRPr="00E42568" w:rsidRDefault="00900E85" w:rsidP="00900E85">
      <w:pPr>
        <w:pStyle w:val="enumlev1"/>
        <w:spacing w:before="40"/>
      </w:pPr>
      <w:r w:rsidRPr="00E42568">
        <w:t>–</w:t>
      </w:r>
      <w:r w:rsidRPr="00E42568">
        <w:tab/>
        <w:t>Coordinate with other study groups and other SDOs as well as other UN agencies on a regular basis to collaborate effectively.</w:t>
      </w:r>
    </w:p>
    <w:p w:rsidR="00900E85" w:rsidRPr="00E42568" w:rsidRDefault="00900E85" w:rsidP="00900E85">
      <w:pPr>
        <w:pStyle w:val="Note"/>
      </w:pPr>
      <w:r w:rsidRPr="00E42568">
        <w:t>NOTE – An up-to-date status of the work conducted under this Question is contained in the SG20 Work Programme (</w:t>
      </w:r>
      <w:hyperlink r:id="rId15" w:history="1">
        <w:r w:rsidRPr="00E42568">
          <w:rPr>
            <w:rStyle w:val="Hyperlink"/>
            <w:rFonts w:asciiTheme="majorBidi" w:hAnsiTheme="majorBidi" w:cstheme="majorBidi"/>
          </w:rPr>
          <w:t>http://www.itu.int/ITU-T/workprog/wp_search.aspx?Q=xx/20</w:t>
        </w:r>
      </w:hyperlink>
      <w:r w:rsidRPr="00E42568">
        <w:t>)</w:t>
      </w:r>
    </w:p>
    <w:p w:rsidR="00900E85" w:rsidRPr="00E42568" w:rsidRDefault="00900E85" w:rsidP="00900E85">
      <w:pPr>
        <w:pStyle w:val="Heading2"/>
        <w:rPr>
          <w:bCs/>
        </w:rPr>
      </w:pPr>
      <w:r w:rsidRPr="00E42568">
        <w:t>4</w:t>
      </w:r>
      <w:r w:rsidRPr="00E42568">
        <w:rPr>
          <w:bCs/>
        </w:rPr>
        <w:tab/>
      </w:r>
      <w:r w:rsidRPr="00E42568">
        <w:t>Relationships</w:t>
      </w:r>
    </w:p>
    <w:p w:rsidR="00900E85" w:rsidRPr="00E42568" w:rsidRDefault="00900E85" w:rsidP="00900E85">
      <w:pPr>
        <w:jc w:val="both"/>
        <w:rPr>
          <w:rFonts w:asciiTheme="majorBidi" w:hAnsiTheme="majorBidi" w:cstheme="majorBidi"/>
        </w:rPr>
      </w:pPr>
      <w:r w:rsidRPr="00E42568">
        <w:rPr>
          <w:rFonts w:asciiTheme="majorBidi" w:hAnsiTheme="majorBidi" w:cstheme="majorBidi"/>
          <w:b/>
          <w:bCs/>
        </w:rPr>
        <w:t>Recommendations:</w:t>
      </w:r>
    </w:p>
    <w:p w:rsidR="00900E85" w:rsidRPr="00E42568" w:rsidRDefault="00900E85" w:rsidP="00900E85">
      <w:pPr>
        <w:pStyle w:val="enumlev1"/>
        <w:spacing w:before="40"/>
      </w:pPr>
      <w:r w:rsidRPr="00E42568">
        <w:t>–</w:t>
      </w:r>
      <w:r w:rsidRPr="00E42568">
        <w:tab/>
        <w:t>Y.4000 series including Y.4900/L.1600, Y.4901/L.1601, Y.4902/L.1602, and Y.4903/L.1603</w:t>
      </w:r>
    </w:p>
    <w:p w:rsidR="00900E85" w:rsidRPr="00E42568" w:rsidRDefault="00900E85" w:rsidP="00900E85">
      <w:pPr>
        <w:jc w:val="both"/>
        <w:rPr>
          <w:rFonts w:asciiTheme="majorBidi" w:hAnsiTheme="majorBidi" w:cstheme="majorBidi"/>
        </w:rPr>
      </w:pPr>
      <w:r w:rsidRPr="00E42568">
        <w:rPr>
          <w:rFonts w:asciiTheme="majorBidi" w:hAnsiTheme="majorBidi" w:cstheme="majorBidi"/>
          <w:b/>
          <w:bCs/>
        </w:rPr>
        <w:t>Questions:</w:t>
      </w:r>
    </w:p>
    <w:p w:rsidR="00900E85" w:rsidRPr="00E42568" w:rsidRDefault="00900E85" w:rsidP="00900E85">
      <w:pPr>
        <w:pStyle w:val="enumlev1"/>
        <w:spacing w:before="40"/>
      </w:pPr>
      <w:r w:rsidRPr="00E42568">
        <w:t>–</w:t>
      </w:r>
      <w:r w:rsidRPr="00E42568">
        <w:tab/>
        <w:t>All Questions of SG20</w:t>
      </w:r>
    </w:p>
    <w:p w:rsidR="00900E85" w:rsidRPr="00E42568" w:rsidRDefault="00900E85" w:rsidP="00900E85">
      <w:pPr>
        <w:jc w:val="both"/>
        <w:rPr>
          <w:rFonts w:asciiTheme="majorBidi" w:hAnsiTheme="majorBidi" w:cstheme="majorBidi"/>
        </w:rPr>
      </w:pPr>
      <w:r w:rsidRPr="00E42568">
        <w:rPr>
          <w:rFonts w:asciiTheme="majorBidi" w:hAnsiTheme="majorBidi" w:cstheme="majorBidi"/>
          <w:b/>
          <w:bCs/>
        </w:rPr>
        <w:t>Study Groups:</w:t>
      </w:r>
    </w:p>
    <w:p w:rsidR="00900E85" w:rsidRPr="00E42568" w:rsidRDefault="00900E85" w:rsidP="00900E85">
      <w:pPr>
        <w:pStyle w:val="enumlev1"/>
        <w:spacing w:before="40"/>
      </w:pPr>
      <w:r w:rsidRPr="00E42568">
        <w:t>–</w:t>
      </w:r>
      <w:r w:rsidRPr="00E42568">
        <w:tab/>
        <w:t>ITU-T (e.g. considering their lead study group role), ITU-D and ITU-R Study Groups as appropriate</w:t>
      </w:r>
    </w:p>
    <w:p w:rsidR="00900E85" w:rsidRPr="00E42568" w:rsidRDefault="00900E85" w:rsidP="00900E85">
      <w:pPr>
        <w:jc w:val="both"/>
        <w:rPr>
          <w:rFonts w:asciiTheme="majorBidi" w:hAnsiTheme="majorBidi" w:cstheme="majorBidi"/>
        </w:rPr>
      </w:pPr>
      <w:r w:rsidRPr="00E42568">
        <w:rPr>
          <w:rFonts w:asciiTheme="majorBidi" w:hAnsiTheme="majorBidi" w:cstheme="majorBidi"/>
          <w:b/>
          <w:bCs/>
        </w:rPr>
        <w:t>Other bodies:</w:t>
      </w:r>
    </w:p>
    <w:p w:rsidR="00900E85" w:rsidRPr="00E42568" w:rsidRDefault="00900E85" w:rsidP="00900E85">
      <w:pPr>
        <w:pStyle w:val="enumlev1"/>
        <w:spacing w:before="40"/>
      </w:pPr>
      <w:r w:rsidRPr="00E42568">
        <w:t>–</w:t>
      </w:r>
      <w:r w:rsidRPr="00E42568">
        <w:tab/>
        <w:t>CEN-CENELEC-ETSI Coordination Group ‘Smart and Sustainable Cities and Communities’ (SSCC-CG)</w:t>
      </w:r>
    </w:p>
    <w:p w:rsidR="00900E85" w:rsidRPr="00E42568" w:rsidRDefault="00900E85" w:rsidP="00900E85">
      <w:pPr>
        <w:pStyle w:val="enumlev1"/>
        <w:spacing w:before="40"/>
        <w:rPr>
          <w:lang w:val="fr-CH"/>
        </w:rPr>
      </w:pPr>
      <w:r w:rsidRPr="00E42568">
        <w:rPr>
          <w:lang w:val="fr-CH"/>
        </w:rPr>
        <w:t>–</w:t>
      </w:r>
      <w:r w:rsidRPr="00E42568">
        <w:rPr>
          <w:lang w:val="fr-CH"/>
        </w:rPr>
        <w:tab/>
        <w:t>ETSI TC EE</w:t>
      </w:r>
    </w:p>
    <w:p w:rsidR="00900E85" w:rsidRPr="00E42568" w:rsidRDefault="00900E85" w:rsidP="00900E85">
      <w:pPr>
        <w:pStyle w:val="enumlev1"/>
        <w:spacing w:before="40"/>
        <w:rPr>
          <w:lang w:val="fr-CH"/>
        </w:rPr>
      </w:pPr>
      <w:r w:rsidRPr="00E42568">
        <w:rPr>
          <w:lang w:val="fr-CH"/>
        </w:rPr>
        <w:t>–</w:t>
      </w:r>
      <w:r w:rsidRPr="00E42568">
        <w:rPr>
          <w:lang w:val="fr-CH"/>
        </w:rPr>
        <w:tab/>
        <w:t>ETSI TC Smart M2M</w:t>
      </w:r>
    </w:p>
    <w:p w:rsidR="00900E85" w:rsidRPr="00E42568" w:rsidRDefault="00900E85" w:rsidP="00900E85">
      <w:pPr>
        <w:pStyle w:val="enumlev1"/>
        <w:spacing w:before="40"/>
        <w:rPr>
          <w:lang w:val="fr-CH"/>
        </w:rPr>
      </w:pPr>
      <w:r w:rsidRPr="00E42568">
        <w:rPr>
          <w:lang w:val="fr-CH"/>
        </w:rPr>
        <w:t>–</w:t>
      </w:r>
      <w:r w:rsidRPr="00E42568">
        <w:rPr>
          <w:lang w:val="fr-CH"/>
        </w:rPr>
        <w:tab/>
        <w:t>IEC SEG1</w:t>
      </w:r>
    </w:p>
    <w:p w:rsidR="00900E85" w:rsidRPr="00E42568" w:rsidRDefault="00900E85" w:rsidP="00900E85">
      <w:pPr>
        <w:pStyle w:val="enumlev1"/>
        <w:spacing w:before="40"/>
      </w:pPr>
      <w:r w:rsidRPr="00E42568">
        <w:t>–</w:t>
      </w:r>
      <w:r w:rsidRPr="00E42568">
        <w:tab/>
        <w:t>IEC TC 111</w:t>
      </w:r>
    </w:p>
    <w:p w:rsidR="00900E85" w:rsidRPr="00E42568" w:rsidRDefault="00900E85" w:rsidP="00900E85">
      <w:pPr>
        <w:pStyle w:val="enumlev1"/>
        <w:spacing w:before="40"/>
      </w:pPr>
      <w:r w:rsidRPr="00E42568">
        <w:t>–</w:t>
      </w:r>
      <w:r w:rsidRPr="00E42568">
        <w:tab/>
        <w:t xml:space="preserve">OneM2M </w:t>
      </w:r>
    </w:p>
    <w:p w:rsidR="00900E85" w:rsidRPr="00E42568" w:rsidRDefault="00900E85" w:rsidP="00900E85">
      <w:pPr>
        <w:pStyle w:val="enumlev1"/>
        <w:spacing w:before="40"/>
      </w:pPr>
      <w:r w:rsidRPr="00E42568">
        <w:t>–</w:t>
      </w:r>
      <w:r w:rsidRPr="00E42568">
        <w:tab/>
        <w:t>IEEE smart cities community</w:t>
      </w:r>
    </w:p>
    <w:p w:rsidR="00900E85" w:rsidRPr="00E42568" w:rsidRDefault="00900E85" w:rsidP="00900E85">
      <w:pPr>
        <w:pStyle w:val="enumlev1"/>
        <w:spacing w:before="40"/>
      </w:pPr>
      <w:r w:rsidRPr="00E42568">
        <w:t>–</w:t>
      </w:r>
      <w:r w:rsidRPr="00E42568">
        <w:tab/>
        <w:t>ISO/IEC JTC 1/WG11</w:t>
      </w:r>
    </w:p>
    <w:p w:rsidR="00900E85" w:rsidRPr="00E42568" w:rsidRDefault="00900E85" w:rsidP="00900E85">
      <w:pPr>
        <w:pStyle w:val="enumlev1"/>
        <w:spacing w:before="40"/>
      </w:pPr>
      <w:r w:rsidRPr="00E42568">
        <w:t>–</w:t>
      </w:r>
      <w:r w:rsidRPr="00E42568">
        <w:tab/>
        <w:t>ISO TC 268 SC1</w:t>
      </w:r>
    </w:p>
    <w:p w:rsidR="00900E85" w:rsidRDefault="00900E85" w:rsidP="00900E85">
      <w:pPr>
        <w:pStyle w:val="enumlev1"/>
        <w:spacing w:before="40"/>
      </w:pPr>
      <w:r w:rsidRPr="00E42568">
        <w:t>–</w:t>
      </w:r>
      <w:r w:rsidRPr="00E42568">
        <w:tab/>
        <w:t>ISO SAGIIC (Industrial Internet Consortium)</w:t>
      </w:r>
    </w:p>
    <w:p w:rsidR="008A23C2" w:rsidRDefault="008A23C2" w:rsidP="00900E85">
      <w:pPr>
        <w:pStyle w:val="Reasons"/>
      </w:pPr>
    </w:p>
    <w:p w:rsidR="008A23C2" w:rsidRDefault="008375E8">
      <w:pPr>
        <w:pStyle w:val="Proposal"/>
      </w:pPr>
      <w:r>
        <w:lastRenderedPageBreak/>
        <w:tab/>
        <w:t>ARB/43A32/2</w:t>
      </w:r>
    </w:p>
    <w:p w:rsidR="00900E85" w:rsidRPr="00900E85" w:rsidRDefault="00900E85" w:rsidP="00900E85">
      <w:pPr>
        <w:rPr>
          <w:b/>
          <w:bCs/>
          <w:lang w:val="en-US"/>
        </w:rPr>
      </w:pPr>
      <w:r w:rsidRPr="00900E85">
        <w:rPr>
          <w:b/>
          <w:bCs/>
          <w:lang w:val="en-US"/>
        </w:rPr>
        <w:t>New Question 3/20 on “Security, Privacy, Trust, and Identification”</w:t>
      </w:r>
    </w:p>
    <w:p w:rsidR="00900E85" w:rsidRDefault="00900E85" w:rsidP="00900E85">
      <w:pPr>
        <w:rPr>
          <w:lang w:val="en-US"/>
        </w:rPr>
      </w:pPr>
      <w:r w:rsidRPr="00900E85">
        <w:rPr>
          <w:lang w:val="en-US"/>
        </w:rPr>
        <w:t xml:space="preserve">According to the mandate given by TSAG to SG20 to study security, privacy, trust, and identification of </w:t>
      </w:r>
      <w:proofErr w:type="spellStart"/>
      <w:r w:rsidRPr="00900E85">
        <w:rPr>
          <w:lang w:val="en-US"/>
        </w:rPr>
        <w:t>IoT</w:t>
      </w:r>
      <w:proofErr w:type="spellEnd"/>
      <w:r w:rsidRPr="00900E85">
        <w:rPr>
          <w:lang w:val="en-US"/>
        </w:rPr>
        <w:t xml:space="preserve"> and Smart Cities and Communities (SCC) systems, services and applications taking into consideration the work and studies undertaken by Questions Q1/20, Q4/20, Q5/20 and Q6/20, the proponents of this contribution proposes to establish a standalone Question on “Security, Privacy, Trust and Identification” services and applications taking into consideration the work and studies undertaken by Questions Q4/20, Q5/20 and Q6/20.</w:t>
      </w:r>
    </w:p>
    <w:p w:rsidR="00900E85" w:rsidRPr="00E42568" w:rsidRDefault="00900E85" w:rsidP="00900E85">
      <w:pPr>
        <w:pStyle w:val="QuestionNo"/>
      </w:pPr>
      <w:r w:rsidRPr="00E42568">
        <w:t>Question 3/20</w:t>
      </w:r>
    </w:p>
    <w:p w:rsidR="00900E85" w:rsidRPr="00E42568" w:rsidRDefault="00900E85" w:rsidP="00900E85">
      <w:pPr>
        <w:pStyle w:val="Questiontitle"/>
      </w:pPr>
      <w:r w:rsidRPr="00E42568">
        <w:t>Security, Privacy, Trust, and Identification</w:t>
      </w:r>
    </w:p>
    <w:p w:rsidR="00900E85" w:rsidRPr="00F01963" w:rsidRDefault="00900E85" w:rsidP="00900E85">
      <w:pPr>
        <w:pStyle w:val="Heading2"/>
        <w:rPr>
          <w:b w:val="0"/>
          <w:bCs/>
        </w:rPr>
      </w:pPr>
      <w:r w:rsidRPr="00F01963">
        <w:rPr>
          <w:rStyle w:val="Strong"/>
          <w:b/>
          <w:bCs w:val="0"/>
        </w:rPr>
        <w:t>1</w:t>
      </w:r>
      <w:r w:rsidRPr="00F01963">
        <w:rPr>
          <w:rStyle w:val="Strong"/>
          <w:b/>
          <w:bCs w:val="0"/>
        </w:rPr>
        <w:tab/>
        <w:t>Motivation</w:t>
      </w:r>
    </w:p>
    <w:p w:rsidR="00900E85" w:rsidRPr="00E42568" w:rsidRDefault="00900E85" w:rsidP="00900E85">
      <w:pPr>
        <w:rPr>
          <w:lang w:eastAsia="zh-CN"/>
        </w:rPr>
      </w:pPr>
      <w:r w:rsidRPr="00E42568">
        <w:rPr>
          <w:lang w:eastAsia="zh-CN"/>
        </w:rPr>
        <w:t xml:space="preserve">Toward the information society, there are increases of cyber-attacks, cybercrime, and loss of credit or trust. The ICT infrastructure will evolve to provide future converged services and applications by accommodating a lot of </w:t>
      </w:r>
      <w:r w:rsidRPr="00E42568">
        <w:t>Internet of Things (</w:t>
      </w:r>
      <w:proofErr w:type="spellStart"/>
      <w:r w:rsidRPr="00E42568">
        <w:t>IoT</w:t>
      </w:r>
      <w:proofErr w:type="spellEnd"/>
      <w:r w:rsidRPr="00E42568">
        <w:t>)</w:t>
      </w:r>
      <w:r w:rsidRPr="00E42568">
        <w:rPr>
          <w:lang w:eastAsia="zh-CN"/>
        </w:rPr>
        <w:t xml:space="preserve"> sensors and </w:t>
      </w:r>
      <w:proofErr w:type="spellStart"/>
      <w:r w:rsidRPr="00E42568">
        <w:rPr>
          <w:lang w:eastAsia="zh-CN"/>
        </w:rPr>
        <w:t>IoT</w:t>
      </w:r>
      <w:proofErr w:type="spellEnd"/>
      <w:r w:rsidRPr="00E42568">
        <w:rPr>
          <w:lang w:eastAsia="zh-CN"/>
        </w:rPr>
        <w:t>-related systems. Additionally, the world is experiencing an evolution of Smart Cities. A lot of stakeholders from various industries are involved in future converged and intelligent services to be deployed using ICT infrastructure. This heterogeneous environment, while it promises great advances in the way the services and applications are provisioned, and in the way systems are managed, administered and maintained, it yet comes with a very wide range of sector-specific risks and threat vectors. Implications for security</w:t>
      </w:r>
      <w:proofErr w:type="gramStart"/>
      <w:r w:rsidRPr="00E42568">
        <w:rPr>
          <w:lang w:eastAsia="zh-CN"/>
        </w:rPr>
        <w:t>,  privacy</w:t>
      </w:r>
      <w:proofErr w:type="gramEnd"/>
      <w:r w:rsidRPr="00E42568">
        <w:rPr>
          <w:lang w:eastAsia="zh-CN"/>
        </w:rPr>
        <w:t xml:space="preserve">, and the overall trust of use, adoption, and proliferation of </w:t>
      </w:r>
      <w:proofErr w:type="spellStart"/>
      <w:r w:rsidRPr="00E42568">
        <w:rPr>
          <w:lang w:eastAsia="zh-CN"/>
        </w:rPr>
        <w:t>IoT</w:t>
      </w:r>
      <w:proofErr w:type="spellEnd"/>
      <w:r w:rsidRPr="00E42568">
        <w:rPr>
          <w:lang w:eastAsia="zh-CN"/>
        </w:rPr>
        <w:t xml:space="preserve">, and smart city devices, systems, services, applications, and platforms could hinder its overall market development. Therefore, it is important to implement </w:t>
      </w:r>
      <w:r w:rsidRPr="00E42568">
        <w:t xml:space="preserve">Privacy and Security by Design which emphasizes that protections be built into information technologies, business practices, systems, processes, physical design, and networked infrastructure. </w:t>
      </w:r>
      <w:r w:rsidRPr="00E42568">
        <w:rPr>
          <w:lang w:eastAsia="zh-CN"/>
        </w:rPr>
        <w:t xml:space="preserve">  </w:t>
      </w:r>
    </w:p>
    <w:p w:rsidR="00900E85" w:rsidRPr="00E42568" w:rsidRDefault="00900E85" w:rsidP="00900E85">
      <w:pPr>
        <w:rPr>
          <w:lang w:eastAsia="zh-CN"/>
        </w:rPr>
      </w:pPr>
      <w:r w:rsidRPr="00E42568">
        <w:t xml:space="preserve">The satisfaction of security and privacy requirements plays a fundamental role in the </w:t>
      </w:r>
      <w:proofErr w:type="spellStart"/>
      <w:r w:rsidRPr="00E42568">
        <w:t>IoT</w:t>
      </w:r>
      <w:proofErr w:type="spellEnd"/>
      <w:r w:rsidRPr="00E42568">
        <w:t xml:space="preserve"> environment and SC&amp;C.</w:t>
      </w:r>
      <w:r w:rsidRPr="00E42568">
        <w:rPr>
          <w:lang w:eastAsia="zh-CN"/>
        </w:rPr>
        <w:t xml:space="preserve"> </w:t>
      </w:r>
      <w:r w:rsidRPr="00E42568">
        <w:t xml:space="preserve">Such requirements include data confidentiality and authentication, access control within the </w:t>
      </w:r>
      <w:proofErr w:type="spellStart"/>
      <w:r w:rsidRPr="00E42568">
        <w:t>IoT</w:t>
      </w:r>
      <w:proofErr w:type="spellEnd"/>
      <w:r w:rsidRPr="00E42568">
        <w:t xml:space="preserve"> network, availability, data integrity, privacy and trust among users and things, and non-repudiation. Traditional security countermeasures cannot be directly applied to </w:t>
      </w:r>
      <w:proofErr w:type="spellStart"/>
      <w:r w:rsidRPr="00E42568">
        <w:t>IoT</w:t>
      </w:r>
      <w:proofErr w:type="spellEnd"/>
      <w:r w:rsidRPr="00E42568">
        <w:t xml:space="preserve"> technologies due to the different standards and communication stacks involved, in addition to the different specific knowledge-domain expertise required. Moreover, the high number of interconnected devices raises scalability issues; therefore, a flexible infrastructure is needed, able to deal with security threats in such a dynamic environment.</w:t>
      </w:r>
      <w:r w:rsidRPr="00E42568">
        <w:rPr>
          <w:lang w:eastAsia="zh-CN"/>
        </w:rPr>
        <w:t xml:space="preserve"> The future ICT infrastructure should be reliable, safe, confidential, and trustful enough. Therefore, security and trust provisioning for </w:t>
      </w:r>
      <w:proofErr w:type="spellStart"/>
      <w:r w:rsidRPr="00E42568">
        <w:rPr>
          <w:lang w:eastAsia="zh-CN"/>
        </w:rPr>
        <w:t>IoT</w:t>
      </w:r>
      <w:proofErr w:type="spellEnd"/>
      <w:r w:rsidRPr="00E42568">
        <w:rPr>
          <w:lang w:eastAsia="zh-CN"/>
        </w:rPr>
        <w:t xml:space="preserve"> is one of the outstanding standardization issues of the ITU-T SG20.</w:t>
      </w:r>
    </w:p>
    <w:p w:rsidR="00900E85" w:rsidRPr="00E42568" w:rsidRDefault="00900E85" w:rsidP="00900E85">
      <w:pPr>
        <w:rPr>
          <w:lang w:eastAsia="zh-CN"/>
        </w:rPr>
      </w:pPr>
      <w:r w:rsidRPr="00E42568">
        <w:rPr>
          <w:lang w:eastAsia="zh-CN"/>
        </w:rPr>
        <w:t xml:space="preserve">On the other hand, Identification technologies have always been regarded as a critical enabling technology for </w:t>
      </w:r>
      <w:proofErr w:type="spellStart"/>
      <w:r w:rsidRPr="00E42568">
        <w:rPr>
          <w:lang w:eastAsia="zh-CN"/>
        </w:rPr>
        <w:t>IoT</w:t>
      </w:r>
      <w:proofErr w:type="spellEnd"/>
      <w:r w:rsidRPr="00E42568">
        <w:rPr>
          <w:lang w:eastAsia="zh-CN"/>
        </w:rPr>
        <w:t xml:space="preserve"> implementation. Both physical devices (such as tagged items and products, sensing devices) and virtual entities (such as computational processes, software) could be assigned an identifier in order to be </w:t>
      </w:r>
      <w:proofErr w:type="spellStart"/>
      <w:r w:rsidRPr="00E42568">
        <w:rPr>
          <w:lang w:eastAsia="zh-CN"/>
        </w:rPr>
        <w:t>identifed</w:t>
      </w:r>
      <w:proofErr w:type="spellEnd"/>
      <w:r w:rsidRPr="00E42568">
        <w:rPr>
          <w:lang w:eastAsia="zh-CN"/>
        </w:rPr>
        <w:t xml:space="preserve"> and distinguished. Since a thing is composed of other things, it is crucial for each thing to be addressable, and identifiable in order to address, privacy, security, trust, and network reachability issues in </w:t>
      </w:r>
      <w:proofErr w:type="spellStart"/>
      <w:r w:rsidRPr="00E42568">
        <w:rPr>
          <w:lang w:eastAsia="zh-CN"/>
        </w:rPr>
        <w:t>IoT</w:t>
      </w:r>
      <w:proofErr w:type="spellEnd"/>
      <w:r w:rsidRPr="00E42568">
        <w:rPr>
          <w:lang w:eastAsia="zh-CN"/>
        </w:rPr>
        <w:t xml:space="preserve"> </w:t>
      </w:r>
      <w:proofErr w:type="spellStart"/>
      <w:r w:rsidRPr="00E42568">
        <w:rPr>
          <w:lang w:eastAsia="zh-CN"/>
        </w:rPr>
        <w:t>delpoyments</w:t>
      </w:r>
      <w:proofErr w:type="spellEnd"/>
      <w:r w:rsidRPr="00E42568">
        <w:rPr>
          <w:lang w:eastAsia="zh-CN"/>
        </w:rPr>
        <w:t>.</w:t>
      </w:r>
    </w:p>
    <w:p w:rsidR="00900E85" w:rsidRPr="00F01963" w:rsidRDefault="00900E85" w:rsidP="00900E85">
      <w:pPr>
        <w:pStyle w:val="Heading2"/>
        <w:rPr>
          <w:b w:val="0"/>
          <w:bCs/>
        </w:rPr>
      </w:pPr>
      <w:r w:rsidRPr="00F01963">
        <w:rPr>
          <w:b w:val="0"/>
          <w:bCs/>
        </w:rPr>
        <w:t>2</w:t>
      </w:r>
      <w:r w:rsidRPr="00F01963">
        <w:rPr>
          <w:b w:val="0"/>
          <w:bCs/>
        </w:rPr>
        <w:tab/>
      </w:r>
      <w:r w:rsidRPr="00F01963">
        <w:rPr>
          <w:rStyle w:val="Strong"/>
          <w:b/>
          <w:bCs w:val="0"/>
        </w:rPr>
        <w:t>Ques</w:t>
      </w:r>
      <w:r w:rsidRPr="00F01963">
        <w:rPr>
          <w:rStyle w:val="Heading5Char"/>
          <w:b/>
          <w:bCs/>
        </w:rPr>
        <w:t>t</w:t>
      </w:r>
      <w:r w:rsidRPr="00F01963">
        <w:rPr>
          <w:rStyle w:val="Strong"/>
          <w:b/>
          <w:bCs w:val="0"/>
        </w:rPr>
        <w:t>ion</w:t>
      </w:r>
    </w:p>
    <w:p w:rsidR="00900E85" w:rsidRPr="00E42568" w:rsidRDefault="00900E85" w:rsidP="00900E85">
      <w:pPr>
        <w:rPr>
          <w:rFonts w:eastAsiaTheme="minorEastAsia"/>
          <w:lang w:eastAsia="ja-JP"/>
        </w:rPr>
      </w:pPr>
      <w:r w:rsidRPr="00E42568">
        <w:rPr>
          <w:rFonts w:eastAsiaTheme="minorEastAsia"/>
          <w:lang w:eastAsia="ja-JP"/>
        </w:rPr>
        <w:t xml:space="preserve">This Question addresses the security, privacy, trust provisioning, naming, addressing, and identification of </w:t>
      </w:r>
      <w:proofErr w:type="spellStart"/>
      <w:r w:rsidRPr="00E42568">
        <w:rPr>
          <w:rFonts w:eastAsiaTheme="minorEastAsia"/>
          <w:lang w:eastAsia="ja-JP"/>
        </w:rPr>
        <w:t>IoT</w:t>
      </w:r>
      <w:proofErr w:type="spellEnd"/>
      <w:r w:rsidRPr="00E42568">
        <w:rPr>
          <w:rFonts w:eastAsiaTheme="minorEastAsia"/>
          <w:lang w:eastAsia="ja-JP"/>
        </w:rPr>
        <w:t xml:space="preserve"> systems, services, applications, and protocols. </w:t>
      </w:r>
    </w:p>
    <w:p w:rsidR="00900E85" w:rsidRPr="00E42568" w:rsidRDefault="00900E85" w:rsidP="00900E85">
      <w:pPr>
        <w:rPr>
          <w:rFonts w:eastAsiaTheme="minorEastAsia"/>
          <w:lang w:eastAsia="ja-JP"/>
        </w:rPr>
      </w:pPr>
      <w:r w:rsidRPr="00E42568">
        <w:rPr>
          <w:rFonts w:eastAsiaTheme="minorEastAsia"/>
          <w:lang w:eastAsia="ja-JP"/>
        </w:rPr>
        <w:t>Study items to be considered include, but are not limited to:</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 xml:space="preserve">What are the possible threats against the compromise of authenticity, confidentiality, integrity, non-repudiation, and availability of </w:t>
      </w:r>
      <w:proofErr w:type="spellStart"/>
      <w:r w:rsidRPr="00E42568">
        <w:rPr>
          <w:rFonts w:eastAsiaTheme="minorEastAsia"/>
          <w:lang w:eastAsia="ja-JP"/>
        </w:rPr>
        <w:t>IoT</w:t>
      </w:r>
      <w:proofErr w:type="spellEnd"/>
      <w:r w:rsidRPr="00E42568">
        <w:rPr>
          <w:rFonts w:eastAsiaTheme="minorEastAsia"/>
          <w:lang w:eastAsia="ja-JP"/>
        </w:rPr>
        <w:t xml:space="preserve"> devices, systems, applications, protocols, platforms, and services regardless of the difficulty and cost of carrying out an attack to materialize a particular threat?</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 xml:space="preserve">What are the probability estimates of various attacks and the potential gain for the attacker to an </w:t>
      </w:r>
      <w:proofErr w:type="spellStart"/>
      <w:r w:rsidRPr="00E42568">
        <w:rPr>
          <w:rFonts w:eastAsiaTheme="minorEastAsia"/>
          <w:lang w:eastAsia="ja-JP"/>
        </w:rPr>
        <w:t>IoT</w:t>
      </w:r>
      <w:proofErr w:type="spellEnd"/>
      <w:r w:rsidRPr="00E42568">
        <w:rPr>
          <w:rFonts w:eastAsiaTheme="minorEastAsia"/>
          <w:lang w:eastAsia="ja-JP"/>
        </w:rPr>
        <w:t>/SC&amp;C system? What is the estimated damage to the attacked side?</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 xml:space="preserve">What are the requirements needed to mitigate and counteract the risks and threats identified in </w:t>
      </w:r>
      <w:proofErr w:type="spellStart"/>
      <w:r w:rsidRPr="00E42568">
        <w:rPr>
          <w:rFonts w:eastAsiaTheme="minorEastAsia"/>
          <w:lang w:eastAsia="ja-JP"/>
        </w:rPr>
        <w:t>IoT</w:t>
      </w:r>
      <w:proofErr w:type="spellEnd"/>
      <w:r w:rsidRPr="00E42568">
        <w:rPr>
          <w:rFonts w:eastAsiaTheme="minorEastAsia"/>
          <w:lang w:eastAsia="ja-JP"/>
        </w:rPr>
        <w:t xml:space="preserve"> and SC&amp;C devices, devices, systems, applications, protocols, platforms, and services?</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 xml:space="preserve">What are the Identification systems required to </w:t>
      </w:r>
      <w:proofErr w:type="spellStart"/>
      <w:r w:rsidRPr="00E42568">
        <w:rPr>
          <w:rFonts w:eastAsiaTheme="minorEastAsia"/>
          <w:lang w:eastAsia="ja-JP"/>
        </w:rPr>
        <w:t>fulfill</w:t>
      </w:r>
      <w:proofErr w:type="spellEnd"/>
      <w:r w:rsidRPr="00E42568">
        <w:rPr>
          <w:rFonts w:eastAsiaTheme="minorEastAsia"/>
          <w:lang w:eastAsia="ja-JP"/>
        </w:rPr>
        <w:t xml:space="preserve"> the requirements of </w:t>
      </w:r>
      <w:proofErr w:type="spellStart"/>
      <w:r w:rsidRPr="00E42568">
        <w:rPr>
          <w:rFonts w:eastAsiaTheme="minorEastAsia"/>
          <w:lang w:eastAsia="ja-JP"/>
        </w:rPr>
        <w:t>IoT</w:t>
      </w:r>
      <w:proofErr w:type="spellEnd"/>
      <w:r w:rsidRPr="00E42568">
        <w:rPr>
          <w:rFonts w:eastAsiaTheme="minorEastAsia"/>
          <w:lang w:eastAsia="ja-JP"/>
        </w:rPr>
        <w:t xml:space="preserve"> including security, privacy and trust?</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What are the requirements and mechanisms for protecting and preventing disclosure of things’ information?</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How can secure credential management be integrated in Identification systems?</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How can authentication technologies be integrated in identification systems?</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 xml:space="preserve">How can traditional integrity, availability, authenticity, non-repudiation measures be applied in </w:t>
      </w:r>
      <w:proofErr w:type="spellStart"/>
      <w:r w:rsidRPr="00E42568">
        <w:rPr>
          <w:rFonts w:eastAsiaTheme="minorEastAsia"/>
          <w:lang w:eastAsia="ja-JP"/>
        </w:rPr>
        <w:t>IoT</w:t>
      </w:r>
      <w:proofErr w:type="spellEnd"/>
      <w:r w:rsidRPr="00E42568">
        <w:rPr>
          <w:rFonts w:eastAsiaTheme="minorEastAsia"/>
          <w:lang w:eastAsia="ja-JP"/>
        </w:rPr>
        <w:t xml:space="preserve"> devices to protect identity, privacy, and security of the system, given the devices’ restricted resources in terms of energy, space, memory, bandwidth, and connectivity?</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 xml:space="preserve">What technical measures, protocols, and systems needed to ensure the protection of privacy in SC&amp;C applications, services, and platforms? How can trust be maintained and ensured for the use of such systems? </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 xml:space="preserve">How can you prevent the unlawful traceability, profiling, and unlawful processing of </w:t>
      </w:r>
      <w:proofErr w:type="spellStart"/>
      <w:r w:rsidRPr="00E42568">
        <w:rPr>
          <w:rFonts w:eastAsiaTheme="minorEastAsia"/>
          <w:lang w:eastAsia="ja-JP"/>
        </w:rPr>
        <w:t>IoT</w:t>
      </w:r>
      <w:proofErr w:type="spellEnd"/>
      <w:r w:rsidRPr="00E42568">
        <w:rPr>
          <w:rFonts w:eastAsiaTheme="minorEastAsia"/>
          <w:lang w:eastAsia="ja-JP"/>
        </w:rPr>
        <w:t xml:space="preserve"> systems, applications, platforms, and services?</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 xml:space="preserve">What measures can be developed to ensure a seamless availability and portability of the data in </w:t>
      </w:r>
      <w:proofErr w:type="spellStart"/>
      <w:r w:rsidRPr="00E42568">
        <w:rPr>
          <w:rFonts w:eastAsiaTheme="minorEastAsia"/>
          <w:lang w:eastAsia="ja-JP"/>
        </w:rPr>
        <w:t>IoT</w:t>
      </w:r>
      <w:proofErr w:type="spellEnd"/>
      <w:r w:rsidRPr="00E42568">
        <w:rPr>
          <w:rFonts w:eastAsiaTheme="minorEastAsia"/>
          <w:lang w:eastAsia="ja-JP"/>
        </w:rPr>
        <w:t xml:space="preserve"> and SC&amp;C platforms, systems, and services?</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 xml:space="preserve">How can you address non IP based and/or non-web based connected objects in a mixed heterogeneous </w:t>
      </w:r>
      <w:proofErr w:type="spellStart"/>
      <w:r w:rsidRPr="00E42568">
        <w:rPr>
          <w:rFonts w:eastAsiaTheme="minorEastAsia"/>
          <w:lang w:eastAsia="ja-JP"/>
        </w:rPr>
        <w:t>IoT</w:t>
      </w:r>
      <w:proofErr w:type="spellEnd"/>
      <w:r w:rsidRPr="00E42568">
        <w:rPr>
          <w:rFonts w:eastAsiaTheme="minorEastAsia"/>
          <w:lang w:eastAsia="ja-JP"/>
        </w:rPr>
        <w:t xml:space="preserve"> system?</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 xml:space="preserve">How can semantic interoperability be used as a mechanism to identify a thing? What are the associated risks of </w:t>
      </w:r>
      <w:proofErr w:type="spellStart"/>
      <w:r w:rsidRPr="00E42568">
        <w:rPr>
          <w:rFonts w:eastAsiaTheme="minorEastAsia"/>
          <w:lang w:eastAsia="ja-JP"/>
        </w:rPr>
        <w:t>mis</w:t>
      </w:r>
      <w:proofErr w:type="spellEnd"/>
      <w:r w:rsidRPr="00E42568">
        <w:rPr>
          <w:rFonts w:eastAsiaTheme="minorEastAsia"/>
          <w:lang w:eastAsia="ja-JP"/>
        </w:rPr>
        <w:t>-identification?</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 xml:space="preserve">How are </w:t>
      </w:r>
      <w:proofErr w:type="spellStart"/>
      <w:r w:rsidRPr="00E42568">
        <w:rPr>
          <w:rFonts w:eastAsiaTheme="minorEastAsia"/>
          <w:lang w:eastAsia="ja-JP"/>
        </w:rPr>
        <w:t>IoT</w:t>
      </w:r>
      <w:proofErr w:type="spellEnd"/>
      <w:r w:rsidRPr="00E42568">
        <w:rPr>
          <w:rFonts w:eastAsiaTheme="minorEastAsia"/>
          <w:lang w:eastAsia="ja-JP"/>
        </w:rPr>
        <w:t xml:space="preserve"> names registered and managed?</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What are the technical measures needed for identity discovery? What attributes would an identity registry need to maintain things identification and systems integration?</w:t>
      </w:r>
    </w:p>
    <w:p w:rsidR="00900E85" w:rsidRPr="00E42568" w:rsidRDefault="00900E85" w:rsidP="00900E85">
      <w:pPr>
        <w:pStyle w:val="enumlev1"/>
        <w:rPr>
          <w:rFonts w:eastAsiaTheme="minorEastAsia"/>
          <w:lang w:eastAsia="ja-JP"/>
        </w:rPr>
      </w:pPr>
      <w:r w:rsidRPr="00E42568">
        <w:t>–</w:t>
      </w:r>
      <w:r w:rsidRPr="00E42568">
        <w:tab/>
      </w:r>
      <w:r w:rsidRPr="00E42568">
        <w:rPr>
          <w:rFonts w:eastAsiaTheme="minorEastAsia"/>
          <w:lang w:eastAsia="ja-JP"/>
        </w:rPr>
        <w:t>How will devices prevent impersonation of the other devices with which they exchange data? How will devices generating, processing, storing, or retrieving private, sensitive, confidential, or secret data be able to detect, and prevent fraudulent use?</w:t>
      </w:r>
    </w:p>
    <w:p w:rsidR="00900E85" w:rsidRPr="00F01963" w:rsidRDefault="00900E85" w:rsidP="00900E85">
      <w:pPr>
        <w:pStyle w:val="Heading2"/>
        <w:rPr>
          <w:b w:val="0"/>
          <w:bCs/>
          <w:lang w:val="en-US"/>
        </w:rPr>
      </w:pPr>
      <w:r w:rsidRPr="00F01963">
        <w:rPr>
          <w:rStyle w:val="Strong"/>
          <w:rFonts w:asciiTheme="majorBidi" w:hAnsiTheme="majorBidi" w:cstheme="majorBidi"/>
          <w:b/>
          <w:bCs w:val="0"/>
          <w:szCs w:val="24"/>
          <w:lang w:val="en-US"/>
        </w:rPr>
        <w:t>3</w:t>
      </w:r>
      <w:r w:rsidRPr="00F01963">
        <w:rPr>
          <w:rStyle w:val="Strong"/>
          <w:rFonts w:asciiTheme="majorBidi" w:hAnsiTheme="majorBidi" w:cstheme="majorBidi"/>
          <w:b/>
          <w:bCs w:val="0"/>
          <w:szCs w:val="24"/>
          <w:lang w:val="en-US"/>
        </w:rPr>
        <w:tab/>
        <w:t>Tasks</w:t>
      </w:r>
    </w:p>
    <w:p w:rsidR="00900E85" w:rsidRPr="00E42568" w:rsidRDefault="00900E85" w:rsidP="00900E85">
      <w:pPr>
        <w:keepNext/>
        <w:keepLines/>
      </w:pPr>
      <w:r w:rsidRPr="00E42568">
        <w:t>Tasks include, but are not limited to:</w:t>
      </w:r>
    </w:p>
    <w:p w:rsidR="00900E85" w:rsidRPr="00E42568" w:rsidRDefault="00900E85" w:rsidP="00900E85">
      <w:pPr>
        <w:pStyle w:val="enumlev1"/>
        <w:keepNext/>
        <w:keepLines/>
      </w:pPr>
      <w:r w:rsidRPr="00E42568">
        <w:t>–</w:t>
      </w:r>
      <w:r w:rsidRPr="00E42568">
        <w:tab/>
        <w:t>Develop Recommendations on ensuring authenticity, confidentiality, integrity, non</w:t>
      </w:r>
      <w:r w:rsidRPr="00E42568">
        <w:noBreakHyphen/>
        <w:t xml:space="preserve">repudiation, and availability of </w:t>
      </w:r>
      <w:proofErr w:type="spellStart"/>
      <w:r w:rsidRPr="00E42568">
        <w:t>IoT</w:t>
      </w:r>
      <w:proofErr w:type="spellEnd"/>
      <w:r w:rsidRPr="00E42568">
        <w:t xml:space="preserve"> devices, systems, applications, protocols, platforms, and services.</w:t>
      </w:r>
    </w:p>
    <w:p w:rsidR="00900E85" w:rsidRPr="00E42568" w:rsidRDefault="00900E85" w:rsidP="00900E85">
      <w:pPr>
        <w:pStyle w:val="enumlev1"/>
      </w:pPr>
      <w:r w:rsidRPr="00E42568">
        <w:t>–</w:t>
      </w:r>
      <w:r w:rsidRPr="00E42568">
        <w:tab/>
        <w:t xml:space="preserve">Develop Recommendations on security and trust provisioning in </w:t>
      </w:r>
      <w:proofErr w:type="spellStart"/>
      <w:r w:rsidRPr="00E42568">
        <w:t>IoT</w:t>
      </w:r>
      <w:proofErr w:type="spellEnd"/>
      <w:r w:rsidRPr="00E42568">
        <w:t xml:space="preserve"> both at the ICT infrastructure (e.g., so called infrastructure layer) and future heterogeneous converged service environments (e.g., so called service layer).</w:t>
      </w:r>
    </w:p>
    <w:p w:rsidR="00900E85" w:rsidRPr="00E42568" w:rsidRDefault="00900E85" w:rsidP="00900E85">
      <w:pPr>
        <w:pStyle w:val="enumlev1"/>
      </w:pPr>
      <w:r w:rsidRPr="00E42568">
        <w:t>–</w:t>
      </w:r>
      <w:r w:rsidRPr="00E42568">
        <w:tab/>
        <w:t xml:space="preserve">Develop Recommendations on security and trust provisioning in </w:t>
      </w:r>
      <w:proofErr w:type="spellStart"/>
      <w:r w:rsidRPr="00E42568">
        <w:t>IoT</w:t>
      </w:r>
      <w:proofErr w:type="spellEnd"/>
      <w:r w:rsidRPr="00E42568">
        <w:t xml:space="preserve"> services and applications for the converged environments among a lot of stakeholders of other industries (for example, energy ICT means the energy network over ICT infrastructure)</w:t>
      </w:r>
    </w:p>
    <w:p w:rsidR="00900E85" w:rsidRPr="00E42568" w:rsidRDefault="00900E85" w:rsidP="00900E85">
      <w:pPr>
        <w:pStyle w:val="enumlev1"/>
      </w:pPr>
      <w:r w:rsidRPr="00E42568">
        <w:t>–</w:t>
      </w:r>
      <w:r w:rsidRPr="00E42568">
        <w:tab/>
        <w:t xml:space="preserve">Develop Recommendations on requirements needed to mitigate the risks and threats identified in </w:t>
      </w:r>
      <w:proofErr w:type="spellStart"/>
      <w:r w:rsidRPr="00E42568">
        <w:t>IoT</w:t>
      </w:r>
      <w:proofErr w:type="spellEnd"/>
      <w:r w:rsidRPr="00E42568">
        <w:t xml:space="preserve"> and SC&amp;C devices, systems, applications, protocols, platforms, and services.</w:t>
      </w:r>
    </w:p>
    <w:p w:rsidR="00900E85" w:rsidRPr="00E42568" w:rsidRDefault="00900E85" w:rsidP="00900E85">
      <w:pPr>
        <w:pStyle w:val="enumlev1"/>
      </w:pPr>
      <w:r w:rsidRPr="00E42568">
        <w:t>–</w:t>
      </w:r>
      <w:r w:rsidRPr="00E42568">
        <w:tab/>
        <w:t xml:space="preserve">Develop Recommendations on utilizing traditional integrity, availability, authenticity, non-repudiation constructs in </w:t>
      </w:r>
      <w:proofErr w:type="spellStart"/>
      <w:r w:rsidRPr="00E42568">
        <w:t>IoT</w:t>
      </w:r>
      <w:proofErr w:type="spellEnd"/>
      <w:r w:rsidRPr="00E42568">
        <w:t xml:space="preserve"> systems to protect identity, privacy, and security of the system.</w:t>
      </w:r>
    </w:p>
    <w:p w:rsidR="00900E85" w:rsidRPr="00E42568" w:rsidRDefault="00900E85" w:rsidP="00900E85">
      <w:pPr>
        <w:pStyle w:val="enumlev1"/>
      </w:pPr>
      <w:r w:rsidRPr="00E42568">
        <w:t>–</w:t>
      </w:r>
      <w:r w:rsidRPr="00E42568">
        <w:tab/>
        <w:t xml:space="preserve">Develop Recommendations on technical measures to prevent the unlawful traceability, profiling, and unlawful processing of </w:t>
      </w:r>
      <w:proofErr w:type="spellStart"/>
      <w:r w:rsidRPr="00E42568">
        <w:t>IoT</w:t>
      </w:r>
      <w:proofErr w:type="spellEnd"/>
      <w:r w:rsidRPr="00E42568">
        <w:t xml:space="preserve"> systems, applications, platforms, and services.</w:t>
      </w:r>
    </w:p>
    <w:p w:rsidR="00900E85" w:rsidRPr="00E42568" w:rsidRDefault="00900E85" w:rsidP="00900E85">
      <w:pPr>
        <w:pStyle w:val="enumlev1"/>
      </w:pPr>
      <w:r w:rsidRPr="00E42568">
        <w:t>–</w:t>
      </w:r>
      <w:r w:rsidRPr="00E42568">
        <w:tab/>
        <w:t>Develop Recommendations on technical measures, protocols, and systems needed to ensure the protection of privacy in SC&amp;C applications, services, and platforms.</w:t>
      </w:r>
    </w:p>
    <w:p w:rsidR="00900E85" w:rsidRPr="00E42568" w:rsidRDefault="00900E85" w:rsidP="00900E85">
      <w:pPr>
        <w:pStyle w:val="enumlev1"/>
      </w:pPr>
      <w:r w:rsidRPr="00E42568">
        <w:t>–</w:t>
      </w:r>
      <w:r w:rsidRPr="00E42568">
        <w:tab/>
        <w:t xml:space="preserve">Develop guidelines on identifying the potential risks associated with the different management, administration, maintenance, and service provisioning inside SC&amp;C. </w:t>
      </w:r>
    </w:p>
    <w:p w:rsidR="00900E85" w:rsidRPr="00E42568" w:rsidRDefault="00900E85" w:rsidP="00900E85">
      <w:pPr>
        <w:pStyle w:val="enumlev1"/>
      </w:pPr>
      <w:r w:rsidRPr="00E42568">
        <w:t>–</w:t>
      </w:r>
      <w:r w:rsidRPr="00E42568">
        <w:tab/>
        <w:t>Develop guidelines on how to mitigate risks associated with the different management, administration, maintenance, and service provisioning inside SC&amp;C.</w:t>
      </w:r>
    </w:p>
    <w:p w:rsidR="00900E85" w:rsidRPr="00E42568" w:rsidRDefault="00900E85" w:rsidP="00900E85">
      <w:pPr>
        <w:pStyle w:val="enumlev1"/>
      </w:pPr>
      <w:r w:rsidRPr="00E42568">
        <w:t>–</w:t>
      </w:r>
      <w:r w:rsidRPr="00E42568">
        <w:tab/>
        <w:t xml:space="preserve">Develop Recommendations on ensuring availability and portability of the data in </w:t>
      </w:r>
      <w:proofErr w:type="spellStart"/>
      <w:r w:rsidRPr="00E42568">
        <w:t>IoT</w:t>
      </w:r>
      <w:proofErr w:type="spellEnd"/>
      <w:r w:rsidRPr="00E42568">
        <w:t xml:space="preserve"> and SC&amp;C platforms, systems, and services.</w:t>
      </w:r>
    </w:p>
    <w:p w:rsidR="00900E85" w:rsidRPr="00E42568" w:rsidRDefault="00900E85" w:rsidP="00900E85">
      <w:pPr>
        <w:pStyle w:val="enumlev1"/>
      </w:pPr>
      <w:r w:rsidRPr="00E42568">
        <w:t>–</w:t>
      </w:r>
      <w:r w:rsidRPr="00E42568">
        <w:tab/>
        <w:t xml:space="preserve">Develop Recommendations on the use of naming, and identification in </w:t>
      </w:r>
      <w:proofErr w:type="spellStart"/>
      <w:r w:rsidRPr="00E42568">
        <w:t>IoT</w:t>
      </w:r>
      <w:proofErr w:type="spellEnd"/>
      <w:r w:rsidRPr="00E42568">
        <w:t xml:space="preserve"> and SC&amp;C deployments.</w:t>
      </w:r>
    </w:p>
    <w:p w:rsidR="00900E85" w:rsidRPr="00E42568" w:rsidRDefault="00900E85" w:rsidP="00900E85">
      <w:pPr>
        <w:pStyle w:val="enumlev1"/>
      </w:pPr>
      <w:r w:rsidRPr="00E42568">
        <w:t>–</w:t>
      </w:r>
      <w:r w:rsidRPr="00E42568">
        <w:tab/>
        <w:t xml:space="preserve">Develop Recommendations on identity discovery in </w:t>
      </w:r>
      <w:proofErr w:type="spellStart"/>
      <w:r w:rsidRPr="00E42568">
        <w:t>IoT</w:t>
      </w:r>
      <w:proofErr w:type="spellEnd"/>
      <w:r w:rsidRPr="00E42568">
        <w:t>.</w:t>
      </w:r>
    </w:p>
    <w:p w:rsidR="00900E85" w:rsidRPr="00E42568" w:rsidRDefault="00900E85" w:rsidP="00900E85">
      <w:pPr>
        <w:pStyle w:val="enumlev1"/>
      </w:pPr>
      <w:r w:rsidRPr="00E42568">
        <w:t>–</w:t>
      </w:r>
      <w:r w:rsidRPr="00E42568">
        <w:tab/>
        <w:t xml:space="preserve">Develop Recommendations on identity management in </w:t>
      </w:r>
      <w:proofErr w:type="spellStart"/>
      <w:r w:rsidRPr="00E42568">
        <w:t>IoT</w:t>
      </w:r>
      <w:proofErr w:type="spellEnd"/>
      <w:r w:rsidRPr="00E42568">
        <w:t>.</w:t>
      </w:r>
    </w:p>
    <w:p w:rsidR="00900E85" w:rsidRPr="00E42568" w:rsidRDefault="00900E85" w:rsidP="00900E85">
      <w:pPr>
        <w:pStyle w:val="enumlev1"/>
      </w:pPr>
      <w:r w:rsidRPr="00E42568">
        <w:t>–</w:t>
      </w:r>
      <w:r w:rsidRPr="00E42568">
        <w:tab/>
        <w:t xml:space="preserve">Develop Recommendations on naming and addressing in </w:t>
      </w:r>
      <w:proofErr w:type="spellStart"/>
      <w:r w:rsidRPr="00E42568">
        <w:t>IoT</w:t>
      </w:r>
      <w:proofErr w:type="spellEnd"/>
      <w:r w:rsidRPr="00E42568">
        <w:t>/SC&amp;C applications and services.</w:t>
      </w:r>
    </w:p>
    <w:p w:rsidR="00900E85" w:rsidRPr="00E42568" w:rsidRDefault="00900E85" w:rsidP="00900E85">
      <w:pPr>
        <w:pStyle w:val="enumlev1"/>
      </w:pPr>
      <w:r w:rsidRPr="00E42568">
        <w:t>–</w:t>
      </w:r>
      <w:r w:rsidRPr="00E42568">
        <w:tab/>
        <w:t>Coordinate with other SGs and other SDOs as well as other UN agencies on a regular basis to collaborate effectively.</w:t>
      </w:r>
    </w:p>
    <w:p w:rsidR="00900E85" w:rsidRPr="00F01963" w:rsidRDefault="00900E85" w:rsidP="00900E85">
      <w:pPr>
        <w:pStyle w:val="Heading2"/>
        <w:rPr>
          <w:lang w:val="en-US"/>
        </w:rPr>
      </w:pPr>
      <w:r w:rsidRPr="00F01963">
        <w:rPr>
          <w:lang w:val="en-US"/>
        </w:rPr>
        <w:t>4</w:t>
      </w:r>
      <w:r w:rsidRPr="00F01963">
        <w:rPr>
          <w:lang w:val="en-US"/>
        </w:rPr>
        <w:tab/>
      </w:r>
      <w:r w:rsidRPr="00F01963">
        <w:rPr>
          <w:rStyle w:val="Strong"/>
          <w:rFonts w:asciiTheme="majorBidi" w:hAnsiTheme="majorBidi" w:cstheme="majorBidi"/>
          <w:szCs w:val="24"/>
          <w:lang w:val="en-US"/>
        </w:rPr>
        <w:t>Relationships</w:t>
      </w:r>
    </w:p>
    <w:p w:rsidR="00900E85" w:rsidRPr="00E42568" w:rsidRDefault="00900E85" w:rsidP="00900E85">
      <w:pPr>
        <w:shd w:val="clear" w:color="auto" w:fill="FFFFFF"/>
        <w:rPr>
          <w:rFonts w:asciiTheme="majorBidi" w:hAnsiTheme="majorBidi" w:cstheme="majorBidi"/>
          <w:szCs w:val="24"/>
        </w:rPr>
      </w:pPr>
      <w:r w:rsidRPr="00E42568">
        <w:rPr>
          <w:rStyle w:val="Strong"/>
          <w:rFonts w:asciiTheme="majorBidi" w:hAnsiTheme="majorBidi" w:cstheme="majorBidi"/>
          <w:szCs w:val="24"/>
        </w:rPr>
        <w:t>Recommendations:</w:t>
      </w:r>
    </w:p>
    <w:p w:rsidR="00900E85" w:rsidRPr="00E42568" w:rsidRDefault="00900E85" w:rsidP="00900E85">
      <w:pPr>
        <w:pStyle w:val="enumlev1"/>
      </w:pPr>
      <w:r w:rsidRPr="00E42568">
        <w:t>–</w:t>
      </w:r>
      <w:r w:rsidRPr="00E42568">
        <w:tab/>
        <w:t>Y-series and other Recommendations related to security, privacy, trust and Identification.</w:t>
      </w:r>
    </w:p>
    <w:p w:rsidR="00900E85" w:rsidRPr="00E42568" w:rsidRDefault="00900E85" w:rsidP="00900E85">
      <w:pPr>
        <w:shd w:val="clear" w:color="auto" w:fill="FFFFFF"/>
        <w:rPr>
          <w:rFonts w:asciiTheme="majorBidi" w:hAnsiTheme="majorBidi" w:cstheme="majorBidi"/>
          <w:szCs w:val="24"/>
        </w:rPr>
      </w:pPr>
      <w:r w:rsidRPr="00E42568">
        <w:rPr>
          <w:rStyle w:val="Strong"/>
          <w:rFonts w:asciiTheme="majorBidi" w:hAnsiTheme="majorBidi" w:cstheme="majorBidi"/>
          <w:szCs w:val="24"/>
        </w:rPr>
        <w:t>Questions:</w:t>
      </w:r>
    </w:p>
    <w:p w:rsidR="00900E85" w:rsidRPr="00E42568" w:rsidRDefault="00900E85" w:rsidP="00900E85">
      <w:pPr>
        <w:pStyle w:val="enumlev1"/>
      </w:pPr>
      <w:r w:rsidRPr="00E42568">
        <w:t>–</w:t>
      </w:r>
      <w:r w:rsidRPr="00E42568">
        <w:tab/>
        <w:t>All Questions of SG20</w:t>
      </w:r>
    </w:p>
    <w:p w:rsidR="00900E85" w:rsidRPr="00E42568" w:rsidRDefault="00900E85" w:rsidP="00900E85">
      <w:pPr>
        <w:keepNext/>
        <w:keepLines/>
        <w:shd w:val="clear" w:color="auto" w:fill="FFFFFF"/>
        <w:rPr>
          <w:rFonts w:asciiTheme="majorBidi" w:hAnsiTheme="majorBidi" w:cstheme="majorBidi"/>
          <w:szCs w:val="24"/>
        </w:rPr>
      </w:pPr>
      <w:r w:rsidRPr="00E42568">
        <w:rPr>
          <w:rStyle w:val="Strong"/>
          <w:rFonts w:asciiTheme="majorBidi" w:hAnsiTheme="majorBidi" w:cstheme="majorBidi"/>
          <w:szCs w:val="24"/>
        </w:rPr>
        <w:t>Study Groups:</w:t>
      </w:r>
    </w:p>
    <w:p w:rsidR="00900E85" w:rsidRPr="00E42568" w:rsidRDefault="00900E85" w:rsidP="00900E85">
      <w:pPr>
        <w:pStyle w:val="enumlev1"/>
        <w:keepNext/>
        <w:keepLines/>
      </w:pPr>
      <w:r w:rsidRPr="00E42568">
        <w:t>–</w:t>
      </w:r>
      <w:r w:rsidRPr="00E42568">
        <w:tab/>
        <w:t>ITU-T (e.g., considering their lead study group role), ITU-D and ITU-R Study Groups as appropriate</w:t>
      </w:r>
    </w:p>
    <w:p w:rsidR="00900E85" w:rsidRPr="00E42568" w:rsidRDefault="00900E85" w:rsidP="00900E85">
      <w:pPr>
        <w:shd w:val="clear" w:color="auto" w:fill="FFFFFF"/>
        <w:rPr>
          <w:rStyle w:val="Strong"/>
          <w:rFonts w:asciiTheme="majorBidi" w:hAnsiTheme="majorBidi" w:cstheme="majorBidi"/>
          <w:szCs w:val="24"/>
        </w:rPr>
      </w:pPr>
      <w:r w:rsidRPr="00E42568">
        <w:rPr>
          <w:rStyle w:val="Strong"/>
          <w:rFonts w:asciiTheme="majorBidi" w:hAnsiTheme="majorBidi" w:cstheme="majorBidi"/>
          <w:szCs w:val="24"/>
        </w:rPr>
        <w:t>Other bodies:</w:t>
      </w:r>
    </w:p>
    <w:p w:rsidR="00900E85" w:rsidRPr="00E42568" w:rsidRDefault="00900E85" w:rsidP="00900E85">
      <w:pPr>
        <w:pStyle w:val="enumlev1"/>
      </w:pPr>
      <w:r w:rsidRPr="00E42568">
        <w:t>–</w:t>
      </w:r>
      <w:r w:rsidRPr="00E42568">
        <w:tab/>
        <w:t xml:space="preserve">ISO/IEC JCT 1 </w:t>
      </w:r>
    </w:p>
    <w:p w:rsidR="00900E85" w:rsidRPr="00E42568" w:rsidRDefault="00900E85" w:rsidP="00900E85">
      <w:pPr>
        <w:pStyle w:val="enumlev1"/>
      </w:pPr>
      <w:r w:rsidRPr="00E42568">
        <w:t>–</w:t>
      </w:r>
      <w:r w:rsidRPr="00E42568">
        <w:tab/>
        <w:t>DONA Foundation</w:t>
      </w:r>
    </w:p>
    <w:p w:rsidR="00900E85" w:rsidRPr="00E42568" w:rsidRDefault="00900E85" w:rsidP="00900E85">
      <w:pPr>
        <w:pStyle w:val="enumlev1"/>
      </w:pPr>
      <w:r w:rsidRPr="00E42568">
        <w:t>–</w:t>
      </w:r>
      <w:r w:rsidRPr="00E42568">
        <w:tab/>
        <w:t>ETF</w:t>
      </w:r>
    </w:p>
    <w:p w:rsidR="00900E85" w:rsidRPr="00E42568" w:rsidRDefault="00900E85" w:rsidP="00900E85">
      <w:pPr>
        <w:pStyle w:val="enumlev1"/>
      </w:pPr>
      <w:r w:rsidRPr="00E42568">
        <w:t>–</w:t>
      </w:r>
      <w:r w:rsidRPr="00E42568">
        <w:tab/>
        <w:t>OASIS</w:t>
      </w:r>
    </w:p>
    <w:p w:rsidR="00900E85" w:rsidRDefault="00900E85" w:rsidP="00900E85">
      <w:pPr>
        <w:rPr>
          <w:lang w:val="en-US"/>
        </w:rPr>
      </w:pPr>
      <w:r w:rsidRPr="00E42568">
        <w:t>–</w:t>
      </w:r>
      <w:r w:rsidRPr="00E42568">
        <w:tab/>
        <w:t>OneM2M</w:t>
      </w:r>
    </w:p>
    <w:p w:rsidR="008A23C2" w:rsidRDefault="008A23C2">
      <w:pPr>
        <w:pStyle w:val="Reasons"/>
      </w:pPr>
    </w:p>
    <w:p w:rsidR="00DD14C1" w:rsidRPr="00DD14C1" w:rsidRDefault="00DD14C1" w:rsidP="00DD14C1">
      <w:pPr>
        <w:rPr>
          <w:b/>
          <w:bCs/>
          <w:sz w:val="28"/>
          <w:szCs w:val="28"/>
        </w:rPr>
      </w:pPr>
      <w:r w:rsidRPr="00DD14C1">
        <w:rPr>
          <w:b/>
          <w:bCs/>
          <w:sz w:val="28"/>
          <w:szCs w:val="28"/>
        </w:rPr>
        <w:t>2</w:t>
      </w:r>
      <w:r w:rsidRPr="00DD14C1">
        <w:rPr>
          <w:b/>
          <w:bCs/>
          <w:sz w:val="28"/>
          <w:szCs w:val="28"/>
        </w:rPr>
        <w:tab/>
        <w:t>Proposed amendments of SG20 structure</w:t>
      </w:r>
    </w:p>
    <w:p w:rsidR="008A23C2" w:rsidRDefault="008375E8">
      <w:pPr>
        <w:pStyle w:val="Proposal"/>
      </w:pPr>
      <w:r>
        <w:tab/>
        <w:t>ARB/43A32/3</w:t>
      </w:r>
    </w:p>
    <w:p w:rsidR="00900E85" w:rsidRPr="00900E85" w:rsidRDefault="00900E85" w:rsidP="00900E85">
      <w:pPr>
        <w:rPr>
          <w:lang w:val="en-US"/>
        </w:rPr>
      </w:pPr>
      <w:r w:rsidRPr="00900E85">
        <w:rPr>
          <w:lang w:val="en-US"/>
        </w:rPr>
        <w:t xml:space="preserve">During the last study period, SG20 held three meetings, which were highly attended. The work carried out by SG20 was very productive and it received 314 contributions, several work items were created and a number of Recommendations were approved. </w:t>
      </w:r>
    </w:p>
    <w:p w:rsidR="00900E85" w:rsidRPr="00927D6E" w:rsidRDefault="00900E85" w:rsidP="00900E85">
      <w:pPr>
        <w:rPr>
          <w:lang w:val="en-US"/>
        </w:rPr>
      </w:pPr>
      <w:r w:rsidRPr="00900E85">
        <w:rPr>
          <w:lang w:val="en-US"/>
        </w:rPr>
        <w:t xml:space="preserve">Furthermore, and due to possible overlap between WP 1/20 (Internet of Things) and WP 2/20 (Smart Cities and Communities) of SG20, there were number of Joint Question meetings since the topics and/or contributions were addressing more than one Question. Therefore, the proponents of this contribution propose to review and reorganize the SG20 structure considering that it is a </w:t>
      </w:r>
      <w:r w:rsidRPr="00927D6E">
        <w:rPr>
          <w:lang w:val="en-US"/>
        </w:rPr>
        <w:t>continuation of the work and mandates of SG20 in the previous study period, as shown in the following table.</w:t>
      </w:r>
    </w:p>
    <w:p w:rsidR="00F01963" w:rsidRPr="00927D6E" w:rsidRDefault="00F01963" w:rsidP="00F01963">
      <w:pPr>
        <w:pStyle w:val="Tabletitle"/>
        <w:spacing w:before="240"/>
        <w:rPr>
          <w:rFonts w:ascii="Times New Roman" w:hAnsi="Times New Roman"/>
        </w:rPr>
      </w:pPr>
      <w:r w:rsidRPr="00927D6E">
        <w:rPr>
          <w:rFonts w:ascii="Times New Roman" w:hAnsi="Times New Roman"/>
        </w:rPr>
        <w:t>Proposed amendments to ITU-T Study Group 20 Structure</w:t>
      </w:r>
    </w:p>
    <w:tbl>
      <w:tblPr>
        <w:tblStyle w:val="TableGrid"/>
        <w:tblW w:w="0" w:type="auto"/>
        <w:tblLook w:val="04A0" w:firstRow="1" w:lastRow="0" w:firstColumn="1" w:lastColumn="0" w:noHBand="0" w:noVBand="1"/>
      </w:tblPr>
      <w:tblGrid>
        <w:gridCol w:w="2188"/>
        <w:gridCol w:w="7162"/>
      </w:tblGrid>
      <w:tr w:rsidR="00F01963" w:rsidRPr="00927D6E" w:rsidTr="006E379F">
        <w:tc>
          <w:tcPr>
            <w:tcW w:w="2188" w:type="dxa"/>
          </w:tcPr>
          <w:p w:rsidR="00F01963" w:rsidRPr="00927D6E" w:rsidRDefault="00F01963" w:rsidP="006E379F">
            <w:pPr>
              <w:spacing w:before="80"/>
              <w:jc w:val="center"/>
              <w:rPr>
                <w:b/>
                <w:bCs/>
              </w:rPr>
            </w:pPr>
            <w:r w:rsidRPr="00927D6E">
              <w:rPr>
                <w:b/>
                <w:bCs/>
              </w:rPr>
              <w:t>SG20 Questions</w:t>
            </w:r>
          </w:p>
        </w:tc>
        <w:tc>
          <w:tcPr>
            <w:tcW w:w="7162" w:type="dxa"/>
          </w:tcPr>
          <w:p w:rsidR="00F01963" w:rsidRPr="00927D6E" w:rsidRDefault="00F01963" w:rsidP="006E379F">
            <w:pPr>
              <w:spacing w:before="80"/>
              <w:jc w:val="center"/>
              <w:rPr>
                <w:b/>
                <w:bCs/>
              </w:rPr>
            </w:pPr>
            <w:r w:rsidRPr="00927D6E">
              <w:rPr>
                <w:b/>
                <w:bCs/>
              </w:rPr>
              <w:t>Title</w:t>
            </w:r>
          </w:p>
        </w:tc>
      </w:tr>
      <w:tr w:rsidR="00F01963" w:rsidRPr="00927D6E" w:rsidTr="006E379F">
        <w:tc>
          <w:tcPr>
            <w:tcW w:w="2188" w:type="dxa"/>
          </w:tcPr>
          <w:p w:rsidR="00F01963" w:rsidRPr="00927D6E" w:rsidRDefault="00F01963" w:rsidP="006E379F">
            <w:pPr>
              <w:spacing w:before="80"/>
              <w:jc w:val="center"/>
              <w:rPr>
                <w:b/>
                <w:bCs/>
              </w:rPr>
            </w:pPr>
            <w:r w:rsidRPr="00927D6E">
              <w:rPr>
                <w:b/>
                <w:bCs/>
              </w:rPr>
              <w:t>PLEN</w:t>
            </w:r>
          </w:p>
        </w:tc>
        <w:tc>
          <w:tcPr>
            <w:tcW w:w="7162" w:type="dxa"/>
          </w:tcPr>
          <w:p w:rsidR="00F01963" w:rsidRPr="00927D6E" w:rsidRDefault="00F01963" w:rsidP="006E379F">
            <w:pPr>
              <w:spacing w:before="80"/>
              <w:jc w:val="both"/>
            </w:pPr>
          </w:p>
        </w:tc>
      </w:tr>
      <w:tr w:rsidR="00F01963" w:rsidRPr="00927D6E" w:rsidTr="006E379F">
        <w:tc>
          <w:tcPr>
            <w:tcW w:w="2188" w:type="dxa"/>
          </w:tcPr>
          <w:p w:rsidR="00F01963" w:rsidRPr="00927D6E" w:rsidRDefault="00F01963" w:rsidP="006E379F">
            <w:pPr>
              <w:spacing w:before="80"/>
              <w:jc w:val="center"/>
              <w:rPr>
                <w:b/>
                <w:bCs/>
              </w:rPr>
            </w:pPr>
            <w:r w:rsidRPr="00927D6E">
              <w:rPr>
                <w:b/>
                <w:bCs/>
              </w:rPr>
              <w:t>Working Party 1</w:t>
            </w:r>
          </w:p>
        </w:tc>
        <w:tc>
          <w:tcPr>
            <w:tcW w:w="7162" w:type="dxa"/>
          </w:tcPr>
          <w:p w:rsidR="00F01963" w:rsidRPr="00927D6E" w:rsidRDefault="00F01963" w:rsidP="006E379F">
            <w:pPr>
              <w:spacing w:before="80"/>
              <w:rPr>
                <w:b/>
                <w:bCs/>
              </w:rPr>
            </w:pPr>
          </w:p>
        </w:tc>
      </w:tr>
      <w:tr w:rsidR="00F01963" w:rsidRPr="00927D6E" w:rsidTr="006E379F">
        <w:tc>
          <w:tcPr>
            <w:tcW w:w="2188" w:type="dxa"/>
          </w:tcPr>
          <w:p w:rsidR="00F01963" w:rsidRPr="00927D6E" w:rsidRDefault="00F01963" w:rsidP="006E379F">
            <w:pPr>
              <w:spacing w:before="80"/>
              <w:jc w:val="center"/>
            </w:pPr>
            <w:r w:rsidRPr="00927D6E">
              <w:t>Question 1/20</w:t>
            </w:r>
          </w:p>
        </w:tc>
        <w:tc>
          <w:tcPr>
            <w:tcW w:w="7162" w:type="dxa"/>
          </w:tcPr>
          <w:p w:rsidR="00F01963" w:rsidRPr="00927D6E" w:rsidRDefault="00F01963" w:rsidP="006E379F">
            <w:pPr>
              <w:spacing w:before="80"/>
              <w:jc w:val="both"/>
            </w:pPr>
            <w:r w:rsidRPr="00927D6E">
              <w:t>Research and emerging technologies including terminologies and definitions</w:t>
            </w:r>
          </w:p>
        </w:tc>
      </w:tr>
      <w:tr w:rsidR="00F01963" w:rsidRPr="00927D6E" w:rsidTr="006E379F">
        <w:tc>
          <w:tcPr>
            <w:tcW w:w="2188" w:type="dxa"/>
          </w:tcPr>
          <w:p w:rsidR="00F01963" w:rsidRPr="00927D6E" w:rsidRDefault="00F01963" w:rsidP="006E379F">
            <w:pPr>
              <w:spacing w:before="80"/>
              <w:jc w:val="center"/>
            </w:pPr>
            <w:r w:rsidRPr="00927D6E">
              <w:t>Question 2/20</w:t>
            </w:r>
          </w:p>
        </w:tc>
        <w:tc>
          <w:tcPr>
            <w:tcW w:w="7162" w:type="dxa"/>
          </w:tcPr>
          <w:p w:rsidR="00F01963" w:rsidRPr="00927D6E" w:rsidRDefault="00F01963" w:rsidP="006E379F">
            <w:pPr>
              <w:spacing w:before="80"/>
              <w:jc w:val="both"/>
            </w:pPr>
            <w:r w:rsidRPr="00927D6E">
              <w:t>Evaluation and assessment of Smart Cities and Communities</w:t>
            </w:r>
          </w:p>
        </w:tc>
      </w:tr>
      <w:tr w:rsidR="00F01963" w:rsidRPr="00927D6E" w:rsidTr="006E379F">
        <w:tc>
          <w:tcPr>
            <w:tcW w:w="2188" w:type="dxa"/>
          </w:tcPr>
          <w:p w:rsidR="00F01963" w:rsidRPr="00927D6E" w:rsidRDefault="00F01963" w:rsidP="006E379F">
            <w:pPr>
              <w:spacing w:before="80"/>
              <w:jc w:val="center"/>
            </w:pPr>
            <w:r w:rsidRPr="00927D6E">
              <w:t>Question 3/20</w:t>
            </w:r>
          </w:p>
        </w:tc>
        <w:tc>
          <w:tcPr>
            <w:tcW w:w="7162" w:type="dxa"/>
          </w:tcPr>
          <w:p w:rsidR="00F01963" w:rsidRPr="00927D6E" w:rsidRDefault="00F01963" w:rsidP="006E379F">
            <w:pPr>
              <w:spacing w:before="80"/>
              <w:jc w:val="both"/>
            </w:pPr>
            <w:r w:rsidRPr="00927D6E">
              <w:t>Security, privacy, trust, and identification</w:t>
            </w:r>
          </w:p>
        </w:tc>
      </w:tr>
      <w:tr w:rsidR="00F01963" w:rsidRPr="00927D6E" w:rsidTr="006E379F">
        <w:tc>
          <w:tcPr>
            <w:tcW w:w="2188" w:type="dxa"/>
          </w:tcPr>
          <w:p w:rsidR="00F01963" w:rsidRPr="00927D6E" w:rsidRDefault="00F01963" w:rsidP="006E379F">
            <w:pPr>
              <w:spacing w:before="80"/>
              <w:jc w:val="center"/>
              <w:rPr>
                <w:b/>
                <w:bCs/>
              </w:rPr>
            </w:pPr>
            <w:r w:rsidRPr="00927D6E">
              <w:rPr>
                <w:b/>
                <w:bCs/>
              </w:rPr>
              <w:t>Working Party 2</w:t>
            </w:r>
          </w:p>
        </w:tc>
        <w:tc>
          <w:tcPr>
            <w:tcW w:w="7162" w:type="dxa"/>
          </w:tcPr>
          <w:p w:rsidR="00F01963" w:rsidRPr="00927D6E" w:rsidRDefault="00F01963" w:rsidP="006E379F">
            <w:pPr>
              <w:spacing w:before="80"/>
              <w:jc w:val="both"/>
              <w:rPr>
                <w:b/>
                <w:bCs/>
              </w:rPr>
            </w:pPr>
          </w:p>
        </w:tc>
      </w:tr>
      <w:tr w:rsidR="00F01963" w:rsidRPr="00927D6E" w:rsidTr="006E379F">
        <w:tc>
          <w:tcPr>
            <w:tcW w:w="2188" w:type="dxa"/>
          </w:tcPr>
          <w:p w:rsidR="00F01963" w:rsidRPr="00927D6E" w:rsidRDefault="00F01963" w:rsidP="006E379F">
            <w:pPr>
              <w:spacing w:before="80"/>
              <w:jc w:val="center"/>
            </w:pPr>
            <w:r w:rsidRPr="00927D6E">
              <w:t>Question 4/20</w:t>
            </w:r>
          </w:p>
        </w:tc>
        <w:tc>
          <w:tcPr>
            <w:tcW w:w="7162" w:type="dxa"/>
          </w:tcPr>
          <w:p w:rsidR="00F01963" w:rsidRPr="00927D6E" w:rsidRDefault="00F01963" w:rsidP="006E379F">
            <w:pPr>
              <w:spacing w:before="80"/>
              <w:jc w:val="both"/>
            </w:pPr>
            <w:r w:rsidRPr="00927D6E">
              <w:t xml:space="preserve">Requirements, capabilities, verticals, and use cases </w:t>
            </w:r>
          </w:p>
        </w:tc>
      </w:tr>
      <w:tr w:rsidR="00F01963" w:rsidRPr="00927D6E" w:rsidTr="006E379F">
        <w:tc>
          <w:tcPr>
            <w:tcW w:w="2188" w:type="dxa"/>
          </w:tcPr>
          <w:p w:rsidR="00F01963" w:rsidRPr="00927D6E" w:rsidRDefault="00F01963" w:rsidP="006E379F">
            <w:pPr>
              <w:spacing w:before="80"/>
              <w:jc w:val="center"/>
            </w:pPr>
            <w:r w:rsidRPr="00927D6E">
              <w:t>Question 5/20</w:t>
            </w:r>
          </w:p>
        </w:tc>
        <w:tc>
          <w:tcPr>
            <w:tcW w:w="7162" w:type="dxa"/>
          </w:tcPr>
          <w:p w:rsidR="00F01963" w:rsidRPr="00927D6E" w:rsidRDefault="00F01963" w:rsidP="006E379F">
            <w:pPr>
              <w:spacing w:before="80"/>
              <w:jc w:val="both"/>
            </w:pPr>
            <w:r w:rsidRPr="00927D6E">
              <w:t xml:space="preserve">Frameworks, architecture, and protocols </w:t>
            </w:r>
          </w:p>
        </w:tc>
      </w:tr>
      <w:tr w:rsidR="00F01963" w:rsidRPr="00927D6E" w:rsidTr="006E379F">
        <w:tc>
          <w:tcPr>
            <w:tcW w:w="2188" w:type="dxa"/>
          </w:tcPr>
          <w:p w:rsidR="00F01963" w:rsidRPr="00927D6E" w:rsidRDefault="00F01963" w:rsidP="006E379F">
            <w:pPr>
              <w:spacing w:before="80"/>
              <w:jc w:val="center"/>
            </w:pPr>
            <w:r w:rsidRPr="00927D6E">
              <w:t>Question 6/20</w:t>
            </w:r>
          </w:p>
        </w:tc>
        <w:tc>
          <w:tcPr>
            <w:tcW w:w="7162" w:type="dxa"/>
          </w:tcPr>
          <w:p w:rsidR="00F01963" w:rsidRPr="00927D6E" w:rsidRDefault="00F01963" w:rsidP="006E379F">
            <w:pPr>
              <w:spacing w:before="80"/>
              <w:jc w:val="both"/>
            </w:pPr>
            <w:r w:rsidRPr="00927D6E">
              <w:t>Services, applications, computation, and data processing</w:t>
            </w:r>
          </w:p>
        </w:tc>
      </w:tr>
      <w:tr w:rsidR="00F01963" w:rsidRPr="00927D6E" w:rsidTr="006E379F">
        <w:tc>
          <w:tcPr>
            <w:tcW w:w="2188" w:type="dxa"/>
          </w:tcPr>
          <w:p w:rsidR="00F01963" w:rsidRPr="00927D6E" w:rsidRDefault="00F01963" w:rsidP="006E379F">
            <w:pPr>
              <w:spacing w:before="80"/>
              <w:jc w:val="center"/>
              <w:rPr>
                <w:b/>
                <w:bCs/>
              </w:rPr>
            </w:pPr>
            <w:r w:rsidRPr="00927D6E">
              <w:rPr>
                <w:b/>
                <w:bCs/>
              </w:rPr>
              <w:t>Working Party 3</w:t>
            </w:r>
          </w:p>
        </w:tc>
        <w:tc>
          <w:tcPr>
            <w:tcW w:w="7162" w:type="dxa"/>
          </w:tcPr>
          <w:p w:rsidR="00F01963" w:rsidRPr="00927D6E" w:rsidRDefault="00F01963" w:rsidP="006E379F">
            <w:pPr>
              <w:spacing w:before="80"/>
              <w:jc w:val="both"/>
              <w:rPr>
                <w:b/>
                <w:bCs/>
              </w:rPr>
            </w:pPr>
          </w:p>
        </w:tc>
      </w:tr>
      <w:tr w:rsidR="00F01963" w:rsidRPr="00927D6E" w:rsidTr="006E379F">
        <w:tc>
          <w:tcPr>
            <w:tcW w:w="2188" w:type="dxa"/>
          </w:tcPr>
          <w:p w:rsidR="00F01963" w:rsidRPr="00927D6E" w:rsidRDefault="00F01963" w:rsidP="006E379F">
            <w:pPr>
              <w:spacing w:before="80"/>
              <w:jc w:val="center"/>
            </w:pPr>
            <w:r w:rsidRPr="00927D6E">
              <w:t>Question 7/20</w:t>
            </w:r>
          </w:p>
        </w:tc>
        <w:tc>
          <w:tcPr>
            <w:tcW w:w="7162" w:type="dxa"/>
          </w:tcPr>
          <w:p w:rsidR="00F01963" w:rsidRPr="00927D6E" w:rsidRDefault="00F01963" w:rsidP="006E379F">
            <w:pPr>
              <w:spacing w:before="80"/>
              <w:jc w:val="both"/>
            </w:pPr>
            <w:r w:rsidRPr="00927D6E">
              <w:t>Infrastructure, connectivity, networks, and interoperability</w:t>
            </w:r>
          </w:p>
        </w:tc>
      </w:tr>
      <w:tr w:rsidR="00F01963" w:rsidRPr="00927D6E" w:rsidTr="006E379F">
        <w:tc>
          <w:tcPr>
            <w:tcW w:w="2188" w:type="dxa"/>
          </w:tcPr>
          <w:p w:rsidR="00F01963" w:rsidRPr="00927D6E" w:rsidRDefault="00F01963" w:rsidP="006E379F">
            <w:pPr>
              <w:spacing w:before="80"/>
              <w:jc w:val="center"/>
            </w:pPr>
            <w:r w:rsidRPr="00927D6E">
              <w:t>Question 8/20</w:t>
            </w:r>
          </w:p>
        </w:tc>
        <w:tc>
          <w:tcPr>
            <w:tcW w:w="7162" w:type="dxa"/>
          </w:tcPr>
          <w:p w:rsidR="00F01963" w:rsidRPr="00927D6E" w:rsidRDefault="00F01963" w:rsidP="006E379F">
            <w:pPr>
              <w:spacing w:before="80"/>
              <w:jc w:val="both"/>
              <w:rPr>
                <w:lang w:val="en-US"/>
              </w:rPr>
            </w:pPr>
            <w:r w:rsidRPr="00927D6E">
              <w:t>Management, control, and performance</w:t>
            </w:r>
          </w:p>
        </w:tc>
      </w:tr>
    </w:tbl>
    <w:p w:rsidR="00F01963" w:rsidRPr="00F01963" w:rsidRDefault="00F01963" w:rsidP="00F01963">
      <w:pPr>
        <w:pStyle w:val="Heading1"/>
        <w:pageBreakBefore/>
        <w:rPr>
          <w:sz w:val="24"/>
          <w:szCs w:val="24"/>
        </w:rPr>
      </w:pPr>
      <w:r w:rsidRPr="00F01963">
        <w:rPr>
          <w:sz w:val="24"/>
          <w:szCs w:val="24"/>
        </w:rPr>
        <w:t>3</w:t>
      </w:r>
      <w:r w:rsidRPr="00F01963">
        <w:rPr>
          <w:sz w:val="24"/>
          <w:szCs w:val="24"/>
        </w:rPr>
        <w:tab/>
        <w:t>Summary of proposals</w:t>
      </w:r>
    </w:p>
    <w:p w:rsidR="00F01963" w:rsidRPr="00E42568" w:rsidRDefault="00F01963" w:rsidP="00F01963">
      <w:pPr>
        <w:pStyle w:val="enumlev1"/>
      </w:pPr>
      <w:r w:rsidRPr="00E42568">
        <w:t>1)</w:t>
      </w:r>
      <w:r w:rsidRPr="00E42568">
        <w:tab/>
        <w:t>Create a new study Question 2/20 on “Evaluation and assessment of smart cities and communities”.</w:t>
      </w:r>
    </w:p>
    <w:p w:rsidR="00F01963" w:rsidRPr="00E42568" w:rsidRDefault="00F01963" w:rsidP="00F01963">
      <w:pPr>
        <w:pStyle w:val="enumlev1"/>
      </w:pPr>
      <w:r w:rsidRPr="00E42568">
        <w:t>2)</w:t>
      </w:r>
      <w:r w:rsidRPr="00E42568">
        <w:tab/>
        <w:t>Create a new study Question 3/20 on “Security, privacy, trust, and identification”.</w:t>
      </w:r>
    </w:p>
    <w:p w:rsidR="00F01963" w:rsidRPr="00E42568" w:rsidRDefault="00F01963" w:rsidP="00F01963">
      <w:pPr>
        <w:pStyle w:val="enumlev1"/>
      </w:pPr>
      <w:r w:rsidRPr="00E42568">
        <w:t>3)</w:t>
      </w:r>
      <w:r w:rsidRPr="00E42568">
        <w:tab/>
        <w:t xml:space="preserve">Modify the SG20 structure as shown in ARB/043A32/3 in order to provide more synergy between SG20 Questions, limit any possible overlap between the Questions and have more a reliable, focused and organized structure. </w:t>
      </w:r>
    </w:p>
    <w:p w:rsidR="00F01963" w:rsidRPr="00E42568" w:rsidRDefault="00F01963" w:rsidP="00F01963">
      <w:pPr>
        <w:pStyle w:val="enumlev1"/>
      </w:pPr>
      <w:r w:rsidRPr="00E42568">
        <w:t>4)</w:t>
      </w:r>
      <w:r w:rsidRPr="00E42568">
        <w:tab/>
        <w:t>Request WTSA-16 to discuss and consider the proposed general structure and approve on the new proposed Questions.</w:t>
      </w:r>
    </w:p>
    <w:p w:rsidR="00900E85" w:rsidRDefault="00F01963" w:rsidP="00F01963">
      <w:pPr>
        <w:rPr>
          <w:lang w:val="en-US"/>
        </w:rPr>
      </w:pPr>
      <w:r w:rsidRPr="00E42568">
        <w:t>5)</w:t>
      </w:r>
      <w:r w:rsidRPr="00E42568">
        <w:tab/>
        <w:t>Request WTSA-16 to instruct SG20 at its first meeting after WTSA 2016 to finalize the structure and develop the appropriate text for remaining questions ( Q1/20, Q4/20, Q5/20, Q6/20, Q7/20, and Q8/20) taking into account the outcomes on this Assembly.</w:t>
      </w:r>
    </w:p>
    <w:p w:rsidR="008A23C2" w:rsidRDefault="008A23C2">
      <w:pPr>
        <w:pStyle w:val="Reasons"/>
      </w:pPr>
    </w:p>
    <w:p w:rsidR="00F01963" w:rsidRDefault="00F01963" w:rsidP="00F01963">
      <w:pPr>
        <w:jc w:val="center"/>
      </w:pPr>
      <w:r>
        <w:t>_________________</w:t>
      </w:r>
    </w:p>
    <w:sectPr w:rsidR="00F01963">
      <w:headerReference w:type="default" r:id="rId16"/>
      <w:footerReference w:type="even" r:id="rId17"/>
      <w:footerReference w:type="default" r:id="rId18"/>
      <w:footerReference w:type="first" r:id="rId19"/>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DED" w:rsidRDefault="00A22DED">
      <w:r>
        <w:separator/>
      </w:r>
    </w:p>
  </w:endnote>
  <w:endnote w:type="continuationSeparator" w:id="0">
    <w:p w:rsidR="00A22DED" w:rsidRDefault="00A2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4D4EF3">
      <w:rPr>
        <w:noProof/>
      </w:rPr>
      <w:t>14.10.16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E94DBA">
    <w:pPr>
      <w:pStyle w:val="Footer"/>
    </w:pPr>
    <w:r>
      <w:fldChar w:fldCharType="begin"/>
    </w:r>
    <w:r w:rsidRPr="0041348E">
      <w:rPr>
        <w:lang w:val="en-US"/>
      </w:rPr>
      <w:instrText xml:space="preserve"> FILENAME \p  \* MERGEFORMAT </w:instrText>
    </w:r>
    <w:r>
      <w:fldChar w:fldCharType="separate"/>
    </w:r>
    <w:r w:rsidR="00F60D05">
      <w:rPr>
        <w:lang w:val="en-US"/>
      </w:rPr>
      <w:t>E:\Dropbox\ProposalSharing\WTSA-16\Template\WTSA16-E.docx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C72D5C" w:rsidRDefault="00C72D5C" w:rsidP="00E94DBA">
    <w:pPr>
      <w:pStyle w:val="Footer"/>
    </w:pPr>
    <w:r>
      <w:fldChar w:fldCharType="begin"/>
    </w:r>
    <w:r w:rsidRPr="0041348E">
      <w:rPr>
        <w:lang w:val="en-US"/>
      </w:rPr>
      <w:instrText xml:space="preserve"> FILENAME \p  \* MERGEFORMAT </w:instrText>
    </w:r>
    <w:r>
      <w:fldChar w:fldCharType="separate"/>
    </w:r>
    <w:r w:rsidR="00F60D05">
      <w:rPr>
        <w:lang w:val="en-US"/>
      </w:rPr>
      <w:t>E:\Dropbox\ProposalSharing\WTSA-16\Template\WTSA16-E.docx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DED" w:rsidRDefault="00A22DED">
      <w:r>
        <w:rPr>
          <w:b/>
        </w:rPr>
        <w:t>_______________</w:t>
      </w:r>
    </w:p>
  </w:footnote>
  <w:footnote w:type="continuationSeparator" w:id="0">
    <w:p w:rsidR="00A22DED" w:rsidRDefault="00A22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4D4EF3">
      <w:rPr>
        <w:noProof/>
      </w:rPr>
      <w:t>2</w:t>
    </w:r>
    <w:r>
      <w:fldChar w:fldCharType="end"/>
    </w:r>
  </w:p>
  <w:p w:rsidR="00A066F1" w:rsidRPr="00C72D5C" w:rsidRDefault="00C72D5C" w:rsidP="008E67E5">
    <w:pPr>
      <w:pStyle w:val="Header"/>
    </w:pPr>
    <w:r>
      <w:t>WTSA16/</w:t>
    </w:r>
    <w:r w:rsidR="008E67E5">
      <w:t>43(Add.32)-E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2009EA"/>
    <w:rsid w:val="00202CA0"/>
    <w:rsid w:val="00216B6D"/>
    <w:rsid w:val="00236EBA"/>
    <w:rsid w:val="00245127"/>
    <w:rsid w:val="00250AF4"/>
    <w:rsid w:val="00260B50"/>
    <w:rsid w:val="00263BE8"/>
    <w:rsid w:val="00271316"/>
    <w:rsid w:val="00290F83"/>
    <w:rsid w:val="002957A7"/>
    <w:rsid w:val="002A1D23"/>
    <w:rsid w:val="002A5392"/>
    <w:rsid w:val="002B100E"/>
    <w:rsid w:val="002D58BE"/>
    <w:rsid w:val="00316B80"/>
    <w:rsid w:val="003251EA"/>
    <w:rsid w:val="0034635C"/>
    <w:rsid w:val="00377BD3"/>
    <w:rsid w:val="00384088"/>
    <w:rsid w:val="0039169B"/>
    <w:rsid w:val="00394470"/>
    <w:rsid w:val="003A7F8C"/>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D4EF3"/>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375E8"/>
    <w:rsid w:val="008508D8"/>
    <w:rsid w:val="00864CD2"/>
    <w:rsid w:val="00872FC8"/>
    <w:rsid w:val="008845D0"/>
    <w:rsid w:val="008A23C2"/>
    <w:rsid w:val="008B1AEA"/>
    <w:rsid w:val="008B43F2"/>
    <w:rsid w:val="008B6CFF"/>
    <w:rsid w:val="008E67E5"/>
    <w:rsid w:val="008F08A1"/>
    <w:rsid w:val="00900E85"/>
    <w:rsid w:val="009163CF"/>
    <w:rsid w:val="0092425C"/>
    <w:rsid w:val="009274B4"/>
    <w:rsid w:val="00927D6E"/>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22DED"/>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37E3D"/>
    <w:rsid w:val="00B529AD"/>
    <w:rsid w:val="00B6324B"/>
    <w:rsid w:val="00B639E9"/>
    <w:rsid w:val="00B817CD"/>
    <w:rsid w:val="00B94AD0"/>
    <w:rsid w:val="00BA2035"/>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14C1"/>
    <w:rsid w:val="00DD44AF"/>
    <w:rsid w:val="00DE2AC3"/>
    <w:rsid w:val="00DE5692"/>
    <w:rsid w:val="00DF3E19"/>
    <w:rsid w:val="00E0231F"/>
    <w:rsid w:val="00E03C94"/>
    <w:rsid w:val="00E2134A"/>
    <w:rsid w:val="00E26226"/>
    <w:rsid w:val="00E45D05"/>
    <w:rsid w:val="00E528C5"/>
    <w:rsid w:val="00E55816"/>
    <w:rsid w:val="00E55AEF"/>
    <w:rsid w:val="00E870AC"/>
    <w:rsid w:val="00E94DBA"/>
    <w:rsid w:val="00E976C1"/>
    <w:rsid w:val="00EA12E5"/>
    <w:rsid w:val="00EB55C6"/>
    <w:rsid w:val="00EC7F04"/>
    <w:rsid w:val="00ED30BC"/>
    <w:rsid w:val="00F00DDC"/>
    <w:rsid w:val="00F01963"/>
    <w:rsid w:val="00F02766"/>
    <w:rsid w:val="00F05BD4"/>
    <w:rsid w:val="00F065CD"/>
    <w:rsid w:val="00F2404A"/>
    <w:rsid w:val="00F60D05"/>
    <w:rsid w:val="00F6155B"/>
    <w:rsid w:val="00F65C19"/>
    <w:rsid w:val="00F7356B"/>
    <w:rsid w:val="00F80977"/>
    <w:rsid w:val="00F83F75"/>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customStyle="1" w:styleId="enumlev1Char">
    <w:name w:val="enumlev1 Char"/>
    <w:basedOn w:val="DefaultParagraphFont"/>
    <w:link w:val="enumlev1"/>
    <w:locked/>
    <w:rsid w:val="00900E85"/>
    <w:rPr>
      <w:rFonts w:ascii="Times New Roman" w:hAnsi="Times New Roman"/>
      <w:sz w:val="24"/>
      <w:lang w:val="en-GB" w:eastAsia="en-US"/>
    </w:rPr>
  </w:style>
  <w:style w:type="character" w:styleId="Hyperlink">
    <w:name w:val="Hyperlink"/>
    <w:basedOn w:val="DefaultParagraphFont"/>
    <w:uiPriority w:val="99"/>
    <w:unhideWhenUsed/>
    <w:rsid w:val="00900E85"/>
    <w:rPr>
      <w:color w:val="0000FF" w:themeColor="hyperlink"/>
      <w:u w:val="single"/>
    </w:rPr>
  </w:style>
  <w:style w:type="character" w:customStyle="1" w:styleId="Heading5Char">
    <w:name w:val="Heading 5 Char"/>
    <w:basedOn w:val="DefaultParagraphFont"/>
    <w:link w:val="Heading5"/>
    <w:qFormat/>
    <w:rsid w:val="00900E85"/>
    <w:rPr>
      <w:rFonts w:ascii="Times New Roman" w:hAnsi="Times New Roman"/>
      <w:b/>
      <w:sz w:val="24"/>
      <w:lang w:val="en-GB" w:eastAsia="en-US"/>
    </w:rPr>
  </w:style>
  <w:style w:type="character" w:styleId="Strong">
    <w:name w:val="Strong"/>
    <w:qFormat/>
    <w:rsid w:val="00900E85"/>
    <w:rPr>
      <w:b/>
      <w:bCs/>
    </w:rPr>
  </w:style>
  <w:style w:type="table" w:styleId="TableGrid">
    <w:name w:val="Table Grid"/>
    <w:basedOn w:val="TableNormal"/>
    <w:rsid w:val="00F01963"/>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md/T13-SG20-151019-TD-GEN-0003/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itu.int/md/T13-TSAG-150602-TD-GEN-0322/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itu.int/ITU-T/workprog/wp_search.aspx?Q=xx/20" TargetMode="Externa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md/T13-TSAG-160201-TD-GEN-0368/en"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02047"/>
    <w:rsid w:val="0055704D"/>
    <w:rsid w:val="0056464A"/>
    <w:rsid w:val="006511FC"/>
    <w:rsid w:val="00763E18"/>
    <w:rsid w:val="007C3FA3"/>
    <w:rsid w:val="008A7E6B"/>
    <w:rsid w:val="00941328"/>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b09c0a3-371b-4e05-891c-8ae11dabcfbd">Documents Proposals Manager (DPM)</DPM_x0020_Author>
    <DPM_x0020_File_x0020_name xmlns="0b09c0a3-371b-4e05-891c-8ae11dabcfbd">T13-WTSA.16-C-0043!A32!MSW-E</DPM_x0020_File_x0020_name>
    <DPM_x0020_Version xmlns="0b09c0a3-371b-4e05-891c-8ae11dabcfbd">DPM_v2016.10.12.1_prod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b09c0a3-371b-4e05-891c-8ae11dabcfbd" targetNamespace="http://schemas.microsoft.com/office/2006/metadata/properties" ma:root="true" ma:fieldsID="d41af5c836d734370eb92e7ee5f83852" ns2:_="" ns3:_="">
    <xsd:import namespace="996b2e75-67fd-4955-a3b0-5ab9934cb50b"/>
    <xsd:import namespace="0b09c0a3-371b-4e05-891c-8ae11dabcfb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b09c0a3-371b-4e05-891c-8ae11dabcfb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0b09c0a3-371b-4e05-891c-8ae11dabcfb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b09c0a3-371b-4e05-891c-8ae11dab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210E7-C500-4920-ADD8-EF9367E3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2509</Words>
  <Characters>15392</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T13-WTSA.16-C-0043!A32!MSW-E</vt:lpstr>
    </vt:vector>
  </TitlesOfParts>
  <Manager>General Secretariat - Pool</Manager>
  <Company>International Telecommunication Union (ITU)</Company>
  <LinksUpToDate>false</LinksUpToDate>
  <CharactersWithSpaces>17866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T13-WTSA.16-C-0043!A32!MSW-E</dc:title>
  <dc:subject>World Telecommunication Standardization Assembly</dc:subject>
  <dc:creator>Documents Proposals Manager (DPM)</dc:creator>
  <cp:keywords>DPM_v2016.10.12.1_prod</cp:keywords>
  <dc:description>Template used by DPM and CPI for the WTSA-16</dc:description>
  <cp:lastModifiedBy>Brouard, Ricarda</cp:lastModifiedBy>
  <cp:revision>2</cp:revision>
  <cp:lastPrinted>2016-06-06T07:49:00Z</cp:lastPrinted>
  <dcterms:created xsi:type="dcterms:W3CDTF">2016-10-14T16:33:00Z</dcterms:created>
  <dcterms:modified xsi:type="dcterms:W3CDTF">2016-10-14T16:33:00Z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