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147DFA" w:rsidRDefault="0022345D" w:rsidP="00A25A43">
            <w:pPr>
              <w:pStyle w:val="Committee"/>
              <w:framePr w:hSpace="0" w:wrap="auto" w:hAnchor="text" w:yAlign="inline"/>
              <w:tabs>
                <w:tab w:val="clear" w:pos="2268"/>
                <w:tab w:val="left" w:pos="2448"/>
              </w:tabs>
              <w:bidi/>
              <w:rPr>
                <w:rFonts w:ascii="Verdana Bold" w:hAnsi="Verdana Bold" w:cs="Traditional Arabic"/>
                <w:sz w:val="30"/>
                <w:szCs w:val="30"/>
                <w:rtl/>
              </w:rPr>
            </w:pPr>
            <w:r w:rsidRPr="00147DFA">
              <w:rPr>
                <w:rFonts w:ascii="Verdana Bold" w:hAnsi="Verdana Bold" w:cs="Traditional Arabic"/>
                <w:sz w:val="19"/>
                <w:szCs w:val="30"/>
                <w:rtl/>
                <w:lang w:val="en-US" w:bidi="ar-EG"/>
              </w:rPr>
              <w:t>الجلسة العامة</w:t>
            </w:r>
          </w:p>
        </w:tc>
        <w:tc>
          <w:tcPr>
            <w:tcW w:w="1572" w:type="pct"/>
            <w:gridSpan w:val="2"/>
            <w:vAlign w:val="center"/>
          </w:tcPr>
          <w:p w:rsidR="0022345D" w:rsidRPr="00147DFA" w:rsidRDefault="0022345D" w:rsidP="00147DFA">
            <w:pPr>
              <w:pStyle w:val="Adress"/>
              <w:framePr w:hSpace="0" w:wrap="auto" w:xAlign="left" w:yAlign="inline"/>
              <w:rPr>
                <w:rtl/>
              </w:rPr>
            </w:pPr>
            <w:r w:rsidRPr="00147DFA">
              <w:rPr>
                <w:rtl/>
              </w:rPr>
              <w:t xml:space="preserve">الإضافة </w:t>
            </w:r>
            <w:r w:rsidRPr="00147DFA">
              <w:t>32</w:t>
            </w:r>
            <w:r w:rsidRPr="00147DFA">
              <w:br/>
            </w:r>
            <w:r w:rsidRPr="00147DFA">
              <w:rPr>
                <w:rtl/>
              </w:rPr>
              <w:t xml:space="preserve">للوثيقة </w:t>
            </w:r>
            <w:r w:rsidRPr="00147DFA">
              <w:t>43-</w:t>
            </w:r>
            <w:r w:rsidR="00147DFA">
              <w:t>A</w:t>
            </w:r>
          </w:p>
        </w:tc>
      </w:tr>
      <w:tr w:rsidR="0022345D" w:rsidRPr="00E07379" w:rsidTr="00A25A43">
        <w:trPr>
          <w:cantSplit/>
          <w:jc w:val="right"/>
        </w:trPr>
        <w:tc>
          <w:tcPr>
            <w:tcW w:w="3428" w:type="pct"/>
            <w:gridSpan w:val="2"/>
          </w:tcPr>
          <w:p w:rsidR="0022345D" w:rsidRPr="00147DFA" w:rsidRDefault="0022345D" w:rsidP="00A25A43">
            <w:pPr>
              <w:pStyle w:val="Adress"/>
              <w:framePr w:hSpace="0" w:wrap="auto" w:xAlign="left" w:yAlign="inline"/>
              <w:rPr>
                <w:rtl/>
              </w:rPr>
            </w:pPr>
          </w:p>
        </w:tc>
        <w:tc>
          <w:tcPr>
            <w:tcW w:w="1572" w:type="pct"/>
            <w:gridSpan w:val="2"/>
            <w:vAlign w:val="center"/>
          </w:tcPr>
          <w:p w:rsidR="0022345D" w:rsidRPr="00147DFA" w:rsidRDefault="0022345D" w:rsidP="00A25A43">
            <w:pPr>
              <w:pStyle w:val="Adress"/>
              <w:framePr w:hSpace="0" w:wrap="auto" w:xAlign="left" w:yAlign="inline"/>
              <w:rPr>
                <w:rtl/>
              </w:rPr>
            </w:pPr>
            <w:r w:rsidRPr="00147DFA">
              <w:rPr>
                <w:rFonts w:eastAsia="SimSun"/>
              </w:rPr>
              <w:t>11</w:t>
            </w:r>
            <w:r w:rsidRPr="00147DFA">
              <w:rPr>
                <w:rFonts w:eastAsia="SimSun"/>
                <w:rtl/>
              </w:rPr>
              <w:t xml:space="preserve"> أكتوبر </w:t>
            </w:r>
            <w:r w:rsidRPr="00147DFA">
              <w:rPr>
                <w:rFonts w:eastAsia="SimSun"/>
              </w:rPr>
              <w:t>2016</w:t>
            </w:r>
          </w:p>
        </w:tc>
      </w:tr>
      <w:tr w:rsidR="0022345D" w:rsidRPr="00E07379" w:rsidTr="00A25A43">
        <w:trPr>
          <w:cantSplit/>
          <w:jc w:val="right"/>
        </w:trPr>
        <w:tc>
          <w:tcPr>
            <w:tcW w:w="3428" w:type="pct"/>
            <w:gridSpan w:val="2"/>
          </w:tcPr>
          <w:p w:rsidR="0022345D" w:rsidRPr="00147DFA" w:rsidRDefault="0022345D" w:rsidP="00A25A43">
            <w:pPr>
              <w:pStyle w:val="Adress"/>
              <w:framePr w:hSpace="0" w:wrap="auto" w:xAlign="left" w:yAlign="inline"/>
            </w:pPr>
          </w:p>
        </w:tc>
        <w:tc>
          <w:tcPr>
            <w:tcW w:w="1572" w:type="pct"/>
            <w:gridSpan w:val="2"/>
            <w:vAlign w:val="center"/>
          </w:tcPr>
          <w:p w:rsidR="0022345D" w:rsidRPr="00147DFA" w:rsidRDefault="0022345D" w:rsidP="00A25A43">
            <w:pPr>
              <w:pStyle w:val="Adress"/>
              <w:framePr w:hSpace="0" w:wrap="auto" w:xAlign="left" w:yAlign="inline"/>
              <w:rPr>
                <w:rFonts w:eastAsia="SimSun" w:hint="eastAsia"/>
              </w:rPr>
            </w:pPr>
            <w:r w:rsidRPr="00147DFA">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الدول العربية</w:t>
            </w:r>
          </w:p>
        </w:tc>
      </w:tr>
      <w:tr w:rsidR="0022345D" w:rsidRPr="00E07379" w:rsidTr="00CC43BE">
        <w:trPr>
          <w:cantSplit/>
          <w:trHeight w:val="567"/>
          <w:jc w:val="right"/>
        </w:trPr>
        <w:tc>
          <w:tcPr>
            <w:tcW w:w="5000" w:type="pct"/>
            <w:gridSpan w:val="4"/>
          </w:tcPr>
          <w:p w:rsidR="0022345D" w:rsidRPr="00BD6EF3" w:rsidRDefault="0048299D" w:rsidP="00A25A43">
            <w:pPr>
              <w:pStyle w:val="Title1"/>
              <w:spacing w:before="240"/>
              <w:rPr>
                <w:rtl/>
              </w:rPr>
            </w:pPr>
            <w:r>
              <w:rPr>
                <w:rFonts w:hint="cs"/>
                <w:rtl/>
              </w:rPr>
              <w:t>مقترحات وآراء بشأن هيكل لجنة الدراسات </w:t>
            </w:r>
            <w:r>
              <w:t>20</w:t>
            </w:r>
            <w:r>
              <w:rPr>
                <w:rFonts w:hint="cs"/>
                <w:rtl/>
              </w:rPr>
              <w:t xml:space="preserve"> </w:t>
            </w:r>
            <w:r>
              <w:rPr>
                <w:rtl/>
              </w:rPr>
              <w:br/>
            </w:r>
            <w:r>
              <w:rPr>
                <w:rFonts w:hint="cs"/>
                <w:rtl/>
              </w:rPr>
              <w:t>لقطاع تقييس الاتصالات</w:t>
            </w:r>
          </w:p>
        </w:tc>
      </w:tr>
      <w:tr w:rsidR="0022345D" w:rsidRPr="00E07379" w:rsidTr="00CC43BE">
        <w:trPr>
          <w:cantSplit/>
          <w:trHeight w:val="844"/>
          <w:jc w:val="right"/>
        </w:trPr>
        <w:tc>
          <w:tcPr>
            <w:tcW w:w="5000" w:type="pct"/>
            <w:gridSpan w:val="4"/>
          </w:tcPr>
          <w:p w:rsidR="0022345D" w:rsidRPr="00BD6EF3" w:rsidRDefault="0022345D" w:rsidP="00A25A43">
            <w:pPr>
              <w:pStyle w:val="Title2"/>
              <w:rPr>
                <w:rtl/>
              </w:rPr>
            </w:pPr>
          </w:p>
        </w:tc>
      </w:tr>
      <w:tr w:rsidR="0022345D" w:rsidRPr="00E07379" w:rsidTr="00A25A43">
        <w:trPr>
          <w:cantSplit/>
          <w:jc w:val="right"/>
        </w:trPr>
        <w:tc>
          <w:tcPr>
            <w:tcW w:w="5000" w:type="pct"/>
            <w:gridSpan w:val="4"/>
          </w:tcPr>
          <w:p w:rsidR="0022345D" w:rsidRPr="002919E1" w:rsidRDefault="0022345D" w:rsidP="00A25A43">
            <w:pPr>
              <w:pStyle w:val="Agendaitem"/>
              <w:spacing w:before="240" w:line="192" w:lineRule="auto"/>
            </w:pPr>
          </w:p>
        </w:tc>
      </w:tr>
    </w:tbl>
    <w:tbl>
      <w:tblPr>
        <w:tblW w:w="5074" w:type="pct"/>
        <w:jc w:val="right"/>
        <w:tblLayout w:type="fixed"/>
        <w:tblLook w:val="0000" w:firstRow="0" w:lastRow="0" w:firstColumn="0" w:lastColumn="0" w:noHBand="0" w:noVBand="0"/>
      </w:tblPr>
      <w:tblGrid>
        <w:gridCol w:w="8742"/>
        <w:gridCol w:w="1040"/>
      </w:tblGrid>
      <w:tr w:rsidR="006157A3" w:rsidRPr="00E70E87" w:rsidTr="00111A31">
        <w:trPr>
          <w:cantSplit/>
          <w:jc w:val="right"/>
        </w:trPr>
        <w:sdt>
          <w:sdtPr>
            <w:rPr>
              <w:rtl/>
            </w:rPr>
            <w:alias w:val="Abstract"/>
            <w:tag w:val="Abstract"/>
            <w:id w:val="-939903723"/>
            <w:placeholder>
              <w:docPart w:val="456CC73F53E643B5956215EB24B5ECFA"/>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742" w:type="dxa"/>
              </w:tcPr>
              <w:p w:rsidR="006157A3" w:rsidRPr="00984EA5" w:rsidRDefault="0048299D" w:rsidP="0048299D">
                <w:pPr>
                  <w:ind w:right="34"/>
                </w:pPr>
                <w:r>
                  <w:rPr>
                    <w:rFonts w:hint="cs"/>
                    <w:rtl/>
                  </w:rPr>
                  <w:t>تقترح إدارات الدول العربية إضافة مسألتين جديدتين ومراجعة هيكل لجنة الدراسات </w:t>
                </w:r>
                <w:r>
                  <w:t>20</w:t>
                </w:r>
                <w:r>
                  <w:rPr>
                    <w:rFonts w:hint="cs"/>
                    <w:rtl/>
                    <w:lang w:bidi="ar-EG"/>
                  </w:rPr>
                  <w:t xml:space="preserve"> لقطاع تقييس الاتصالات لتعزيز دورها مع أخذ الوثيقتين </w:t>
                </w:r>
                <w:r>
                  <w:rPr>
                    <w:lang w:bidi="ar-EG"/>
                  </w:rPr>
                  <w:t>22</w:t>
                </w:r>
                <w:r>
                  <w:rPr>
                    <w:rFonts w:hint="cs"/>
                    <w:rtl/>
                    <w:lang w:bidi="ar-EG"/>
                  </w:rPr>
                  <w:t xml:space="preserve"> و</w:t>
                </w:r>
                <w:r>
                  <w:rPr>
                    <w:lang w:bidi="ar-EG"/>
                  </w:rPr>
                  <w:t>21</w:t>
                </w:r>
                <w:r>
                  <w:rPr>
                    <w:rFonts w:hint="cs"/>
                    <w:rtl/>
                    <w:lang w:bidi="ar-EG"/>
                  </w:rPr>
                  <w:t xml:space="preserve"> المقدمتين لهذه الجمعية في الاعتبار، خاصة القسم المتعلق بملاحظات بشأن العمل المستقبلي للجنة الدراسات </w:t>
                </w:r>
                <w:r>
                  <w:rPr>
                    <w:lang w:bidi="ar-EG"/>
                  </w:rPr>
                  <w:t>20</w:t>
                </w:r>
                <w:r>
                  <w:rPr>
                    <w:rFonts w:hint="cs"/>
                    <w:rtl/>
                    <w:lang w:bidi="ar-EG"/>
                  </w:rPr>
                  <w:t>.</w:t>
                </w:r>
              </w:p>
            </w:tc>
          </w:sdtContent>
        </w:sdt>
        <w:tc>
          <w:tcPr>
            <w:tcW w:w="1040" w:type="dxa"/>
          </w:tcPr>
          <w:p w:rsidR="006157A3" w:rsidRPr="00E70E87" w:rsidRDefault="006157A3" w:rsidP="00472CFE">
            <w:r w:rsidRPr="00984EA5">
              <w:rPr>
                <w:rFonts w:ascii="Times New Roman Bold" w:hAnsi="Times New Roman Bold"/>
                <w:b/>
                <w:bCs/>
                <w:rtl/>
                <w:lang w:bidi="ar-EG"/>
              </w:rPr>
              <w:t>ملخص</w:t>
            </w:r>
            <w:r w:rsidRPr="00E70E87">
              <w:t>:</w:t>
            </w:r>
          </w:p>
        </w:tc>
      </w:tr>
    </w:tbl>
    <w:p w:rsidR="0022345D" w:rsidRDefault="00842AF9" w:rsidP="00842AF9">
      <w:pPr>
        <w:pStyle w:val="Headingb"/>
        <w:rPr>
          <w:rtl/>
        </w:rPr>
      </w:pPr>
      <w:r>
        <w:rPr>
          <w:rFonts w:hint="cs"/>
          <w:rtl/>
        </w:rPr>
        <w:t>مناقشة</w:t>
      </w:r>
    </w:p>
    <w:p w:rsidR="00842AF9" w:rsidRDefault="00E5557B" w:rsidP="0048299D">
      <w:pPr>
        <w:pStyle w:val="enumlev1"/>
        <w:rPr>
          <w:lang w:bidi="ar-EG"/>
        </w:rPr>
      </w:pPr>
      <w:r>
        <w:rPr>
          <w:rFonts w:hint="cs"/>
          <w:rtl/>
          <w:lang w:bidi="ar-EG"/>
        </w:rPr>
        <w:t>-</w:t>
      </w:r>
      <w:r>
        <w:rPr>
          <w:rFonts w:hint="cs"/>
          <w:rtl/>
          <w:lang w:bidi="ar-EG"/>
        </w:rPr>
        <w:tab/>
      </w:r>
      <w:r w:rsidR="00842AF9" w:rsidRPr="00842AF9">
        <w:rPr>
          <w:rFonts w:hint="cs"/>
          <w:rtl/>
          <w:lang w:bidi="ar-EG"/>
        </w:rPr>
        <w:t>وافق الفريق الاستشاري لتقييس الاتصالات</w:t>
      </w:r>
      <w:r w:rsidR="00446A0F">
        <w:rPr>
          <w:rFonts w:hint="cs"/>
          <w:rtl/>
          <w:lang w:bidi="ar-EG"/>
        </w:rPr>
        <w:t xml:space="preserve"> </w:t>
      </w:r>
      <w:r w:rsidR="00446A0F">
        <w:rPr>
          <w:lang w:bidi="ar-EG"/>
        </w:rPr>
        <w:t>(TSAG)</w:t>
      </w:r>
      <w:r w:rsidR="00842AF9" w:rsidRPr="00842AF9">
        <w:rPr>
          <w:rFonts w:hint="cs"/>
          <w:rtl/>
          <w:lang w:bidi="ar-EG"/>
        </w:rPr>
        <w:t xml:space="preserve"> في اجتماعه في يونيو</w:t>
      </w:r>
      <w:r w:rsidR="00842AF9">
        <w:rPr>
          <w:rFonts w:hint="eastAsia"/>
          <w:rtl/>
          <w:lang w:bidi="ar-EG"/>
        </w:rPr>
        <w:t> </w:t>
      </w:r>
      <w:r w:rsidR="00842AF9" w:rsidRPr="00842AF9">
        <w:t>2015</w:t>
      </w:r>
      <w:r w:rsidR="00842AF9" w:rsidRPr="00842AF9">
        <w:rPr>
          <w:rFonts w:hint="cs"/>
          <w:rtl/>
          <w:lang w:bidi="ar-EG"/>
        </w:rPr>
        <w:t xml:space="preserve"> على إنشاء </w:t>
      </w:r>
      <w:r w:rsidR="00842AF9" w:rsidRPr="00842AF9">
        <w:rPr>
          <w:rtl/>
        </w:rPr>
        <w:t>ل‍جنة الدراسات</w:t>
      </w:r>
      <w:r w:rsidR="00842AF9">
        <w:rPr>
          <w:rFonts w:hint="cs"/>
          <w:rtl/>
        </w:rPr>
        <w:t> </w:t>
      </w:r>
      <w:r w:rsidR="00842AF9" w:rsidRPr="00842AF9">
        <w:t>20</w:t>
      </w:r>
      <w:r w:rsidR="00842AF9" w:rsidRPr="00842AF9">
        <w:rPr>
          <w:rtl/>
        </w:rPr>
        <w:t xml:space="preserve"> الجديدة التابعة لقطاع تقييس الاتصالات </w:t>
      </w:r>
      <w:r w:rsidR="0048299D">
        <w:rPr>
          <w:rFonts w:hint="cs"/>
          <w:rtl/>
          <w:lang w:bidi="ar-EG"/>
        </w:rPr>
        <w:t>والمسماة</w:t>
      </w:r>
      <w:r w:rsidR="00842AF9" w:rsidRPr="00842AF9">
        <w:rPr>
          <w:rFonts w:hint="cs"/>
          <w:rtl/>
          <w:lang w:bidi="ar-EG"/>
        </w:rPr>
        <w:t>: "</w:t>
      </w:r>
      <w:r w:rsidR="00842AF9" w:rsidRPr="00842AF9">
        <w:rPr>
          <w:rtl/>
        </w:rPr>
        <w:t>إنترنت الأشياء وتطبيقاتها بما</w:t>
      </w:r>
      <w:r w:rsidR="00842AF9" w:rsidRPr="00842AF9">
        <w:rPr>
          <w:rFonts w:hint="cs"/>
          <w:rtl/>
        </w:rPr>
        <w:t> </w:t>
      </w:r>
      <w:r w:rsidR="00842AF9" w:rsidRPr="00842AF9">
        <w:rPr>
          <w:rtl/>
        </w:rPr>
        <w:t>في ذلك المدن والمجتمعات الذكية</w:t>
      </w:r>
      <w:r w:rsidR="0048299D">
        <w:rPr>
          <w:rFonts w:hint="cs"/>
          <w:rtl/>
        </w:rPr>
        <w:t>". وتمت الموافقة على اختصاصات اللجنة وهيكلها ونصوص المسائل في اجتماع الفريق الاستشاري لتقييس الاتصالات (يونيو</w:t>
      </w:r>
      <w:r w:rsidR="000C46CB">
        <w:rPr>
          <w:rFonts w:hint="cs"/>
          <w:rtl/>
        </w:rPr>
        <w:t>،</w:t>
      </w:r>
      <w:r w:rsidR="0048299D">
        <w:rPr>
          <w:rFonts w:hint="cs"/>
          <w:rtl/>
        </w:rPr>
        <w:t> </w:t>
      </w:r>
      <w:r w:rsidR="0048299D">
        <w:t>2015</w:t>
      </w:r>
      <w:r w:rsidR="0048299D">
        <w:rPr>
          <w:rFonts w:hint="cs"/>
          <w:rtl/>
          <w:lang w:bidi="ar-EG"/>
        </w:rPr>
        <w:t>) ويمكن الاطلاع عليها في الوثيقة </w:t>
      </w:r>
      <w:hyperlink r:id="rId12" w:history="1">
        <w:r w:rsidR="00842AF9" w:rsidRPr="00842AF9">
          <w:rPr>
            <w:rStyle w:val="Hyperlink"/>
          </w:rPr>
          <w:t>TD322Rev3</w:t>
        </w:r>
      </w:hyperlink>
      <w:r w:rsidR="00F659D5" w:rsidRPr="00F659D5">
        <w:rPr>
          <w:rFonts w:hint="cs"/>
          <w:rtl/>
        </w:rPr>
        <w:t>.</w:t>
      </w:r>
    </w:p>
    <w:p w:rsidR="00842AF9" w:rsidRDefault="00E5557B" w:rsidP="00472CFE">
      <w:pPr>
        <w:pStyle w:val="enumlev1"/>
        <w:rPr>
          <w:rtl/>
          <w:lang w:bidi="ar-EG"/>
        </w:rPr>
      </w:pPr>
      <w:r>
        <w:rPr>
          <w:rFonts w:hint="cs"/>
          <w:rtl/>
        </w:rPr>
        <w:t>-</w:t>
      </w:r>
      <w:r>
        <w:rPr>
          <w:rFonts w:hint="cs"/>
          <w:rtl/>
        </w:rPr>
        <w:tab/>
      </w:r>
      <w:r w:rsidR="0048299D">
        <w:rPr>
          <w:rFonts w:hint="cs"/>
          <w:rtl/>
        </w:rPr>
        <w:t>وقد ووفق على هيكل لجنة الدراسات </w:t>
      </w:r>
      <w:r w:rsidR="0048299D">
        <w:t>20</w:t>
      </w:r>
      <w:r w:rsidR="0048299D">
        <w:rPr>
          <w:rFonts w:hint="cs"/>
          <w:rtl/>
          <w:lang w:bidi="ar-EG"/>
        </w:rPr>
        <w:t xml:space="preserve"> في اجتماع الفريق الاستشاري لتقييس الاتصالات في يونيو </w:t>
      </w:r>
      <w:r w:rsidR="0048299D">
        <w:rPr>
          <w:lang w:bidi="ar-EG"/>
        </w:rPr>
        <w:t>2015</w:t>
      </w:r>
      <w:r w:rsidR="0048299D">
        <w:rPr>
          <w:rFonts w:hint="cs"/>
          <w:rtl/>
          <w:lang w:bidi="ar-EG"/>
        </w:rPr>
        <w:t>. وقد</w:t>
      </w:r>
      <w:r w:rsidR="00472CFE">
        <w:rPr>
          <w:rFonts w:hint="eastAsia"/>
          <w:rtl/>
          <w:lang w:bidi="ar-EG"/>
        </w:rPr>
        <w:t> </w:t>
      </w:r>
      <w:r w:rsidR="0048299D">
        <w:rPr>
          <w:rFonts w:hint="cs"/>
          <w:rtl/>
          <w:lang w:bidi="ar-EG"/>
        </w:rPr>
        <w:t>عدل في أول اجتماع ع</w:t>
      </w:r>
      <w:r w:rsidR="00137DCF">
        <w:rPr>
          <w:rFonts w:hint="cs"/>
          <w:rtl/>
          <w:lang w:bidi="ar-EG"/>
        </w:rPr>
        <w:t>ُ</w:t>
      </w:r>
      <w:r w:rsidR="0048299D">
        <w:rPr>
          <w:rFonts w:hint="cs"/>
          <w:rtl/>
          <w:lang w:bidi="ar-EG"/>
        </w:rPr>
        <w:t>قد للجنة الدراسات </w:t>
      </w:r>
      <w:r w:rsidR="0048299D">
        <w:rPr>
          <w:lang w:bidi="ar-EG"/>
        </w:rPr>
        <w:t>20</w:t>
      </w:r>
      <w:r w:rsidR="00472CFE">
        <w:rPr>
          <w:rFonts w:hint="cs"/>
          <w:rtl/>
          <w:lang w:bidi="ar-EG"/>
        </w:rPr>
        <w:t xml:space="preserve"> في الف</w:t>
      </w:r>
      <w:r w:rsidR="0048299D">
        <w:rPr>
          <w:rFonts w:hint="cs"/>
          <w:rtl/>
          <w:lang w:bidi="ar-EG"/>
        </w:rPr>
        <w:t>ترة من </w:t>
      </w:r>
      <w:r w:rsidR="0048299D">
        <w:rPr>
          <w:lang w:bidi="ar-EG"/>
        </w:rPr>
        <w:t>19</w:t>
      </w:r>
      <w:r w:rsidR="0048299D">
        <w:rPr>
          <w:rFonts w:hint="cs"/>
          <w:rtl/>
          <w:lang w:bidi="ar-EG"/>
        </w:rPr>
        <w:t xml:space="preserve"> إلى </w:t>
      </w:r>
      <w:r w:rsidR="0048299D">
        <w:rPr>
          <w:lang w:bidi="ar-EG"/>
        </w:rPr>
        <w:t>23</w:t>
      </w:r>
      <w:r w:rsidR="0048299D">
        <w:rPr>
          <w:rFonts w:hint="eastAsia"/>
          <w:rtl/>
          <w:lang w:bidi="ar-EG"/>
        </w:rPr>
        <w:t> أكتوبر</w:t>
      </w:r>
      <w:r w:rsidR="0048299D">
        <w:rPr>
          <w:rFonts w:hint="cs"/>
          <w:rtl/>
          <w:lang w:bidi="ar-EG"/>
        </w:rPr>
        <w:t> </w:t>
      </w:r>
      <w:r w:rsidR="0048299D">
        <w:rPr>
          <w:lang w:bidi="ar-EG"/>
        </w:rPr>
        <w:t>2015</w:t>
      </w:r>
      <w:r w:rsidR="0048299D">
        <w:rPr>
          <w:rFonts w:hint="cs"/>
          <w:rtl/>
          <w:lang w:bidi="ar-EG"/>
        </w:rPr>
        <w:t>. ووافقت لجنة الدراسات </w:t>
      </w:r>
      <w:r w:rsidR="0048299D">
        <w:rPr>
          <w:lang w:bidi="ar-EG"/>
        </w:rPr>
        <w:t>20</w:t>
      </w:r>
      <w:r w:rsidR="0048299D">
        <w:rPr>
          <w:rFonts w:hint="cs"/>
          <w:rtl/>
          <w:lang w:bidi="ar-EG"/>
        </w:rPr>
        <w:t xml:space="preserve"> على الهيكل الوارد في الوثيقة </w:t>
      </w:r>
      <w:hyperlink r:id="rId13" w:history="1">
        <w:r w:rsidRPr="00F659D5">
          <w:rPr>
            <w:rStyle w:val="Hyperlink"/>
            <w:rFonts w:cs="Times New Roman"/>
            <w:szCs w:val="22"/>
          </w:rPr>
          <w:t>TD 003 Rev.5</w:t>
        </w:r>
        <w:r w:rsidR="00F659D5" w:rsidRPr="00F659D5">
          <w:rPr>
            <w:rStyle w:val="Hyperlink"/>
            <w:rFonts w:cs="Times New Roman"/>
            <w:szCs w:val="22"/>
          </w:rPr>
          <w:t> </w:t>
        </w:r>
        <w:r w:rsidRPr="00F659D5">
          <w:rPr>
            <w:rStyle w:val="Hyperlink"/>
            <w:rFonts w:cs="Times New Roman"/>
            <w:szCs w:val="22"/>
          </w:rPr>
          <w:t>(GEN/20)</w:t>
        </w:r>
      </w:hyperlink>
      <w:r w:rsidR="0048299D" w:rsidRPr="0048299D">
        <w:rPr>
          <w:rFonts w:hint="cs"/>
          <w:rtl/>
        </w:rPr>
        <w:t xml:space="preserve">، والذي </w:t>
      </w:r>
      <w:r w:rsidR="0048299D">
        <w:rPr>
          <w:rFonts w:hint="cs"/>
          <w:rtl/>
        </w:rPr>
        <w:t>ع</w:t>
      </w:r>
      <w:r w:rsidR="005F7286">
        <w:rPr>
          <w:rFonts w:hint="cs"/>
          <w:rtl/>
        </w:rPr>
        <w:t>ُ</w:t>
      </w:r>
      <w:r w:rsidR="0048299D">
        <w:rPr>
          <w:rFonts w:hint="cs"/>
          <w:rtl/>
        </w:rPr>
        <w:t>رض على الفريق الاستشاري لتقييس الاتصالات في فبراير </w:t>
      </w:r>
      <w:r w:rsidR="0048299D">
        <w:t>2016</w:t>
      </w:r>
      <w:r w:rsidR="0048299D">
        <w:rPr>
          <w:rFonts w:hint="cs"/>
          <w:rtl/>
          <w:lang w:bidi="ar-EG"/>
        </w:rPr>
        <w:t>.</w:t>
      </w:r>
    </w:p>
    <w:p w:rsidR="00F659D5" w:rsidRPr="00F659D5" w:rsidRDefault="00F659D5" w:rsidP="00BE1B07">
      <w:pPr>
        <w:keepNext/>
        <w:rPr>
          <w:rtl/>
          <w:lang w:bidi="ar-EG"/>
        </w:rPr>
      </w:pPr>
      <w:r>
        <w:rPr>
          <w:rFonts w:hint="cs"/>
          <w:rtl/>
          <w:lang w:bidi="ar-EG"/>
        </w:rPr>
        <w:lastRenderedPageBreak/>
        <w:t>ووافق الفريق الاستشاري في اجتماعه المنعقد في فبراير </w:t>
      </w:r>
      <w:r>
        <w:rPr>
          <w:lang w:bidi="ar-EG"/>
        </w:rPr>
        <w:t>2016</w:t>
      </w:r>
      <w:r>
        <w:rPr>
          <w:rFonts w:hint="cs"/>
          <w:rtl/>
          <w:lang w:bidi="ar-EG"/>
        </w:rPr>
        <w:t xml:space="preserve"> على ما يلي، ك</w:t>
      </w:r>
      <w:r w:rsidR="00F9207A">
        <w:rPr>
          <w:rFonts w:hint="cs"/>
          <w:rtl/>
          <w:lang w:bidi="ar-EG"/>
        </w:rPr>
        <w:t>ما هو وارد في تقرير اجتماعه هذا:</w:t>
      </w:r>
    </w:p>
    <w:p w:rsidR="00E5557B" w:rsidRPr="00E5557B" w:rsidRDefault="00E5557B" w:rsidP="005A3075">
      <w:pPr>
        <w:pStyle w:val="enumlev1"/>
        <w:keepNext/>
        <w:rPr>
          <w:rtl/>
          <w:lang w:bidi="ar-SY"/>
        </w:rPr>
      </w:pPr>
      <w:bookmarkStart w:id="0" w:name="lt_pId185"/>
      <w:r w:rsidRPr="00E5557B">
        <w:rPr>
          <w:rFonts w:hint="cs"/>
          <w:rtl/>
          <w:lang w:bidi="ar-EG"/>
        </w:rPr>
        <w:t>-</w:t>
      </w:r>
      <w:r w:rsidRPr="00E5557B">
        <w:rPr>
          <w:rFonts w:hint="cs"/>
          <w:rtl/>
          <w:lang w:bidi="ar-EG"/>
        </w:rPr>
        <w:tab/>
      </w:r>
      <w:r w:rsidRPr="00E5557B">
        <w:rPr>
          <w:rtl/>
          <w:lang w:bidi="ar-SY"/>
        </w:rPr>
        <w:t xml:space="preserve">إسناد دور لجنة الدراسات الرئيسية إلى لجنة الدراسات </w:t>
      </w:r>
      <w:r w:rsidRPr="00E5557B">
        <w:t>20</w:t>
      </w:r>
      <w:r w:rsidR="006D543A">
        <w:rPr>
          <w:rtl/>
          <w:lang w:bidi="ar-SY"/>
        </w:rPr>
        <w:t xml:space="preserve"> </w:t>
      </w:r>
      <w:r w:rsidR="006D543A">
        <w:rPr>
          <w:rFonts w:hint="cs"/>
          <w:rtl/>
          <w:lang w:bidi="ar-EG"/>
        </w:rPr>
        <w:t>ل</w:t>
      </w:r>
      <w:r w:rsidRPr="00E5557B">
        <w:rPr>
          <w:rtl/>
          <w:lang w:bidi="ar-SY"/>
        </w:rPr>
        <w:t>قطاع تقييس الاتصالات</w:t>
      </w:r>
      <w:r w:rsidRPr="00E5557B">
        <w:t xml:space="preserve"> </w:t>
      </w:r>
      <w:r w:rsidRPr="00E5557B">
        <w:rPr>
          <w:rtl/>
          <w:lang w:bidi="ar-SY"/>
        </w:rPr>
        <w:t>بشأن "إنترنت الأشياء</w:t>
      </w:r>
      <w:r w:rsidR="005A3075">
        <w:rPr>
          <w:rFonts w:hint="cs"/>
          <w:rtl/>
          <w:lang w:bidi="ar-SY"/>
        </w:rPr>
        <w:t> </w:t>
      </w:r>
      <w:r w:rsidR="005A3075" w:rsidRPr="00E5557B">
        <w:t>(</w:t>
      </w:r>
      <w:proofErr w:type="spellStart"/>
      <w:r w:rsidR="005A3075" w:rsidRPr="00E5557B">
        <w:t>IoT</w:t>
      </w:r>
      <w:proofErr w:type="spellEnd"/>
      <w:r w:rsidR="005A3075" w:rsidRPr="00E5557B">
        <w:t>)</w:t>
      </w:r>
      <w:r w:rsidR="005A3075">
        <w:rPr>
          <w:rFonts w:hint="cs"/>
          <w:rtl/>
        </w:rPr>
        <w:t xml:space="preserve"> </w:t>
      </w:r>
      <w:r w:rsidRPr="00E5557B">
        <w:rPr>
          <w:rtl/>
          <w:lang w:bidi="ar-SY"/>
        </w:rPr>
        <w:t xml:space="preserve">وتطبيقاتها" وبشأن "المدن والمجتمعات الذكية </w:t>
      </w:r>
      <w:r w:rsidRPr="00E5557B">
        <w:t>(</w:t>
      </w:r>
      <w:r w:rsidRPr="00E5557B">
        <w:rPr>
          <w:lang w:val="en-GB"/>
        </w:rPr>
        <w:t>SC&amp;C</w:t>
      </w:r>
      <w:r w:rsidRPr="00E5557B">
        <w:t>)</w:t>
      </w:r>
      <w:r w:rsidRPr="00E5557B">
        <w:rPr>
          <w:rtl/>
          <w:lang w:bidi="ar-SY"/>
        </w:rPr>
        <w:t>"؛</w:t>
      </w:r>
    </w:p>
    <w:p w:rsidR="00E5557B" w:rsidRPr="0048299D" w:rsidRDefault="00E5557B" w:rsidP="006D543A">
      <w:pPr>
        <w:pStyle w:val="enumlev1"/>
        <w:rPr>
          <w:spacing w:val="4"/>
          <w:rtl/>
          <w:lang w:bidi="ar-SY"/>
        </w:rPr>
      </w:pPr>
      <w:bookmarkStart w:id="1" w:name="lt_pId186"/>
      <w:bookmarkEnd w:id="0"/>
      <w:r w:rsidRPr="0048299D">
        <w:rPr>
          <w:rFonts w:hint="cs"/>
          <w:spacing w:val="4"/>
          <w:rtl/>
          <w:lang w:bidi="ar-SY"/>
        </w:rPr>
        <w:t>-</w:t>
      </w:r>
      <w:r w:rsidRPr="0048299D">
        <w:rPr>
          <w:rFonts w:hint="cs"/>
          <w:spacing w:val="4"/>
          <w:rtl/>
          <w:lang w:bidi="ar-SY"/>
        </w:rPr>
        <w:tab/>
      </w:r>
      <w:r w:rsidRPr="0048299D">
        <w:rPr>
          <w:spacing w:val="4"/>
          <w:rtl/>
          <w:lang w:bidi="ar-SY"/>
        </w:rPr>
        <w:t>تحديث نص المسائل الست لدى لجنة الدراسات</w:t>
      </w:r>
      <w:r w:rsidR="0048299D">
        <w:rPr>
          <w:rFonts w:hint="cs"/>
          <w:spacing w:val="4"/>
          <w:rtl/>
          <w:lang w:bidi="ar-SY"/>
        </w:rPr>
        <w:t> </w:t>
      </w:r>
      <w:r w:rsidRPr="0048299D">
        <w:rPr>
          <w:spacing w:val="4"/>
        </w:rPr>
        <w:t>20</w:t>
      </w:r>
      <w:r w:rsidRPr="0048299D">
        <w:rPr>
          <w:spacing w:val="4"/>
          <w:rtl/>
          <w:lang w:bidi="ar-SY"/>
        </w:rPr>
        <w:t>، كما يرد في</w:t>
      </w:r>
      <w:r w:rsidR="0048299D">
        <w:rPr>
          <w:rFonts w:hint="cs"/>
          <w:spacing w:val="4"/>
          <w:rtl/>
          <w:lang w:bidi="ar-SY"/>
        </w:rPr>
        <w:t> </w:t>
      </w:r>
      <w:r w:rsidRPr="0048299D">
        <w:rPr>
          <w:spacing w:val="4"/>
          <w:rtl/>
          <w:lang w:bidi="ar-SY"/>
        </w:rPr>
        <w:t>الملحق</w:t>
      </w:r>
      <w:r w:rsidR="0048299D">
        <w:rPr>
          <w:rFonts w:hint="cs"/>
          <w:spacing w:val="4"/>
          <w:rtl/>
          <w:lang w:bidi="ar-SY"/>
        </w:rPr>
        <w:t> </w:t>
      </w:r>
      <w:r w:rsidRPr="0048299D">
        <w:rPr>
          <w:spacing w:val="4"/>
          <w:lang w:val="en-GB"/>
        </w:rPr>
        <w:t>C</w:t>
      </w:r>
      <w:r w:rsidRPr="0048299D">
        <w:rPr>
          <w:spacing w:val="4"/>
          <w:rtl/>
          <w:lang w:bidi="ar-SY"/>
        </w:rPr>
        <w:t xml:space="preserve"> بالمرفق</w:t>
      </w:r>
      <w:r w:rsidR="0048299D">
        <w:rPr>
          <w:rFonts w:hint="cs"/>
          <w:spacing w:val="4"/>
          <w:rtl/>
          <w:lang w:bidi="ar-SY"/>
        </w:rPr>
        <w:t> </w:t>
      </w:r>
      <w:r w:rsidRPr="0048299D">
        <w:rPr>
          <w:spacing w:val="4"/>
        </w:rPr>
        <w:t>1</w:t>
      </w:r>
      <w:r w:rsidRPr="0048299D">
        <w:rPr>
          <w:spacing w:val="4"/>
          <w:rtl/>
          <w:lang w:bidi="ar-SY"/>
        </w:rPr>
        <w:t xml:space="preserve"> ببيان اتصال لجنة الدراسات</w:t>
      </w:r>
      <w:r w:rsidRPr="0048299D">
        <w:rPr>
          <w:rFonts w:hint="cs"/>
          <w:spacing w:val="4"/>
          <w:rtl/>
          <w:lang w:bidi="ar-SY"/>
        </w:rPr>
        <w:t> </w:t>
      </w:r>
      <w:r w:rsidRPr="0048299D">
        <w:rPr>
          <w:spacing w:val="4"/>
        </w:rPr>
        <w:t>20</w:t>
      </w:r>
      <w:r w:rsidR="006D543A">
        <w:rPr>
          <w:rFonts w:hint="cs"/>
          <w:spacing w:val="4"/>
          <w:rtl/>
          <w:lang w:bidi="ar-SY"/>
        </w:rPr>
        <w:t xml:space="preserve"> لقطاع تقييس الاتصالات </w:t>
      </w:r>
      <w:r w:rsidRPr="0048299D">
        <w:rPr>
          <w:spacing w:val="4"/>
        </w:rPr>
        <w:t>(</w:t>
      </w:r>
      <w:hyperlink r:id="rId14" w:history="1">
        <w:r w:rsidRPr="0048299D">
          <w:rPr>
            <w:rStyle w:val="Hyperlink"/>
            <w:spacing w:val="4"/>
          </w:rPr>
          <w:t>TD368</w:t>
        </w:r>
      </w:hyperlink>
      <w:r w:rsidRPr="0048299D">
        <w:rPr>
          <w:spacing w:val="4"/>
        </w:rPr>
        <w:t>)</w:t>
      </w:r>
      <w:r w:rsidRPr="0048299D">
        <w:rPr>
          <w:spacing w:val="4"/>
          <w:rtl/>
          <w:lang w:bidi="ar-SY"/>
        </w:rPr>
        <w:t>؛</w:t>
      </w:r>
    </w:p>
    <w:p w:rsidR="00E5557B" w:rsidRPr="00E5557B" w:rsidRDefault="00E5557B" w:rsidP="00472CFE">
      <w:pPr>
        <w:pStyle w:val="enumlev1"/>
        <w:rPr>
          <w:rtl/>
          <w:lang w:bidi="ar-SY"/>
        </w:rPr>
      </w:pPr>
      <w:bookmarkStart w:id="2" w:name="lt_pId187"/>
      <w:bookmarkEnd w:id="1"/>
      <w:r w:rsidRPr="00E5557B">
        <w:rPr>
          <w:rFonts w:hint="cs"/>
          <w:rtl/>
          <w:lang w:bidi="ar-SY"/>
        </w:rPr>
        <w:t>-</w:t>
      </w:r>
      <w:r w:rsidRPr="00E5557B">
        <w:rPr>
          <w:rFonts w:hint="cs"/>
          <w:rtl/>
          <w:lang w:bidi="ar-SY"/>
        </w:rPr>
        <w:tab/>
      </w:r>
      <w:r w:rsidRPr="00E5557B">
        <w:rPr>
          <w:rtl/>
          <w:lang w:bidi="ar-SY"/>
        </w:rPr>
        <w:t>تغييرات في ولاية ونطاق نشاط التنسيق المشترك بشأن إنترنت الأشياء</w:t>
      </w:r>
      <w:r w:rsidR="00472CFE">
        <w:rPr>
          <w:rFonts w:hint="cs"/>
          <w:rtl/>
          <w:lang w:bidi="ar-SY"/>
        </w:rPr>
        <w:t> </w:t>
      </w:r>
      <w:r w:rsidRPr="00E5557B">
        <w:t>(JCA</w:t>
      </w:r>
      <w:r w:rsidR="00472CFE">
        <w:noBreakHyphen/>
      </w:r>
      <w:proofErr w:type="spellStart"/>
      <w:r w:rsidRPr="00E5557B">
        <w:t>IoT</w:t>
      </w:r>
      <w:proofErr w:type="spellEnd"/>
      <w:r w:rsidRPr="00E5557B">
        <w:t>)</w:t>
      </w:r>
      <w:r w:rsidRPr="00E5557B">
        <w:rPr>
          <w:rtl/>
          <w:lang w:bidi="ar-SY"/>
        </w:rPr>
        <w:t xml:space="preserve"> والمدن والمجتمعات الذكية بشأن الحكم الذي يتناول الهدف الأول لنشاط التنسيق المشترك، ليصبح نصه "</w:t>
      </w:r>
      <w:r w:rsidRPr="00E5557B">
        <w:rPr>
          <w:rFonts w:hint="cs"/>
          <w:rtl/>
          <w:lang w:bidi="ar-SY"/>
        </w:rPr>
        <w:t>...</w:t>
      </w:r>
      <w:r w:rsidRPr="00E5557B">
        <w:rPr>
          <w:rFonts w:hint="eastAsia"/>
          <w:rtl/>
          <w:lang w:bidi="ar-SY"/>
        </w:rPr>
        <w:t> </w:t>
      </w:r>
      <w:r w:rsidRPr="00E5557B">
        <w:rPr>
          <w:rtl/>
          <w:lang w:bidi="ar-SY"/>
        </w:rPr>
        <w:t>وإقامة الاتصال مع قطاع الاتصالات</w:t>
      </w:r>
      <w:r w:rsidRPr="00E5557B">
        <w:rPr>
          <w:rFonts w:hint="cs"/>
          <w:rtl/>
          <w:lang w:bidi="ar-SY"/>
        </w:rPr>
        <w:t> </w:t>
      </w:r>
      <w:r w:rsidRPr="00E5557B">
        <w:rPr>
          <w:rtl/>
          <w:lang w:bidi="ar-SY"/>
        </w:rPr>
        <w:t>الراديوية...".</w:t>
      </w:r>
    </w:p>
    <w:bookmarkEnd w:id="2"/>
    <w:p w:rsidR="00E5557B" w:rsidRDefault="00F659D5" w:rsidP="0079553D">
      <w:pPr>
        <w:rPr>
          <w:rtl/>
          <w:lang w:bidi="ar-EG"/>
        </w:rPr>
      </w:pPr>
      <w:r>
        <w:rPr>
          <w:rFonts w:hint="cs"/>
          <w:rtl/>
          <w:lang w:bidi="ar-SY"/>
        </w:rPr>
        <w:t>وتقترح هذه المساهمة إضافة مسألتين جديدتين وتعديلاً على هيكل لجنة الدراسات </w:t>
      </w:r>
      <w:r>
        <w:rPr>
          <w:lang w:bidi="ar-SY"/>
        </w:rPr>
        <w:t>20</w:t>
      </w:r>
      <w:r>
        <w:rPr>
          <w:rFonts w:hint="cs"/>
          <w:rtl/>
          <w:lang w:bidi="ar-EG"/>
        </w:rPr>
        <w:t xml:space="preserve"> لدعم وتعزيز دورها في تحقيق ولايتها.</w:t>
      </w:r>
    </w:p>
    <w:p w:rsidR="00E5557B" w:rsidRDefault="00E5557B" w:rsidP="00F71487">
      <w:r>
        <w:rPr>
          <w:rtl/>
        </w:rPr>
        <w:br w:type="page"/>
      </w:r>
      <w:bookmarkStart w:id="3" w:name="_GoBack"/>
      <w:bookmarkEnd w:id="3"/>
    </w:p>
    <w:p w:rsidR="00842AF9" w:rsidRPr="00930E6D" w:rsidRDefault="00E5557B" w:rsidP="00F659D5">
      <w:pPr>
        <w:pStyle w:val="Heading1"/>
        <w:rPr>
          <w:rtl/>
        </w:rPr>
      </w:pPr>
      <w:r>
        <w:lastRenderedPageBreak/>
        <w:t>1</w:t>
      </w:r>
      <w:r>
        <w:tab/>
      </w:r>
      <w:r w:rsidR="00F659D5">
        <w:rPr>
          <w:rFonts w:hint="cs"/>
          <w:rtl/>
        </w:rPr>
        <w:t>المسألتان الجديدتان المقترحتان</w:t>
      </w:r>
    </w:p>
    <w:p w:rsidR="00275693" w:rsidRDefault="00930A7E">
      <w:pPr>
        <w:pStyle w:val="Proposal"/>
      </w:pPr>
      <w:r>
        <w:tab/>
        <w:t>ARB/43A32/1</w:t>
      </w:r>
    </w:p>
    <w:p w:rsidR="0022345D" w:rsidRPr="00F659D5" w:rsidRDefault="00F659D5" w:rsidP="00F659D5">
      <w:pPr>
        <w:rPr>
          <w:b/>
          <w:bCs/>
          <w:rtl/>
        </w:rPr>
      </w:pPr>
      <w:r w:rsidRPr="00F659D5">
        <w:rPr>
          <w:rFonts w:hint="cs"/>
          <w:b/>
          <w:bCs/>
          <w:rtl/>
        </w:rPr>
        <w:t>المسألة الجديدة </w:t>
      </w:r>
      <w:r w:rsidRPr="00F659D5">
        <w:rPr>
          <w:b/>
          <w:bCs/>
        </w:rPr>
        <w:t>2/20</w:t>
      </w:r>
      <w:r w:rsidRPr="00F659D5">
        <w:rPr>
          <w:rFonts w:hint="cs"/>
          <w:b/>
          <w:bCs/>
          <w:rtl/>
        </w:rPr>
        <w:t xml:space="preserve"> بشأن "تحليل وتقييم المدن والمجتمعات الذكية"</w:t>
      </w:r>
    </w:p>
    <w:p w:rsidR="00921F2C" w:rsidRDefault="00F659D5" w:rsidP="00F659D5">
      <w:pPr>
        <w:rPr>
          <w:rtl/>
          <w:lang w:bidi="ar-EG"/>
        </w:rPr>
      </w:pPr>
      <w:r>
        <w:rPr>
          <w:rFonts w:hint="cs"/>
          <w:rtl/>
        </w:rPr>
        <w:t>طبقاً للولاية التي كلف بها الفريق الاستشاري لتقييس الاتصالات لجنة الدراسات </w:t>
      </w:r>
      <w:r>
        <w:t>20</w:t>
      </w:r>
      <w:r>
        <w:rPr>
          <w:rFonts w:hint="cs"/>
          <w:rtl/>
          <w:lang w:bidi="ar-EG"/>
        </w:rPr>
        <w:t xml:space="preserve"> بوصفها لجنة الدراسات الرئيسية بشأن المدن والمجتمعات الذكية، ومع مراعاة العمل المنقول من لجنة الدراسات </w:t>
      </w:r>
      <w:r>
        <w:rPr>
          <w:lang w:bidi="ar-EG"/>
        </w:rPr>
        <w:t>5</w:t>
      </w:r>
      <w:r>
        <w:rPr>
          <w:rFonts w:hint="cs"/>
          <w:rtl/>
          <w:lang w:bidi="ar-EG"/>
        </w:rPr>
        <w:t xml:space="preserve"> </w:t>
      </w:r>
      <w:r w:rsidR="006D543A">
        <w:rPr>
          <w:rFonts w:hint="cs"/>
          <w:rtl/>
          <w:lang w:bidi="ar-EG"/>
        </w:rPr>
        <w:t xml:space="preserve">لقطاع تقييس الاتصالات </w:t>
      </w:r>
      <w:r>
        <w:rPr>
          <w:rFonts w:hint="cs"/>
          <w:rtl/>
          <w:lang w:bidi="ar-EG"/>
        </w:rPr>
        <w:t>إلى لجنة الدراسات </w:t>
      </w:r>
      <w:r>
        <w:rPr>
          <w:lang w:bidi="ar-EG"/>
        </w:rPr>
        <w:t>20</w:t>
      </w:r>
      <w:r>
        <w:rPr>
          <w:rFonts w:hint="cs"/>
          <w:rtl/>
          <w:lang w:bidi="ar-EG"/>
        </w:rPr>
        <w:t>، يقترح مقدمو هذه المساهمة إنشاء مسألة جديدة بشأن "تحليل وتقييم المدن والمجتمعات الذكية".</w:t>
      </w:r>
    </w:p>
    <w:p w:rsidR="00E5557B" w:rsidRDefault="00E5557B" w:rsidP="00E94F0E">
      <w:pPr>
        <w:pStyle w:val="QuestionNo"/>
      </w:pPr>
      <w:r>
        <w:rPr>
          <w:rFonts w:hint="cs"/>
          <w:rtl/>
        </w:rPr>
        <w:t xml:space="preserve">المسألة </w:t>
      </w:r>
      <w:r>
        <w:t>2/</w:t>
      </w:r>
      <w:r w:rsidR="00C13BE2">
        <w:t>20</w:t>
      </w:r>
    </w:p>
    <w:p w:rsidR="00E5557B" w:rsidRPr="00E5557B" w:rsidRDefault="00F659D5" w:rsidP="00E94F0E">
      <w:pPr>
        <w:pStyle w:val="Questiontitle"/>
        <w:rPr>
          <w:szCs w:val="28"/>
          <w:rtl/>
        </w:rPr>
      </w:pPr>
      <w:r w:rsidRPr="00F659D5">
        <w:rPr>
          <w:rFonts w:hint="cs"/>
          <w:rtl/>
        </w:rPr>
        <w:t>تحليل وتقييم المدن والمجتمعات الذكية</w:t>
      </w:r>
    </w:p>
    <w:p w:rsidR="00E5557B" w:rsidRDefault="00E5557B" w:rsidP="00CA578B">
      <w:pPr>
        <w:pStyle w:val="Heading2"/>
        <w:rPr>
          <w:rtl/>
        </w:rPr>
      </w:pPr>
      <w:r>
        <w:t>1</w:t>
      </w:r>
      <w:r>
        <w:tab/>
      </w:r>
      <w:r w:rsidR="00F659D5">
        <w:rPr>
          <w:rFonts w:hint="cs"/>
          <w:rtl/>
        </w:rPr>
        <w:t>الدوافع</w:t>
      </w:r>
    </w:p>
    <w:p w:rsidR="00E5557B" w:rsidRDefault="005459FD" w:rsidP="00F9207A">
      <w:pPr>
        <w:rPr>
          <w:rtl/>
          <w:lang w:bidi="ar-EG"/>
        </w:rPr>
      </w:pPr>
      <w:r w:rsidRPr="005459FD">
        <w:rPr>
          <w:rtl/>
        </w:rPr>
        <w:t xml:space="preserve">تنشأ استراتيجيات </w:t>
      </w:r>
      <w:r w:rsidR="00F659D5">
        <w:rPr>
          <w:rFonts w:hint="cs"/>
          <w:rtl/>
        </w:rPr>
        <w:t xml:space="preserve">شاملة </w:t>
      </w:r>
      <w:r w:rsidRPr="005459FD">
        <w:rPr>
          <w:rtl/>
        </w:rPr>
        <w:t>لتنفيذ مدن ومجتمعات ذكية</w:t>
      </w:r>
      <w:r w:rsidR="00F9207A">
        <w:rPr>
          <w:rFonts w:hint="eastAsia"/>
          <w:rtl/>
        </w:rPr>
        <w:t> </w:t>
      </w:r>
      <w:r w:rsidRPr="005459FD">
        <w:rPr>
          <w:lang w:bidi="ar-EG"/>
        </w:rPr>
        <w:t>(SC&amp;C)</w:t>
      </w:r>
      <w:r w:rsidRPr="005459FD">
        <w:rPr>
          <w:rtl/>
        </w:rPr>
        <w:t xml:space="preserve"> على الصعيد العالمي كاستجابة للتحديات الناجمة عن التحضر السريع. وتشمل هذه الاستراتيجيات إدماج تكنولوجيات المعلومات والاتصالات</w:t>
      </w:r>
      <w:r w:rsidR="00F9207A">
        <w:rPr>
          <w:rFonts w:hint="eastAsia"/>
          <w:rtl/>
        </w:rPr>
        <w:t> </w:t>
      </w:r>
      <w:r w:rsidRPr="005459FD">
        <w:rPr>
          <w:lang w:bidi="ar-EG"/>
        </w:rPr>
        <w:t>(ICT)</w:t>
      </w:r>
      <w:r w:rsidRPr="005459FD">
        <w:rPr>
          <w:rFonts w:hint="cs"/>
          <w:rtl/>
        </w:rPr>
        <w:t xml:space="preserve"> </w:t>
      </w:r>
      <w:r w:rsidRPr="005459FD">
        <w:rPr>
          <w:rtl/>
        </w:rPr>
        <w:t xml:space="preserve">في جميع </w:t>
      </w:r>
      <w:r w:rsidRPr="005459FD">
        <w:rPr>
          <w:rFonts w:hint="cs"/>
          <w:rtl/>
        </w:rPr>
        <w:t xml:space="preserve">جوانب </w:t>
      </w:r>
      <w:r w:rsidRPr="005459FD">
        <w:rPr>
          <w:rtl/>
        </w:rPr>
        <w:t>تخطيط المدن وإدارتها. و</w:t>
      </w:r>
      <w:r w:rsidR="00F659D5">
        <w:rPr>
          <w:rFonts w:hint="cs"/>
          <w:rtl/>
        </w:rPr>
        <w:t xml:space="preserve">في هذه العملية، </w:t>
      </w:r>
      <w:r w:rsidRPr="005459FD">
        <w:rPr>
          <w:rtl/>
        </w:rPr>
        <w:t xml:space="preserve">يمكن </w:t>
      </w:r>
      <w:r w:rsidRPr="005459FD">
        <w:rPr>
          <w:rFonts w:hint="cs"/>
          <w:rtl/>
        </w:rPr>
        <w:t>لتكنولوجيا المعلومات والاتصالات</w:t>
      </w:r>
      <w:r w:rsidRPr="005459FD">
        <w:rPr>
          <w:rtl/>
        </w:rPr>
        <w:t xml:space="preserve">، </w:t>
      </w:r>
      <w:r w:rsidR="00F659D5">
        <w:rPr>
          <w:rFonts w:hint="cs"/>
          <w:rtl/>
        </w:rPr>
        <w:t xml:space="preserve">خاصة إنترنت الأشياء أن </w:t>
      </w:r>
      <w:r w:rsidR="00F659D5" w:rsidRPr="008E01D3">
        <w:rPr>
          <w:rFonts w:hint="cs"/>
          <w:rtl/>
        </w:rPr>
        <w:t xml:space="preserve">تحسن </w:t>
      </w:r>
      <w:r w:rsidRPr="008E01D3">
        <w:rPr>
          <w:rtl/>
        </w:rPr>
        <w:t xml:space="preserve">كفاءة </w:t>
      </w:r>
      <w:r w:rsidRPr="008E01D3">
        <w:rPr>
          <w:rFonts w:hint="cs"/>
          <w:rtl/>
        </w:rPr>
        <w:t>إدارة</w:t>
      </w:r>
      <w:r w:rsidRPr="008E01D3">
        <w:rPr>
          <w:rtl/>
        </w:rPr>
        <w:t xml:space="preserve"> المدن</w:t>
      </w:r>
      <w:r w:rsidRPr="005459FD">
        <w:rPr>
          <w:rtl/>
        </w:rPr>
        <w:t xml:space="preserve"> من خلال تمكين جمع المعلومات ذات الصلة</w:t>
      </w:r>
      <w:r w:rsidRPr="005459FD">
        <w:rPr>
          <w:rFonts w:hint="cs"/>
          <w:rtl/>
        </w:rPr>
        <w:t xml:space="preserve"> والربط بين العديد من المجالات المختلفة. </w:t>
      </w:r>
      <w:r w:rsidRPr="005459FD">
        <w:rPr>
          <w:rtl/>
          <w:lang w:bidi="ar-EG"/>
        </w:rPr>
        <w:t xml:space="preserve">وهذا </w:t>
      </w:r>
      <w:r w:rsidRPr="005459FD">
        <w:rPr>
          <w:rFonts w:hint="cs"/>
          <w:rtl/>
          <w:lang w:bidi="ar-EG"/>
        </w:rPr>
        <w:t>سيسمح لل</w:t>
      </w:r>
      <w:r w:rsidRPr="005459FD">
        <w:rPr>
          <w:rtl/>
          <w:lang w:bidi="ar-EG"/>
        </w:rPr>
        <w:t xml:space="preserve">بلديات المعنية </w:t>
      </w:r>
      <w:r w:rsidRPr="005459FD">
        <w:rPr>
          <w:rFonts w:hint="cs"/>
          <w:rtl/>
          <w:lang w:bidi="ar-EG"/>
        </w:rPr>
        <w:t>و</w:t>
      </w:r>
      <w:r w:rsidRPr="005459FD">
        <w:rPr>
          <w:rtl/>
          <w:lang w:bidi="ar-EG"/>
        </w:rPr>
        <w:t xml:space="preserve">المجتمعات المحلية والمواطنين </w:t>
      </w:r>
      <w:r w:rsidRPr="005459FD">
        <w:rPr>
          <w:rFonts w:hint="cs"/>
          <w:rtl/>
          <w:lang w:bidi="ar-EG"/>
        </w:rPr>
        <w:t>ب</w:t>
      </w:r>
      <w:r w:rsidRPr="005459FD">
        <w:rPr>
          <w:rtl/>
          <w:lang w:bidi="ar-EG"/>
        </w:rPr>
        <w:t xml:space="preserve">اتخاذ قرارات مستنيرة </w:t>
      </w:r>
      <w:r w:rsidRPr="005459FD">
        <w:rPr>
          <w:rFonts w:hint="cs"/>
          <w:rtl/>
          <w:lang w:bidi="ar-EG"/>
        </w:rPr>
        <w:t>على نحو أفضل</w:t>
      </w:r>
      <w:r w:rsidRPr="005459FD">
        <w:rPr>
          <w:rtl/>
          <w:lang w:bidi="ar-EG"/>
        </w:rPr>
        <w:t>، مما يسهل تكامل الخدمات في المدينة والتعاون</w:t>
      </w:r>
      <w:r w:rsidRPr="005459FD">
        <w:rPr>
          <w:rFonts w:hint="cs"/>
          <w:rtl/>
          <w:lang w:bidi="ar-EG"/>
        </w:rPr>
        <w:t xml:space="preserve"> بين ا</w:t>
      </w:r>
      <w:r w:rsidRPr="005459FD">
        <w:rPr>
          <w:rtl/>
          <w:lang w:bidi="ar-EG"/>
        </w:rPr>
        <w:t>لقطاعات</w:t>
      </w:r>
      <w:r w:rsidRPr="005459FD">
        <w:rPr>
          <w:rFonts w:hint="cs"/>
          <w:rtl/>
          <w:lang w:bidi="ar-EG"/>
        </w:rPr>
        <w:t> </w:t>
      </w:r>
      <w:r w:rsidRPr="005459FD">
        <w:rPr>
          <w:rtl/>
          <w:lang w:bidi="ar-EG"/>
        </w:rPr>
        <w:t>المختلفة</w:t>
      </w:r>
      <w:r w:rsidRPr="005459FD">
        <w:rPr>
          <w:rFonts w:hint="cs"/>
          <w:rtl/>
          <w:lang w:bidi="ar-EG"/>
        </w:rPr>
        <w:t>.</w:t>
      </w:r>
    </w:p>
    <w:p w:rsidR="005459FD" w:rsidRDefault="00F659D5" w:rsidP="00CA578B">
      <w:pPr>
        <w:rPr>
          <w:rtl/>
          <w:lang w:bidi="ar-EG"/>
        </w:rPr>
      </w:pPr>
      <w:r>
        <w:rPr>
          <w:rFonts w:hint="cs"/>
          <w:rtl/>
          <w:lang w:bidi="ar-EG"/>
        </w:rPr>
        <w:t xml:space="preserve">ومن المهم في هذه المرحلة أن تتوفر القدرة على قياس أداء عمليات المدن والمجتمعات الذكية المختلفة. ويتاح واحد من هذه النهج من خلال مؤشرات الأداء الرئيسية </w:t>
      </w:r>
      <w:r w:rsidR="009F7510">
        <w:rPr>
          <w:rFonts w:hint="cs"/>
          <w:rtl/>
          <w:lang w:bidi="ar-EG"/>
        </w:rPr>
        <w:t>التي تسهل مراقبة التقدم المحرز في تحولات المدن والمجتمعات الذكية، وكذلك في قطاعات بعينها مثل البيئة والصحة والتعليم والمرافق العامة.</w:t>
      </w:r>
    </w:p>
    <w:p w:rsidR="005459FD" w:rsidRDefault="009F7510" w:rsidP="00CA578B">
      <w:pPr>
        <w:rPr>
          <w:rtl/>
          <w:lang w:bidi="ar-EG"/>
        </w:rPr>
      </w:pPr>
      <w:r>
        <w:rPr>
          <w:rFonts w:hint="cs"/>
          <w:rtl/>
          <w:lang w:bidi="ar-EG"/>
        </w:rPr>
        <w:t>ويفضل أن تتاح للمدن إمكانية القياس الكمي لإنجازاتها طبقاً لأهدافها. وبالتالي، يمكن للمدن وأصحاب المصلحة فيها، باستخدام هذه المؤشرات، القيام أيضاً بالتقييم الموضوعي للمدى الذي يمكن تصوره لها كمدن أكثر ذكاءً واستدامةً.</w:t>
      </w:r>
    </w:p>
    <w:p w:rsidR="005459FD" w:rsidRDefault="005459FD" w:rsidP="00CA578B">
      <w:pPr>
        <w:pStyle w:val="Heading2"/>
        <w:rPr>
          <w:rtl/>
        </w:rPr>
      </w:pPr>
      <w:r>
        <w:t>2</w:t>
      </w:r>
      <w:r>
        <w:tab/>
      </w:r>
      <w:r>
        <w:rPr>
          <w:rFonts w:hint="cs"/>
          <w:rtl/>
        </w:rPr>
        <w:t>المسألة</w:t>
      </w:r>
    </w:p>
    <w:p w:rsidR="005459FD" w:rsidRPr="005459FD" w:rsidRDefault="005459FD" w:rsidP="00CA578B">
      <w:pPr>
        <w:rPr>
          <w:rtl/>
          <w:lang w:bidi="ar-EG"/>
        </w:rPr>
      </w:pPr>
      <w:r w:rsidRPr="005459FD">
        <w:rPr>
          <w:rtl/>
          <w:lang w:bidi="ar-EG"/>
        </w:rPr>
        <w:t>تتناول الدراسة البنود التالية دون أن تقتصر عليها:</w:t>
      </w:r>
    </w:p>
    <w:p w:rsidR="005459FD" w:rsidRDefault="00921F2C" w:rsidP="00472CFE">
      <w:pPr>
        <w:pStyle w:val="enumlev1"/>
        <w:rPr>
          <w:rtl/>
          <w:lang w:bidi="ar-EG"/>
        </w:rPr>
      </w:pPr>
      <w:r>
        <w:rPr>
          <w:rFonts w:hint="cs"/>
          <w:rtl/>
          <w:lang w:bidi="ar-EG"/>
        </w:rPr>
        <w:t>-</w:t>
      </w:r>
      <w:r w:rsidR="005459FD" w:rsidRPr="005459FD">
        <w:rPr>
          <w:rtl/>
          <w:lang w:bidi="ar-EG"/>
        </w:rPr>
        <w:tab/>
        <w:t xml:space="preserve">ما هي المبادئ العامة الواجب استخدامها لوضع منهجية لتقييم </w:t>
      </w:r>
      <w:r w:rsidR="009F7510">
        <w:rPr>
          <w:rFonts w:hint="cs"/>
          <w:rtl/>
          <w:lang w:bidi="ar-EG"/>
        </w:rPr>
        <w:t xml:space="preserve">استعمال </w:t>
      </w:r>
      <w:r w:rsidR="005459FD" w:rsidRPr="005459FD">
        <w:rPr>
          <w:rtl/>
          <w:lang w:bidi="ar-EG"/>
        </w:rPr>
        <w:t xml:space="preserve">تكنولوجيا المعلومات والاتصالات </w:t>
      </w:r>
      <w:r w:rsidR="009F7510">
        <w:rPr>
          <w:rFonts w:hint="cs"/>
          <w:rtl/>
          <w:lang w:bidi="ar-EG"/>
        </w:rPr>
        <w:t>وأثرها في</w:t>
      </w:r>
      <w:r w:rsidR="00472CFE">
        <w:rPr>
          <w:rFonts w:hint="eastAsia"/>
          <w:rtl/>
          <w:lang w:bidi="ar-EG"/>
        </w:rPr>
        <w:t> </w:t>
      </w:r>
      <w:r w:rsidR="009F7510">
        <w:rPr>
          <w:rFonts w:hint="cs"/>
          <w:rtl/>
          <w:lang w:bidi="ar-EG"/>
        </w:rPr>
        <w:t>استدامة المدن؟</w:t>
      </w:r>
    </w:p>
    <w:p w:rsidR="005459FD" w:rsidRDefault="00921F2C" w:rsidP="00427F1E">
      <w:pPr>
        <w:pStyle w:val="enumlev1"/>
        <w:rPr>
          <w:rtl/>
          <w:lang w:bidi="ar-EG"/>
        </w:rPr>
      </w:pPr>
      <w:r>
        <w:rPr>
          <w:rFonts w:hint="cs"/>
          <w:rtl/>
          <w:lang w:bidi="ar-EG"/>
        </w:rPr>
        <w:t>-</w:t>
      </w:r>
      <w:r w:rsidR="005459FD">
        <w:rPr>
          <w:rtl/>
          <w:lang w:bidi="ar-EG"/>
        </w:rPr>
        <w:tab/>
      </w:r>
      <w:r w:rsidR="009F7510">
        <w:rPr>
          <w:rFonts w:hint="cs"/>
          <w:rtl/>
          <w:lang w:bidi="ar-EG"/>
        </w:rPr>
        <w:t xml:space="preserve">ما هي صيغ حساب مؤشر للمدن </w:t>
      </w:r>
      <w:r w:rsidR="00427F1E">
        <w:rPr>
          <w:rFonts w:hint="cs"/>
          <w:rtl/>
          <w:lang w:bidi="ar-EG"/>
        </w:rPr>
        <w:t>الذكية المستدامة</w:t>
      </w:r>
      <w:r w:rsidR="009F7510">
        <w:rPr>
          <w:rFonts w:hint="cs"/>
          <w:rtl/>
          <w:lang w:bidi="ar-EG"/>
        </w:rPr>
        <w:t xml:space="preserve"> للاستعمال على الصعيد العالمي؟</w:t>
      </w:r>
    </w:p>
    <w:p w:rsidR="005459FD" w:rsidRDefault="00921F2C" w:rsidP="00472CFE">
      <w:pPr>
        <w:pStyle w:val="enumlev1"/>
        <w:rPr>
          <w:rtl/>
          <w:lang w:bidi="ar-EG"/>
        </w:rPr>
      </w:pPr>
      <w:r>
        <w:rPr>
          <w:rFonts w:hint="cs"/>
          <w:rtl/>
          <w:lang w:bidi="ar-EG"/>
        </w:rPr>
        <w:t>-</w:t>
      </w:r>
      <w:r w:rsidR="005459FD" w:rsidRPr="005459FD">
        <w:rPr>
          <w:rtl/>
          <w:lang w:bidi="ar-EG"/>
        </w:rPr>
        <w:tab/>
        <w:t>كيف تُجمع البيانات الموثوقة، لا سيما البيانات التي تؤثر تأثيراً بالغاً في النتائج</w:t>
      </w:r>
      <w:r w:rsidR="009F7510">
        <w:rPr>
          <w:rFonts w:hint="cs"/>
          <w:rtl/>
          <w:lang w:bidi="ar-EG"/>
        </w:rPr>
        <w:t>؟</w:t>
      </w:r>
      <w:r w:rsidR="005459FD" w:rsidRPr="005459FD">
        <w:rPr>
          <w:rtl/>
          <w:lang w:bidi="ar-EG"/>
        </w:rPr>
        <w:t xml:space="preserve"> وكيف يؤخذ في</w:t>
      </w:r>
      <w:r w:rsidR="00472CFE">
        <w:rPr>
          <w:rFonts w:hint="cs"/>
          <w:rtl/>
          <w:lang w:bidi="ar-EG"/>
        </w:rPr>
        <w:t> </w:t>
      </w:r>
      <w:r w:rsidR="005459FD" w:rsidRPr="005459FD">
        <w:rPr>
          <w:rtl/>
          <w:lang w:bidi="ar-EG"/>
        </w:rPr>
        <w:t>الحسبان تطور البيانات على مر الزمن؟</w:t>
      </w:r>
    </w:p>
    <w:p w:rsidR="005459FD" w:rsidRPr="005459FD" w:rsidRDefault="00921F2C" w:rsidP="005459FD">
      <w:pPr>
        <w:pStyle w:val="enumlev1"/>
        <w:rPr>
          <w:rtl/>
          <w:lang w:bidi="ar-EG"/>
        </w:rPr>
      </w:pPr>
      <w:r>
        <w:rPr>
          <w:rFonts w:hint="cs"/>
          <w:rtl/>
          <w:lang w:bidi="ar-EG"/>
        </w:rPr>
        <w:t>-</w:t>
      </w:r>
      <w:r w:rsidR="005459FD" w:rsidRPr="008E4FC4">
        <w:rPr>
          <w:rtl/>
          <w:lang w:bidi="ar-EG"/>
        </w:rPr>
        <w:tab/>
        <w:t>كيف يمكن تقييم المنهجية (القياس، أخذ العينات الإحصائية، دراسات الحالة، و</w:t>
      </w:r>
      <w:r w:rsidR="005459FD">
        <w:rPr>
          <w:rtl/>
          <w:lang w:bidi="ar-EG"/>
        </w:rPr>
        <w:t>ما </w:t>
      </w:r>
      <w:r w:rsidR="005459FD" w:rsidRPr="008E4FC4">
        <w:rPr>
          <w:rtl/>
          <w:lang w:bidi="ar-EG"/>
        </w:rPr>
        <w:t>إلى ذلك) ب</w:t>
      </w:r>
      <w:r w:rsidR="005459FD">
        <w:rPr>
          <w:rtl/>
          <w:lang w:bidi="ar-EG"/>
        </w:rPr>
        <w:t>ما </w:t>
      </w:r>
      <w:r w:rsidR="005459FD" w:rsidRPr="008E4FC4">
        <w:rPr>
          <w:rtl/>
          <w:lang w:bidi="ar-EG"/>
        </w:rPr>
        <w:t>في ذلك الجوانب الإقليمية أو الوطنية المختلفة؟</w:t>
      </w:r>
    </w:p>
    <w:p w:rsidR="005459FD" w:rsidRDefault="00921F2C" w:rsidP="009F7510">
      <w:pPr>
        <w:pStyle w:val="enumlev1"/>
        <w:rPr>
          <w:rtl/>
          <w:lang w:bidi="ar-EG"/>
        </w:rPr>
      </w:pPr>
      <w:r>
        <w:rPr>
          <w:rFonts w:hint="cs"/>
          <w:rtl/>
          <w:lang w:bidi="ar-EG"/>
        </w:rPr>
        <w:t>-</w:t>
      </w:r>
      <w:r w:rsidR="005459FD">
        <w:rPr>
          <w:rtl/>
          <w:lang w:bidi="ar-EG"/>
        </w:rPr>
        <w:tab/>
      </w:r>
      <w:r w:rsidR="009F7510">
        <w:rPr>
          <w:rFonts w:hint="cs"/>
          <w:rtl/>
          <w:lang w:bidi="ar-EG"/>
        </w:rPr>
        <w:t>كيف ي</w:t>
      </w:r>
      <w:r w:rsidR="00F9207A">
        <w:rPr>
          <w:rFonts w:hint="cs"/>
          <w:rtl/>
          <w:lang w:bidi="ar-EG"/>
        </w:rPr>
        <w:t>ُ</w:t>
      </w:r>
      <w:r w:rsidR="009F7510">
        <w:rPr>
          <w:rFonts w:hint="cs"/>
          <w:rtl/>
          <w:lang w:bidi="ar-EG"/>
        </w:rPr>
        <w:t>قيم تحقيق أهداف التنمية المستدامة في مدينة ذكية؟</w:t>
      </w:r>
    </w:p>
    <w:p w:rsidR="005459FD" w:rsidRDefault="00921F2C" w:rsidP="009F7510">
      <w:pPr>
        <w:pStyle w:val="enumlev1"/>
        <w:rPr>
          <w:rtl/>
          <w:lang w:bidi="ar-EG"/>
        </w:rPr>
      </w:pPr>
      <w:r>
        <w:rPr>
          <w:rFonts w:hint="cs"/>
          <w:rtl/>
          <w:lang w:bidi="ar-EG"/>
        </w:rPr>
        <w:t>-</w:t>
      </w:r>
      <w:r w:rsidR="005459FD">
        <w:rPr>
          <w:rtl/>
          <w:lang w:bidi="ar-EG"/>
        </w:rPr>
        <w:tab/>
      </w:r>
      <w:r w:rsidR="009F7510">
        <w:rPr>
          <w:rFonts w:hint="cs"/>
          <w:rtl/>
          <w:lang w:bidi="ar-EG"/>
        </w:rPr>
        <w:t>كيف ي</w:t>
      </w:r>
      <w:r w:rsidR="00F9207A">
        <w:rPr>
          <w:rFonts w:hint="cs"/>
          <w:rtl/>
          <w:lang w:bidi="ar-EG"/>
        </w:rPr>
        <w:t>ُ</w:t>
      </w:r>
      <w:r w:rsidR="009F7510">
        <w:rPr>
          <w:rFonts w:hint="cs"/>
          <w:rtl/>
          <w:lang w:bidi="ar-EG"/>
        </w:rPr>
        <w:t>قاس أداء محدد لمدينة فيما يتع</w:t>
      </w:r>
      <w:r w:rsidR="00472CFE">
        <w:rPr>
          <w:rFonts w:hint="cs"/>
          <w:rtl/>
          <w:lang w:bidi="ar-EG"/>
        </w:rPr>
        <w:t>لق بمؤشرات قطاعات محددة، مثل مؤ</w:t>
      </w:r>
      <w:r w:rsidR="009F7510">
        <w:rPr>
          <w:rFonts w:hint="cs"/>
          <w:rtl/>
          <w:lang w:bidi="ar-EG"/>
        </w:rPr>
        <w:t>شرات البيانات المفتوحة، ومؤشرات الصحة الإلكترونية ومؤشرات المرافق العامة وغيرها؟</w:t>
      </w:r>
    </w:p>
    <w:p w:rsidR="005459FD" w:rsidRDefault="00921F2C" w:rsidP="009F7510">
      <w:pPr>
        <w:pStyle w:val="enumlev1"/>
        <w:rPr>
          <w:rtl/>
          <w:lang w:bidi="ar-EG"/>
        </w:rPr>
      </w:pPr>
      <w:r>
        <w:rPr>
          <w:rFonts w:hint="cs"/>
          <w:rtl/>
          <w:lang w:bidi="ar-EG"/>
        </w:rPr>
        <w:lastRenderedPageBreak/>
        <w:t>-</w:t>
      </w:r>
      <w:r w:rsidR="005459FD">
        <w:rPr>
          <w:rtl/>
          <w:lang w:bidi="ar-EG"/>
        </w:rPr>
        <w:tab/>
      </w:r>
      <w:r w:rsidR="009F7510">
        <w:rPr>
          <w:rFonts w:hint="cs"/>
          <w:rtl/>
          <w:lang w:bidi="ar-EG"/>
        </w:rPr>
        <w:t>كيف تُقيم جودة خدمات الصحة الإلكترونية؟ وكيف تحد</w:t>
      </w:r>
      <w:r w:rsidR="003F5C76">
        <w:rPr>
          <w:rFonts w:hint="cs"/>
          <w:rtl/>
          <w:lang w:bidi="ar-EG"/>
        </w:rPr>
        <w:t>ّ</w:t>
      </w:r>
      <w:r w:rsidR="009F7510">
        <w:rPr>
          <w:rFonts w:hint="cs"/>
          <w:rtl/>
          <w:lang w:bidi="ar-EG"/>
        </w:rPr>
        <w:t>ث أنظمة الصحة الإلكترونية للتكيف مع تكنولوجيات المستقبل ونتائج التقييم؟</w:t>
      </w:r>
    </w:p>
    <w:p w:rsidR="00F407DF" w:rsidRPr="00F407DF" w:rsidRDefault="00E94F0E" w:rsidP="00472CFE">
      <w:pPr>
        <w:pStyle w:val="enumlev1"/>
        <w:rPr>
          <w:rtl/>
          <w:lang w:bidi="ar-EG"/>
        </w:rPr>
      </w:pPr>
      <w:r>
        <w:rPr>
          <w:rFonts w:hint="cs"/>
          <w:rtl/>
          <w:lang w:bidi="ar-EG"/>
        </w:rPr>
        <w:t>-</w:t>
      </w:r>
      <w:r w:rsidR="00F407DF" w:rsidRPr="0025782C">
        <w:rPr>
          <w:rtl/>
        </w:rPr>
        <w:tab/>
      </w:r>
      <w:r w:rsidR="009F7510">
        <w:rPr>
          <w:rFonts w:hint="cs"/>
          <w:rtl/>
        </w:rPr>
        <w:t xml:space="preserve">سيكون من الضروري التعاون مع </w:t>
      </w:r>
      <w:r w:rsidR="00F407DF">
        <w:rPr>
          <w:rFonts w:hint="cs"/>
          <w:rtl/>
        </w:rPr>
        <w:t>المنظمات</w:t>
      </w:r>
      <w:r w:rsidR="00F407DF">
        <w:rPr>
          <w:rtl/>
        </w:rPr>
        <w:t xml:space="preserve"> المعنية بوضع المعايير</w:t>
      </w:r>
      <w:r w:rsidR="00472CFE">
        <w:rPr>
          <w:rFonts w:hint="cs"/>
          <w:rtl/>
        </w:rPr>
        <w:t> </w:t>
      </w:r>
      <w:r w:rsidR="00F407DF">
        <w:t>(SDO)</w:t>
      </w:r>
      <w:r w:rsidR="00F407DF">
        <w:rPr>
          <w:rFonts w:hint="cs"/>
          <w:rtl/>
        </w:rPr>
        <w:t xml:space="preserve"> </w:t>
      </w:r>
      <w:r w:rsidR="009F7510">
        <w:rPr>
          <w:rFonts w:hint="cs"/>
          <w:rtl/>
        </w:rPr>
        <w:t>ل</w:t>
      </w:r>
      <w:r w:rsidR="00F407DF">
        <w:rPr>
          <w:rtl/>
        </w:rPr>
        <w:t xml:space="preserve">تعظيم التآزر وتعزيز تنسيق المعايير الحالية المتصلة </w:t>
      </w:r>
      <w:r w:rsidR="009F7510">
        <w:rPr>
          <w:rFonts w:hint="cs"/>
          <w:rtl/>
        </w:rPr>
        <w:t xml:space="preserve">بتحليل وتقييم المدن </w:t>
      </w:r>
      <w:r w:rsidR="00F407DF">
        <w:rPr>
          <w:rFonts w:hint="cs"/>
          <w:rtl/>
        </w:rPr>
        <w:t>والمجتمعات</w:t>
      </w:r>
      <w:r w:rsidR="00F407DF">
        <w:rPr>
          <w:rFonts w:hint="eastAsia"/>
          <w:rtl/>
        </w:rPr>
        <w:t> </w:t>
      </w:r>
      <w:r w:rsidR="00F407DF">
        <w:rPr>
          <w:rFonts w:hint="cs"/>
          <w:rtl/>
        </w:rPr>
        <w:t>الذكية</w:t>
      </w:r>
      <w:r w:rsidR="00F407DF">
        <w:rPr>
          <w:rFonts w:hint="cs"/>
          <w:rtl/>
          <w:lang w:bidi="ar-EG"/>
        </w:rPr>
        <w:t>؟</w:t>
      </w:r>
    </w:p>
    <w:p w:rsidR="005459FD" w:rsidRDefault="00F407DF" w:rsidP="00CA578B">
      <w:pPr>
        <w:pStyle w:val="Heading2"/>
        <w:rPr>
          <w:rtl/>
        </w:rPr>
      </w:pPr>
      <w:r>
        <w:t>3</w:t>
      </w:r>
      <w:r>
        <w:tab/>
      </w:r>
      <w:r>
        <w:rPr>
          <w:rFonts w:hint="cs"/>
          <w:rtl/>
        </w:rPr>
        <w:t>المهام</w:t>
      </w:r>
    </w:p>
    <w:p w:rsidR="00F87E00" w:rsidRPr="00F87E00" w:rsidRDefault="00F87E00" w:rsidP="00CA578B">
      <w:pPr>
        <w:rPr>
          <w:rtl/>
          <w:lang w:bidi="ar-EG"/>
        </w:rPr>
      </w:pPr>
      <w:r w:rsidRPr="00F87E00">
        <w:rPr>
          <w:rtl/>
          <w:lang w:bidi="ar-EG"/>
        </w:rPr>
        <w:t>تشمل المهام البنود التالية دون أن تقتصر عليها:</w:t>
      </w:r>
    </w:p>
    <w:p w:rsidR="00F87E00" w:rsidRPr="00F87E00" w:rsidRDefault="00921F2C" w:rsidP="00CA578B">
      <w:pPr>
        <w:pStyle w:val="enumlev1"/>
        <w:rPr>
          <w:rtl/>
          <w:lang w:bidi="ar-EG"/>
        </w:rPr>
      </w:pPr>
      <w:r>
        <w:rPr>
          <w:rFonts w:hint="cs"/>
          <w:rtl/>
          <w:lang w:bidi="ar-EG"/>
        </w:rPr>
        <w:t>-</w:t>
      </w:r>
      <w:r w:rsidR="00F87E00" w:rsidRPr="00F87E00">
        <w:rPr>
          <w:rtl/>
          <w:lang w:bidi="ar-EG"/>
        </w:rPr>
        <w:tab/>
        <w:t xml:space="preserve">وضع توصيات بشأن منهجية تقييم </w:t>
      </w:r>
      <w:r w:rsidR="009F7510">
        <w:rPr>
          <w:rFonts w:hint="cs"/>
          <w:rtl/>
          <w:lang w:bidi="ar-EG"/>
        </w:rPr>
        <w:t xml:space="preserve">تحقيق أهداف التنمية المستدامة في المدن </w:t>
      </w:r>
      <w:r w:rsidR="00F87E00" w:rsidRPr="00F87E00">
        <w:rPr>
          <w:rtl/>
          <w:lang w:bidi="ar-EG"/>
        </w:rPr>
        <w:t>مع مراعاة المبادئ العامة، ومعايير تقييم تأثير تكنولوجيا المعلومات والاتصالات.</w:t>
      </w:r>
    </w:p>
    <w:p w:rsidR="00F87E00" w:rsidRDefault="00921F2C" w:rsidP="00CA578B">
      <w:pPr>
        <w:pStyle w:val="enumlev1"/>
        <w:rPr>
          <w:rtl/>
          <w:lang w:bidi="ar-EG"/>
        </w:rPr>
      </w:pPr>
      <w:r>
        <w:rPr>
          <w:rFonts w:hint="cs"/>
          <w:rtl/>
          <w:lang w:bidi="ar-EG"/>
        </w:rPr>
        <w:t>-</w:t>
      </w:r>
      <w:r w:rsidR="00F87E00" w:rsidRPr="00F87E00">
        <w:rPr>
          <w:rtl/>
          <w:lang w:bidi="ar-EG"/>
        </w:rPr>
        <w:tab/>
        <w:t>وضع توصيات بشأن جمع بيانات تقريبية موثوقة وحسابها لإدراجها في نموذج التقييم.</w:t>
      </w:r>
    </w:p>
    <w:p w:rsidR="00F87E00" w:rsidRPr="00F87E00" w:rsidRDefault="00921F2C" w:rsidP="00CA578B">
      <w:pPr>
        <w:pStyle w:val="enumlev1"/>
        <w:rPr>
          <w:rtl/>
          <w:lang w:bidi="ar-EG"/>
        </w:rPr>
      </w:pPr>
      <w:r>
        <w:rPr>
          <w:rFonts w:hint="cs"/>
          <w:rtl/>
          <w:lang w:bidi="ar-EG"/>
        </w:rPr>
        <w:t>-</w:t>
      </w:r>
      <w:r w:rsidR="00F87E00" w:rsidRPr="00F87E00">
        <w:rPr>
          <w:rtl/>
          <w:lang w:bidi="ar-EG"/>
        </w:rPr>
        <w:tab/>
      </w:r>
      <w:r w:rsidR="009F7510">
        <w:rPr>
          <w:rFonts w:hint="cs"/>
          <w:rtl/>
          <w:lang w:bidi="ar-EG"/>
        </w:rPr>
        <w:t>وضع توصيات بشأن منهجية قياس أداء محدد للمدن فيما يتعلق بمؤشرات قطاعات محددة.</w:t>
      </w:r>
    </w:p>
    <w:p w:rsidR="00F87E00" w:rsidRPr="00F87E00" w:rsidRDefault="00921F2C" w:rsidP="009F20E9">
      <w:pPr>
        <w:pStyle w:val="enumlev1"/>
        <w:rPr>
          <w:rtl/>
          <w:lang w:bidi="ar-EG"/>
        </w:rPr>
      </w:pPr>
      <w:r>
        <w:rPr>
          <w:rFonts w:hint="cs"/>
          <w:rtl/>
          <w:lang w:bidi="ar-EG"/>
        </w:rPr>
        <w:t>-</w:t>
      </w:r>
      <w:r w:rsidR="00F87E00" w:rsidRPr="00F87E00">
        <w:rPr>
          <w:rtl/>
          <w:lang w:bidi="ar-EG"/>
        </w:rPr>
        <w:tab/>
        <w:t xml:space="preserve">وضع كتيبات، حسب الاقتضاء، مع الإحالة إلى قواعد البيانات المتاحة المتصلة </w:t>
      </w:r>
      <w:r w:rsidR="009F7510">
        <w:rPr>
          <w:rFonts w:hint="cs"/>
          <w:rtl/>
          <w:lang w:bidi="ar-EG"/>
        </w:rPr>
        <w:t>بالخصائص المشتركة للمدن والمجتمعات</w:t>
      </w:r>
      <w:r w:rsidR="009F20E9">
        <w:rPr>
          <w:rFonts w:hint="eastAsia"/>
          <w:rtl/>
          <w:lang w:bidi="ar-EG"/>
        </w:rPr>
        <w:t> </w:t>
      </w:r>
      <w:r w:rsidR="009F7510">
        <w:rPr>
          <w:rFonts w:hint="cs"/>
          <w:rtl/>
          <w:lang w:bidi="ar-EG"/>
        </w:rPr>
        <w:t>الذكية</w:t>
      </w:r>
      <w:r w:rsidR="00F87E00" w:rsidRPr="00F87E00">
        <w:rPr>
          <w:rtl/>
          <w:lang w:bidi="ar-EG"/>
        </w:rPr>
        <w:t>.</w:t>
      </w:r>
    </w:p>
    <w:p w:rsidR="00F407DF" w:rsidRDefault="00921F2C" w:rsidP="00BA754A">
      <w:pPr>
        <w:pStyle w:val="enumlev1"/>
        <w:rPr>
          <w:rtl/>
          <w:lang w:bidi="ar-EG"/>
        </w:rPr>
      </w:pPr>
      <w:r>
        <w:rPr>
          <w:rFonts w:hint="cs"/>
          <w:rtl/>
          <w:lang w:bidi="ar-EG"/>
        </w:rPr>
        <w:t>-</w:t>
      </w:r>
      <w:r w:rsidR="00F87E00" w:rsidRPr="00F87E00">
        <w:rPr>
          <w:rtl/>
          <w:lang w:bidi="ar-EG"/>
        </w:rPr>
        <w:tab/>
      </w:r>
      <w:r w:rsidR="009F7510">
        <w:rPr>
          <w:rFonts w:hint="cs"/>
          <w:rtl/>
          <w:lang w:bidi="ar-EG"/>
        </w:rPr>
        <w:t xml:space="preserve">وضع كتيبات من أجل الإبلاغ بالمؤشر العالمي للمدن </w:t>
      </w:r>
      <w:r w:rsidR="00BA754A">
        <w:rPr>
          <w:rFonts w:hint="cs"/>
          <w:rtl/>
          <w:lang w:bidi="ar-EG"/>
        </w:rPr>
        <w:t>الذكية المستدامة</w:t>
      </w:r>
      <w:r w:rsidR="009F7510">
        <w:rPr>
          <w:rFonts w:hint="cs"/>
          <w:rtl/>
          <w:lang w:bidi="ar-EG"/>
        </w:rPr>
        <w:t>.</w:t>
      </w:r>
    </w:p>
    <w:p w:rsidR="00F87E00" w:rsidRDefault="00921F2C" w:rsidP="00CA578B">
      <w:pPr>
        <w:pStyle w:val="enumlev1"/>
        <w:rPr>
          <w:rtl/>
          <w:lang w:bidi="ar-EG"/>
        </w:rPr>
      </w:pPr>
      <w:r>
        <w:rPr>
          <w:rFonts w:hint="cs"/>
          <w:rtl/>
          <w:lang w:bidi="ar-EG"/>
        </w:rPr>
        <w:t>-</w:t>
      </w:r>
      <w:r w:rsidR="00F87E00" w:rsidRPr="00F87E00">
        <w:rPr>
          <w:rtl/>
          <w:lang w:bidi="ar-EG"/>
        </w:rPr>
        <w:tab/>
      </w:r>
      <w:r w:rsidR="009F7510">
        <w:rPr>
          <w:rFonts w:hint="cs"/>
          <w:rtl/>
          <w:lang w:bidi="ar-EG"/>
        </w:rPr>
        <w:t>وضع مبادئ توجيهية وأفضل الممارسات للإبلاغ عن أداء المدن لمساعدة المدن في تحقيق أهداف التنمية المستدامة.</w:t>
      </w:r>
    </w:p>
    <w:p w:rsidR="00F87E00" w:rsidRDefault="00921F2C" w:rsidP="00CA578B">
      <w:pPr>
        <w:pStyle w:val="enumlev1"/>
        <w:rPr>
          <w:rtl/>
          <w:lang w:bidi="ar-EG"/>
        </w:rPr>
      </w:pPr>
      <w:r>
        <w:rPr>
          <w:rFonts w:hint="cs"/>
          <w:rtl/>
          <w:lang w:bidi="ar-EG"/>
        </w:rPr>
        <w:t>-</w:t>
      </w:r>
      <w:r w:rsidR="00F87E00" w:rsidRPr="00F87E00">
        <w:rPr>
          <w:rtl/>
          <w:lang w:bidi="ar-EG"/>
        </w:rPr>
        <w:tab/>
      </w:r>
      <w:r w:rsidR="009F7510">
        <w:rPr>
          <w:rFonts w:hint="cs"/>
          <w:rtl/>
          <w:lang w:bidi="ar-EG"/>
        </w:rPr>
        <w:t>التنسيق مع لجان الدراسات الأخرى ومنظمات وضع المعايير</w:t>
      </w:r>
      <w:r w:rsidR="00472CFE">
        <w:rPr>
          <w:rFonts w:hint="cs"/>
          <w:rtl/>
          <w:lang w:bidi="ar-EG"/>
        </w:rPr>
        <w:t xml:space="preserve"> </w:t>
      </w:r>
      <w:r w:rsidR="009F7510">
        <w:rPr>
          <w:rFonts w:hint="cs"/>
          <w:rtl/>
          <w:lang w:bidi="ar-EG"/>
        </w:rPr>
        <w:t>الأخرى وكذلك مع وكالات الأمم المتحدة بصورة منتظمة للتعاون معها بفعالية.</w:t>
      </w:r>
    </w:p>
    <w:p w:rsidR="00F87E00" w:rsidRPr="00CA578B" w:rsidRDefault="00CA578B" w:rsidP="00CA578B">
      <w:pPr>
        <w:pStyle w:val="Note"/>
        <w:rPr>
          <w:b w:val="0"/>
          <w:bCs w:val="0"/>
          <w:spacing w:val="2"/>
          <w:rtl/>
        </w:rPr>
      </w:pPr>
      <w:r w:rsidRPr="00CA578B">
        <w:rPr>
          <w:rFonts w:hint="cs"/>
          <w:spacing w:val="2"/>
          <w:rtl/>
        </w:rPr>
        <w:t>ملاحظة</w:t>
      </w:r>
      <w:r w:rsidRPr="00CA578B">
        <w:rPr>
          <w:rFonts w:hint="cs"/>
          <w:b w:val="0"/>
          <w:bCs w:val="0"/>
          <w:spacing w:val="2"/>
          <w:rtl/>
        </w:rPr>
        <w:t xml:space="preserve"> - يرد بيان محد</w:t>
      </w:r>
      <w:r w:rsidR="001E62A6">
        <w:rPr>
          <w:rFonts w:hint="cs"/>
          <w:b w:val="0"/>
          <w:bCs w:val="0"/>
          <w:spacing w:val="2"/>
          <w:rtl/>
        </w:rPr>
        <w:t>ّ</w:t>
      </w:r>
      <w:r w:rsidRPr="00CA578B">
        <w:rPr>
          <w:rFonts w:hint="cs"/>
          <w:b w:val="0"/>
          <w:bCs w:val="0"/>
          <w:spacing w:val="2"/>
          <w:rtl/>
        </w:rPr>
        <w:t>ث لحالة سير العمل في إطار هذه المسألة في برنامج عمل لجنة الدراسات</w:t>
      </w:r>
      <w:r w:rsidRPr="00CA578B">
        <w:rPr>
          <w:rFonts w:hint="eastAsia"/>
          <w:b w:val="0"/>
          <w:bCs w:val="0"/>
          <w:spacing w:val="2"/>
          <w:rtl/>
        </w:rPr>
        <w:t> </w:t>
      </w:r>
      <w:r w:rsidRPr="00CA578B">
        <w:rPr>
          <w:b w:val="0"/>
          <w:bCs w:val="0"/>
          <w:spacing w:val="2"/>
        </w:rPr>
        <w:t>20</w:t>
      </w:r>
      <w:r w:rsidRPr="00CA578B">
        <w:rPr>
          <w:rFonts w:hint="cs"/>
          <w:b w:val="0"/>
          <w:bCs w:val="0"/>
          <w:spacing w:val="2"/>
          <w:rtl/>
        </w:rPr>
        <w:t xml:space="preserve"> </w:t>
      </w:r>
      <w:r w:rsidRPr="00CA578B">
        <w:rPr>
          <w:b w:val="0"/>
          <w:bCs w:val="0"/>
          <w:spacing w:val="2"/>
        </w:rPr>
        <w:t>(</w:t>
      </w:r>
      <w:hyperlink r:id="rId15" w:history="1">
        <w:r w:rsidRPr="00CA578B">
          <w:rPr>
            <w:rStyle w:val="Hyperlink"/>
            <w:rFonts w:asciiTheme="majorBidi" w:hAnsiTheme="majorBidi" w:cstheme="majorBidi"/>
            <w:b w:val="0"/>
            <w:bCs w:val="0"/>
            <w:spacing w:val="2"/>
          </w:rPr>
          <w:t>http://www.itu.int/ITU-T/workprog/wp_search.aspx?Q=xx/20</w:t>
        </w:r>
      </w:hyperlink>
      <w:r w:rsidRPr="00CA578B">
        <w:rPr>
          <w:b w:val="0"/>
          <w:bCs w:val="0"/>
          <w:spacing w:val="2"/>
        </w:rPr>
        <w:t>)</w:t>
      </w:r>
      <w:r w:rsidRPr="00CA578B">
        <w:rPr>
          <w:rFonts w:hint="cs"/>
          <w:b w:val="0"/>
          <w:bCs w:val="0"/>
          <w:spacing w:val="2"/>
          <w:rtl/>
        </w:rPr>
        <w:t>.</w:t>
      </w:r>
    </w:p>
    <w:p w:rsidR="00F87E00" w:rsidRDefault="00F87E00" w:rsidP="00CA578B">
      <w:pPr>
        <w:pStyle w:val="Heading2"/>
        <w:rPr>
          <w:rtl/>
        </w:rPr>
      </w:pPr>
      <w:r>
        <w:t>4</w:t>
      </w:r>
      <w:r>
        <w:tab/>
      </w:r>
      <w:r>
        <w:rPr>
          <w:rFonts w:hint="cs"/>
          <w:rtl/>
        </w:rPr>
        <w:t>الروابط</w:t>
      </w:r>
    </w:p>
    <w:p w:rsidR="00F87E00" w:rsidRPr="00CA578B" w:rsidRDefault="00F87E00" w:rsidP="00CA578B">
      <w:pPr>
        <w:rPr>
          <w:b/>
          <w:bCs/>
          <w:rtl/>
        </w:rPr>
      </w:pPr>
      <w:r w:rsidRPr="00CA578B">
        <w:rPr>
          <w:rFonts w:hint="cs"/>
          <w:b/>
          <w:bCs/>
          <w:rtl/>
        </w:rPr>
        <w:t>التوصيات:</w:t>
      </w:r>
    </w:p>
    <w:p w:rsidR="00F87E00" w:rsidRPr="00472CFE" w:rsidRDefault="00CA578B" w:rsidP="00CA578B">
      <w:pPr>
        <w:pStyle w:val="enumlev1"/>
        <w:rPr>
          <w:spacing w:val="-6"/>
          <w:rtl/>
          <w:lang w:bidi="ar-EG"/>
        </w:rPr>
      </w:pPr>
      <w:r w:rsidRPr="00472CFE">
        <w:rPr>
          <w:rFonts w:hint="cs"/>
          <w:spacing w:val="-6"/>
          <w:rtl/>
        </w:rPr>
        <w:t>-</w:t>
      </w:r>
      <w:r w:rsidRPr="00472CFE">
        <w:rPr>
          <w:rFonts w:hint="cs"/>
          <w:spacing w:val="-6"/>
          <w:rtl/>
        </w:rPr>
        <w:tab/>
        <w:t>سلسلة التوصيات </w:t>
      </w:r>
      <w:r w:rsidRPr="00472CFE">
        <w:rPr>
          <w:spacing w:val="-6"/>
        </w:rPr>
        <w:t>Y.4000</w:t>
      </w:r>
      <w:r w:rsidRPr="00472CFE">
        <w:rPr>
          <w:rFonts w:hint="cs"/>
          <w:spacing w:val="-6"/>
          <w:rtl/>
          <w:lang w:bidi="ar-EG"/>
        </w:rPr>
        <w:t xml:space="preserve"> بما في ذلك </w:t>
      </w:r>
      <w:r w:rsidRPr="00472CFE">
        <w:rPr>
          <w:spacing w:val="-6"/>
          <w:lang w:bidi="ar-EG"/>
        </w:rPr>
        <w:t>L.1600/Y.4900</w:t>
      </w:r>
      <w:r w:rsidRPr="00472CFE">
        <w:rPr>
          <w:rFonts w:hint="cs"/>
          <w:spacing w:val="-6"/>
          <w:rtl/>
          <w:lang w:bidi="ar-EG"/>
        </w:rPr>
        <w:t xml:space="preserve"> و</w:t>
      </w:r>
      <w:r w:rsidRPr="00472CFE">
        <w:rPr>
          <w:spacing w:val="-6"/>
          <w:lang w:bidi="ar-EG"/>
        </w:rPr>
        <w:t>L.1601/Y.4901</w:t>
      </w:r>
      <w:r w:rsidRPr="00472CFE">
        <w:rPr>
          <w:rFonts w:hint="cs"/>
          <w:spacing w:val="-6"/>
          <w:rtl/>
          <w:lang w:bidi="ar-EG"/>
        </w:rPr>
        <w:t xml:space="preserve"> و</w:t>
      </w:r>
      <w:r w:rsidRPr="00472CFE">
        <w:rPr>
          <w:spacing w:val="-6"/>
          <w:lang w:bidi="ar-EG"/>
        </w:rPr>
        <w:t>L.1602/Y.4902</w:t>
      </w:r>
      <w:r w:rsidRPr="00472CFE">
        <w:rPr>
          <w:rFonts w:hint="cs"/>
          <w:spacing w:val="-6"/>
          <w:rtl/>
          <w:lang w:bidi="ar-EG"/>
        </w:rPr>
        <w:t xml:space="preserve"> و</w:t>
      </w:r>
      <w:r w:rsidRPr="00472CFE">
        <w:rPr>
          <w:spacing w:val="-6"/>
          <w:lang w:bidi="ar-EG"/>
        </w:rPr>
        <w:t>L.1603/Y.4903</w:t>
      </w:r>
    </w:p>
    <w:p w:rsidR="00F87E00" w:rsidRPr="00CA578B" w:rsidRDefault="00F87E00" w:rsidP="00CA578B">
      <w:pPr>
        <w:rPr>
          <w:b/>
          <w:bCs/>
          <w:rtl/>
        </w:rPr>
      </w:pPr>
      <w:r w:rsidRPr="00CA578B">
        <w:rPr>
          <w:rFonts w:hint="cs"/>
          <w:b/>
          <w:bCs/>
          <w:rtl/>
        </w:rPr>
        <w:t>المسائل</w:t>
      </w:r>
    </w:p>
    <w:p w:rsidR="00F87E00" w:rsidRDefault="00F87E00" w:rsidP="00CA578B">
      <w:pPr>
        <w:pStyle w:val="enumlev1"/>
        <w:rPr>
          <w:rtl/>
          <w:lang w:bidi="ar-EG"/>
        </w:rPr>
      </w:pPr>
      <w:r>
        <w:rPr>
          <w:rFonts w:hint="cs"/>
          <w:rtl/>
        </w:rPr>
        <w:t>-</w:t>
      </w:r>
      <w:r>
        <w:rPr>
          <w:rFonts w:hint="cs"/>
          <w:rtl/>
        </w:rPr>
        <w:tab/>
      </w:r>
      <w:r w:rsidR="00CA578B">
        <w:rPr>
          <w:rFonts w:hint="cs"/>
          <w:rtl/>
          <w:lang w:bidi="ar-EG"/>
        </w:rPr>
        <w:t>جميع مسائل لجنة الدراسات </w:t>
      </w:r>
      <w:r w:rsidR="00CA578B">
        <w:rPr>
          <w:lang w:bidi="ar-EG"/>
        </w:rPr>
        <w:t>20</w:t>
      </w:r>
    </w:p>
    <w:p w:rsidR="00F87E00" w:rsidRPr="00CA578B" w:rsidRDefault="00F87E00" w:rsidP="00CA578B">
      <w:pPr>
        <w:rPr>
          <w:b/>
          <w:bCs/>
          <w:rtl/>
        </w:rPr>
      </w:pPr>
      <w:r w:rsidRPr="00CA578B">
        <w:rPr>
          <w:rFonts w:hint="cs"/>
          <w:b/>
          <w:bCs/>
          <w:rtl/>
        </w:rPr>
        <w:t>لجان الدراسات</w:t>
      </w:r>
    </w:p>
    <w:p w:rsidR="00F87E00" w:rsidRPr="00CA578B" w:rsidRDefault="00F87E00" w:rsidP="00CA578B">
      <w:pPr>
        <w:pStyle w:val="enumlev1"/>
        <w:rPr>
          <w:rtl/>
        </w:rPr>
      </w:pPr>
      <w:r>
        <w:rPr>
          <w:rFonts w:hint="cs"/>
          <w:rtl/>
        </w:rPr>
        <w:t>-</w:t>
      </w:r>
      <w:r>
        <w:rPr>
          <w:rFonts w:hint="cs"/>
          <w:rtl/>
        </w:rPr>
        <w:tab/>
      </w:r>
      <w:r w:rsidR="00CA578B">
        <w:rPr>
          <w:rFonts w:hint="cs"/>
          <w:rtl/>
        </w:rPr>
        <w:t>لجان دراسات قطاع تقييس الاتصالات (مع مراعاة أدوارها كلجان دراسات رئيسة، مثلاً) ولجان دراسات قطاعي تنمية الاتصالات وال</w:t>
      </w:r>
      <w:r w:rsidR="006D543A">
        <w:rPr>
          <w:rFonts w:hint="cs"/>
          <w:rtl/>
        </w:rPr>
        <w:t>اتصالات الراديوية، حسب الاقتضاء</w:t>
      </w:r>
    </w:p>
    <w:p w:rsidR="00F87E00" w:rsidRPr="00E94F0E" w:rsidRDefault="00E94F0E" w:rsidP="00E94F0E">
      <w:pPr>
        <w:rPr>
          <w:b/>
          <w:bCs/>
          <w:szCs w:val="24"/>
          <w:rtl/>
        </w:rPr>
      </w:pPr>
      <w:r>
        <w:rPr>
          <w:rFonts w:hint="cs"/>
          <w:b/>
          <w:bCs/>
          <w:rtl/>
        </w:rPr>
        <w:t>الجهات الأخرى</w:t>
      </w:r>
    </w:p>
    <w:p w:rsidR="00F87E00" w:rsidRPr="001B4F30" w:rsidRDefault="00921F2C" w:rsidP="00472CFE">
      <w:pPr>
        <w:pStyle w:val="enumlev1"/>
        <w:keepNext/>
        <w:keepLines/>
        <w:widowControl w:val="0"/>
        <w:rPr>
          <w:rtl/>
          <w:lang w:bidi="ar-EG"/>
        </w:rPr>
      </w:pPr>
      <w:r>
        <w:rPr>
          <w:rFonts w:hint="cs"/>
          <w:rtl/>
          <w:lang w:bidi="ar-EG"/>
        </w:rPr>
        <w:t>-</w:t>
      </w:r>
      <w:r w:rsidR="00F87E00" w:rsidRPr="00337AD8">
        <w:rPr>
          <w:rtl/>
          <w:lang w:bidi="ar-EG"/>
        </w:rPr>
        <w:tab/>
      </w:r>
      <w:r w:rsidR="00F87E00">
        <w:rPr>
          <w:color w:val="000000"/>
          <w:rtl/>
        </w:rPr>
        <w:t>فريق التنسيق</w:t>
      </w:r>
      <w:r w:rsidR="00472CFE">
        <w:rPr>
          <w:rFonts w:hint="eastAsia"/>
          <w:color w:val="000000"/>
          <w:rtl/>
        </w:rPr>
        <w:t> </w:t>
      </w:r>
      <w:r w:rsidR="00F87E00">
        <w:rPr>
          <w:color w:val="000000"/>
        </w:rPr>
        <w:t>CEN</w:t>
      </w:r>
      <w:r w:rsidR="00472CFE">
        <w:rPr>
          <w:color w:val="000000"/>
        </w:rPr>
        <w:noBreakHyphen/>
      </w:r>
      <w:r w:rsidR="00F87E00">
        <w:rPr>
          <w:color w:val="000000"/>
        </w:rPr>
        <w:t>CENELEC</w:t>
      </w:r>
      <w:r w:rsidR="00472CFE">
        <w:rPr>
          <w:color w:val="000000"/>
        </w:rPr>
        <w:noBreakHyphen/>
      </w:r>
      <w:r w:rsidR="00F87E00">
        <w:rPr>
          <w:color w:val="000000"/>
        </w:rPr>
        <w:t>ETSI</w:t>
      </w:r>
      <w:r w:rsidR="00F87E00">
        <w:rPr>
          <w:rFonts w:hint="cs"/>
          <w:color w:val="000000"/>
          <w:rtl/>
        </w:rPr>
        <w:t xml:space="preserve"> "بشأن </w:t>
      </w:r>
      <w:r w:rsidR="00F87E00">
        <w:rPr>
          <w:color w:val="000000"/>
          <w:rtl/>
        </w:rPr>
        <w:t xml:space="preserve">المدن والمجتمعات الذكية </w:t>
      </w:r>
      <w:r w:rsidR="00F87E00">
        <w:rPr>
          <w:rFonts w:hint="cs"/>
          <w:color w:val="000000"/>
          <w:rtl/>
        </w:rPr>
        <w:t>المستدامة"</w:t>
      </w:r>
      <w:r w:rsidR="00472CFE">
        <w:rPr>
          <w:rFonts w:hint="eastAsia"/>
          <w:color w:val="000000"/>
          <w:rtl/>
        </w:rPr>
        <w:t> </w:t>
      </w:r>
      <w:r w:rsidR="00F87E00">
        <w:rPr>
          <w:color w:val="000000"/>
        </w:rPr>
        <w:t>(SSCC</w:t>
      </w:r>
      <w:r w:rsidR="00472CFE">
        <w:rPr>
          <w:color w:val="000000"/>
        </w:rPr>
        <w:noBreakHyphen/>
      </w:r>
      <w:r w:rsidR="00F87E00">
        <w:rPr>
          <w:color w:val="000000"/>
        </w:rPr>
        <w:t>CG)</w:t>
      </w:r>
    </w:p>
    <w:p w:rsidR="00F87E00" w:rsidRPr="001A324C" w:rsidRDefault="00921F2C" w:rsidP="00472CFE">
      <w:pPr>
        <w:pStyle w:val="enumlev1"/>
        <w:rPr>
          <w:rtl/>
          <w:lang w:bidi="ar-EG"/>
        </w:rPr>
      </w:pPr>
      <w:r>
        <w:rPr>
          <w:rFonts w:hint="cs"/>
          <w:rtl/>
          <w:lang w:bidi="ar-EG"/>
        </w:rPr>
        <w:t>-</w:t>
      </w:r>
      <w:r w:rsidR="00F87E00" w:rsidRPr="00337AD8">
        <w:rPr>
          <w:rtl/>
          <w:lang w:bidi="ar-EG"/>
        </w:rPr>
        <w:tab/>
      </w:r>
      <w:r w:rsidR="00F87E00">
        <w:rPr>
          <w:color w:val="000000"/>
          <w:rtl/>
        </w:rPr>
        <w:t>اللجنة التقنية المعنية بالهندسة البيئية التابعة للمعهد الأوروبي لمعايير الاتصالات</w:t>
      </w:r>
      <w:r w:rsidR="00472CFE">
        <w:rPr>
          <w:rFonts w:hint="eastAsia"/>
          <w:color w:val="000000"/>
          <w:rtl/>
        </w:rPr>
        <w:t> </w:t>
      </w:r>
      <w:r w:rsidR="00F87E00">
        <w:rPr>
          <w:color w:val="000000"/>
        </w:rPr>
        <w:t>(ETSI</w:t>
      </w:r>
      <w:r w:rsidR="00472CFE">
        <w:rPr>
          <w:color w:val="000000"/>
        </w:rPr>
        <w:t> </w:t>
      </w:r>
      <w:r w:rsidR="00F87E00">
        <w:rPr>
          <w:color w:val="000000"/>
        </w:rPr>
        <w:t>TC</w:t>
      </w:r>
      <w:r w:rsidR="00472CFE">
        <w:rPr>
          <w:color w:val="000000"/>
        </w:rPr>
        <w:t> </w:t>
      </w:r>
      <w:r w:rsidR="00F87E00">
        <w:rPr>
          <w:color w:val="000000"/>
        </w:rPr>
        <w:t>EE)</w:t>
      </w:r>
    </w:p>
    <w:p w:rsidR="00F87E00" w:rsidRPr="001A324C" w:rsidRDefault="00921F2C" w:rsidP="00472CFE">
      <w:pPr>
        <w:pStyle w:val="enumlev1"/>
        <w:rPr>
          <w:rtl/>
          <w:lang w:bidi="ar-EG"/>
        </w:rPr>
      </w:pPr>
      <w:r>
        <w:rPr>
          <w:rFonts w:hint="cs"/>
          <w:rtl/>
          <w:lang w:bidi="ar-EG"/>
        </w:rPr>
        <w:t>-</w:t>
      </w:r>
      <w:r w:rsidR="00F87E00" w:rsidRPr="00337AD8">
        <w:rPr>
          <w:rtl/>
          <w:lang w:bidi="ar-EG"/>
        </w:rPr>
        <w:tab/>
      </w:r>
      <w:r w:rsidR="00F87E00">
        <w:rPr>
          <w:color w:val="000000"/>
          <w:rtl/>
        </w:rPr>
        <w:t>اللجنة التقنية المعنية بالاتصالات</w:t>
      </w:r>
      <w:r w:rsidR="00F87E00">
        <w:rPr>
          <w:rFonts w:hint="cs"/>
          <w:color w:val="000000"/>
          <w:rtl/>
        </w:rPr>
        <w:t xml:space="preserve"> الذكية</w:t>
      </w:r>
      <w:r w:rsidR="00F87E00">
        <w:rPr>
          <w:color w:val="000000"/>
          <w:rtl/>
        </w:rPr>
        <w:t xml:space="preserve"> من آلة إلى آلة</w:t>
      </w:r>
      <w:r w:rsidR="00472CFE">
        <w:rPr>
          <w:rFonts w:hint="eastAsia"/>
          <w:color w:val="000000"/>
          <w:rtl/>
        </w:rPr>
        <w:t> </w:t>
      </w:r>
      <w:r w:rsidR="00F87E00">
        <w:rPr>
          <w:color w:val="000000"/>
        </w:rPr>
        <w:t>(M2M)</w:t>
      </w:r>
      <w:r w:rsidR="00F87E00">
        <w:rPr>
          <w:rFonts w:hint="cs"/>
          <w:color w:val="000000"/>
          <w:rtl/>
        </w:rPr>
        <w:t xml:space="preserve"> </w:t>
      </w:r>
      <w:r w:rsidR="00F87E00" w:rsidRPr="0039467A">
        <w:rPr>
          <w:color w:val="000000"/>
          <w:rtl/>
        </w:rPr>
        <w:t xml:space="preserve">التابعة للمعهد الأوروبي لمعايير </w:t>
      </w:r>
      <w:r w:rsidR="00F87E00">
        <w:rPr>
          <w:rFonts w:hint="cs"/>
          <w:color w:val="000000"/>
          <w:rtl/>
        </w:rPr>
        <w:t>الاتصالات</w:t>
      </w:r>
      <w:r w:rsidR="00F87E00">
        <w:rPr>
          <w:rFonts w:hint="eastAsia"/>
          <w:color w:val="000000"/>
          <w:rtl/>
        </w:rPr>
        <w:t> </w:t>
      </w:r>
      <w:r w:rsidR="00F87E00">
        <w:rPr>
          <w:color w:val="000000"/>
        </w:rPr>
        <w:t>(ETSI)</w:t>
      </w:r>
    </w:p>
    <w:p w:rsidR="00F87E00" w:rsidRPr="00D4711A" w:rsidRDefault="00921F2C" w:rsidP="00472CFE">
      <w:pPr>
        <w:pStyle w:val="enumlev1"/>
        <w:rPr>
          <w:rtl/>
          <w:lang w:bidi="ar-EG"/>
        </w:rPr>
      </w:pPr>
      <w:r>
        <w:rPr>
          <w:rFonts w:hint="cs"/>
          <w:rtl/>
          <w:lang w:bidi="ar-EG"/>
        </w:rPr>
        <w:t>-</w:t>
      </w:r>
      <w:r w:rsidR="00F87E00" w:rsidRPr="00337AD8">
        <w:rPr>
          <w:rtl/>
          <w:lang w:bidi="ar-EG"/>
        </w:rPr>
        <w:tab/>
      </w:r>
      <w:r w:rsidR="00F87E00">
        <w:rPr>
          <w:color w:val="000000"/>
          <w:rtl/>
        </w:rPr>
        <w:t>الفريق المعني بتقييم الأنظمة التابع للجنة الكهرتقنية الدولية</w:t>
      </w:r>
      <w:r w:rsidR="00472CFE">
        <w:rPr>
          <w:rFonts w:hint="eastAsia"/>
          <w:color w:val="000000"/>
          <w:rtl/>
        </w:rPr>
        <w:t> </w:t>
      </w:r>
      <w:r w:rsidR="00F87E00">
        <w:rPr>
          <w:color w:val="000000"/>
        </w:rPr>
        <w:t>(IEC SEG1)</w:t>
      </w:r>
    </w:p>
    <w:p w:rsidR="00F87E00" w:rsidRDefault="00921F2C" w:rsidP="00472CFE">
      <w:pPr>
        <w:pStyle w:val="enumlev1"/>
        <w:rPr>
          <w:color w:val="000000"/>
          <w:rtl/>
        </w:rPr>
      </w:pPr>
      <w:r>
        <w:rPr>
          <w:rFonts w:hint="cs"/>
          <w:rtl/>
          <w:lang w:bidi="ar-EG"/>
        </w:rPr>
        <w:t>-</w:t>
      </w:r>
      <w:r w:rsidR="00F87E00" w:rsidRPr="00337AD8">
        <w:rPr>
          <w:rtl/>
          <w:lang w:bidi="ar-EG"/>
        </w:rPr>
        <w:tab/>
      </w:r>
      <w:r w:rsidR="00F87E00">
        <w:rPr>
          <w:rFonts w:hint="cs"/>
          <w:color w:val="000000"/>
          <w:rtl/>
        </w:rPr>
        <w:t>اللجنة التقنية</w:t>
      </w:r>
      <w:r w:rsidR="00472CFE">
        <w:rPr>
          <w:rFonts w:hint="eastAsia"/>
          <w:color w:val="000000"/>
          <w:rtl/>
        </w:rPr>
        <w:t> </w:t>
      </w:r>
      <w:r w:rsidR="00F87E00">
        <w:rPr>
          <w:color w:val="000000"/>
        </w:rPr>
        <w:t>IEC</w:t>
      </w:r>
      <w:r w:rsidR="00472CFE">
        <w:rPr>
          <w:color w:val="000000"/>
        </w:rPr>
        <w:t> </w:t>
      </w:r>
      <w:r w:rsidR="00F87E00">
        <w:rPr>
          <w:color w:val="000000"/>
        </w:rPr>
        <w:t>TC</w:t>
      </w:r>
      <w:r w:rsidR="00472CFE">
        <w:rPr>
          <w:color w:val="000000"/>
        </w:rPr>
        <w:t> </w:t>
      </w:r>
      <w:r w:rsidR="00F87E00">
        <w:rPr>
          <w:color w:val="000000"/>
        </w:rPr>
        <w:t>111</w:t>
      </w:r>
    </w:p>
    <w:p w:rsidR="006D543A" w:rsidRPr="006D543A" w:rsidRDefault="006D543A" w:rsidP="006D543A">
      <w:r>
        <w:rPr>
          <w:rFonts w:hint="cs"/>
          <w:rtl/>
        </w:rPr>
        <w:lastRenderedPageBreak/>
        <w:t>-</w:t>
      </w:r>
      <w:r>
        <w:rPr>
          <w:rFonts w:hint="cs"/>
          <w:rtl/>
        </w:rPr>
        <w:tab/>
        <w:t>الشراكة</w:t>
      </w:r>
      <w:r>
        <w:rPr>
          <w:rFonts w:hint="eastAsia"/>
          <w:rtl/>
        </w:rPr>
        <w:t> </w:t>
      </w:r>
      <w:r>
        <w:t>OneM2M</w:t>
      </w:r>
    </w:p>
    <w:p w:rsidR="00F87E00" w:rsidRPr="00F62487" w:rsidRDefault="00921F2C" w:rsidP="00472CFE">
      <w:pPr>
        <w:pStyle w:val="enumlev1"/>
        <w:rPr>
          <w:rtl/>
          <w:lang w:bidi="ar-EG"/>
        </w:rPr>
      </w:pPr>
      <w:r>
        <w:rPr>
          <w:rFonts w:hint="cs"/>
          <w:rtl/>
          <w:lang w:bidi="ar-EG"/>
        </w:rPr>
        <w:t>-</w:t>
      </w:r>
      <w:r w:rsidR="00F87E00" w:rsidRPr="00337AD8">
        <w:rPr>
          <w:rtl/>
          <w:lang w:bidi="ar-EG"/>
        </w:rPr>
        <w:tab/>
      </w:r>
      <w:r w:rsidR="00F87E00">
        <w:rPr>
          <w:color w:val="000000"/>
          <w:rtl/>
        </w:rPr>
        <w:t xml:space="preserve">معهد </w:t>
      </w:r>
      <w:r w:rsidR="00F87E00">
        <w:rPr>
          <w:rFonts w:hint="cs"/>
          <w:color w:val="000000"/>
          <w:rtl/>
        </w:rPr>
        <w:t>مهندسي الكهرباء والإلكترونيات</w:t>
      </w:r>
      <w:r w:rsidR="00472CFE">
        <w:rPr>
          <w:rFonts w:hint="eastAsia"/>
          <w:rtl/>
          <w:lang w:bidi="ar-EG"/>
        </w:rPr>
        <w:t> </w:t>
      </w:r>
      <w:r w:rsidR="00F87E00">
        <w:rPr>
          <w:lang w:bidi="ar-EG"/>
        </w:rPr>
        <w:t>(IEEE)</w:t>
      </w:r>
    </w:p>
    <w:p w:rsidR="00F87E00" w:rsidRDefault="00921F2C" w:rsidP="00472CFE">
      <w:pPr>
        <w:pStyle w:val="enumlev1"/>
        <w:rPr>
          <w:rtl/>
          <w:lang w:bidi="ar-EG"/>
        </w:rPr>
      </w:pPr>
      <w:r>
        <w:rPr>
          <w:rFonts w:hint="cs"/>
          <w:rtl/>
          <w:lang w:bidi="ar-EG"/>
        </w:rPr>
        <w:t>-</w:t>
      </w:r>
      <w:r w:rsidR="00F87E00">
        <w:rPr>
          <w:rtl/>
          <w:lang w:bidi="ar-EG"/>
        </w:rPr>
        <w:tab/>
      </w:r>
      <w:r w:rsidR="00F87E00">
        <w:rPr>
          <w:rFonts w:hint="cs"/>
          <w:rtl/>
          <w:lang w:bidi="ar-EG"/>
        </w:rPr>
        <w:t>فريق العمل</w:t>
      </w:r>
      <w:r w:rsidR="00472CFE">
        <w:rPr>
          <w:rFonts w:hint="eastAsia"/>
          <w:rtl/>
          <w:lang w:bidi="ar-EG"/>
        </w:rPr>
        <w:t> </w:t>
      </w:r>
      <w:r w:rsidR="00F87E00" w:rsidRPr="00C03B9A">
        <w:rPr>
          <w:lang w:val="fr-CH"/>
        </w:rPr>
        <w:t>ISO/IEC</w:t>
      </w:r>
      <w:r w:rsidR="00472CFE">
        <w:rPr>
          <w:lang w:val="fr-CH"/>
        </w:rPr>
        <w:t> </w:t>
      </w:r>
      <w:r w:rsidR="00F87E00" w:rsidRPr="00C03B9A">
        <w:rPr>
          <w:lang w:val="fr-CH"/>
        </w:rPr>
        <w:t>JTC</w:t>
      </w:r>
      <w:r w:rsidR="00472CFE">
        <w:rPr>
          <w:lang w:val="fr-CH"/>
        </w:rPr>
        <w:t> </w:t>
      </w:r>
      <w:r w:rsidR="00F87E00" w:rsidRPr="00C03B9A">
        <w:rPr>
          <w:lang w:val="fr-CH"/>
        </w:rPr>
        <w:t>1/WG11</w:t>
      </w:r>
      <w:r w:rsidR="00F87E00">
        <w:rPr>
          <w:rFonts w:hint="cs"/>
          <w:rtl/>
          <w:lang w:val="fr-CH"/>
        </w:rPr>
        <w:t xml:space="preserve"> التابع </w:t>
      </w:r>
      <w:r w:rsidR="00F87E00" w:rsidRPr="00CB7206">
        <w:rPr>
          <w:rFonts w:hint="cs"/>
          <w:rtl/>
          <w:lang w:val="fr-CH" w:bidi="ar-EG"/>
        </w:rPr>
        <w:t>للمنظمة الدولية للتوحيد القياسي</w:t>
      </w:r>
    </w:p>
    <w:p w:rsidR="00F87E00" w:rsidRDefault="00921F2C" w:rsidP="00472CFE">
      <w:pPr>
        <w:pStyle w:val="enumlev1"/>
        <w:rPr>
          <w:rtl/>
          <w:lang w:bidi="ar-EG"/>
        </w:rPr>
      </w:pPr>
      <w:r>
        <w:rPr>
          <w:rFonts w:hint="cs"/>
          <w:rtl/>
          <w:lang w:bidi="ar-EG"/>
        </w:rPr>
        <w:t>-</w:t>
      </w:r>
      <w:r w:rsidR="00F87E00">
        <w:rPr>
          <w:rtl/>
          <w:lang w:bidi="ar-EG"/>
        </w:rPr>
        <w:tab/>
      </w:r>
      <w:r w:rsidR="00F87E00">
        <w:rPr>
          <w:rFonts w:hint="cs"/>
          <w:rtl/>
          <w:lang w:bidi="ar-EG"/>
        </w:rPr>
        <w:t>اللجنة الفرعية</w:t>
      </w:r>
      <w:r w:rsidR="00472CFE">
        <w:rPr>
          <w:rFonts w:hint="eastAsia"/>
          <w:rtl/>
          <w:lang w:bidi="ar-EG"/>
        </w:rPr>
        <w:t> </w:t>
      </w:r>
      <w:r w:rsidR="00F87E00">
        <w:rPr>
          <w:color w:val="000000"/>
        </w:rPr>
        <w:t>ISO</w:t>
      </w:r>
      <w:r w:rsidR="00472CFE">
        <w:rPr>
          <w:color w:val="000000"/>
        </w:rPr>
        <w:t> </w:t>
      </w:r>
      <w:r w:rsidR="00F87E00">
        <w:rPr>
          <w:color w:val="000000"/>
        </w:rPr>
        <w:t>TC</w:t>
      </w:r>
      <w:r w:rsidR="00472CFE">
        <w:rPr>
          <w:color w:val="000000"/>
        </w:rPr>
        <w:t> </w:t>
      </w:r>
      <w:r w:rsidR="00F87E00">
        <w:rPr>
          <w:color w:val="000000"/>
        </w:rPr>
        <w:t>268</w:t>
      </w:r>
      <w:r w:rsidR="00472CFE">
        <w:rPr>
          <w:color w:val="000000"/>
        </w:rPr>
        <w:t> </w:t>
      </w:r>
      <w:r w:rsidR="00F87E00">
        <w:rPr>
          <w:color w:val="000000"/>
        </w:rPr>
        <w:t>SC1</w:t>
      </w:r>
      <w:r w:rsidR="00F87E00">
        <w:rPr>
          <w:rFonts w:hint="cs"/>
          <w:color w:val="000000"/>
          <w:rtl/>
        </w:rPr>
        <w:t xml:space="preserve"> التابعة </w:t>
      </w:r>
      <w:r w:rsidR="00F87E00">
        <w:rPr>
          <w:rFonts w:hint="cs"/>
          <w:rtl/>
          <w:lang w:bidi="ar-EG"/>
        </w:rPr>
        <w:t>للمنظمة الدولية للتوحيد القياسي</w:t>
      </w:r>
    </w:p>
    <w:p w:rsidR="00F9207A" w:rsidRDefault="00921F2C" w:rsidP="006D543A">
      <w:pPr>
        <w:pStyle w:val="enumlev1"/>
        <w:rPr>
          <w:rtl/>
          <w:lang w:bidi="ar-EG"/>
        </w:rPr>
      </w:pPr>
      <w:r>
        <w:rPr>
          <w:rFonts w:hint="cs"/>
          <w:rtl/>
          <w:lang w:bidi="ar-EG"/>
        </w:rPr>
        <w:t>-</w:t>
      </w:r>
      <w:r w:rsidR="00F87E00">
        <w:rPr>
          <w:rtl/>
          <w:lang w:bidi="ar-EG"/>
        </w:rPr>
        <w:tab/>
      </w:r>
      <w:r w:rsidR="00F87E00">
        <w:rPr>
          <w:rFonts w:hint="cs"/>
          <w:rtl/>
          <w:lang w:bidi="ar-EG"/>
        </w:rPr>
        <w:t>الفريق الاستشاري الاستراتيجي التابع للمنظمة الدولية للتوحيد القياسي</w:t>
      </w:r>
      <w:r w:rsidR="00E94F0E">
        <w:rPr>
          <w:rFonts w:hint="eastAsia"/>
          <w:rtl/>
          <w:lang w:bidi="ar-EG"/>
        </w:rPr>
        <w:t> </w:t>
      </w:r>
      <w:r w:rsidR="00E94F0E">
        <w:rPr>
          <w:lang w:bidi="ar-EG"/>
        </w:rPr>
        <w:t>IIC</w:t>
      </w:r>
      <w:r w:rsidR="00E94F0E">
        <w:rPr>
          <w:rFonts w:hint="eastAsia"/>
          <w:rtl/>
          <w:lang w:bidi="ar-EG"/>
        </w:rPr>
        <w:t> </w:t>
      </w:r>
      <w:r w:rsidR="00E94F0E">
        <w:rPr>
          <w:rFonts w:hint="cs"/>
          <w:rtl/>
          <w:lang w:bidi="ar-EG"/>
        </w:rPr>
        <w:t>(اتحاد الإنترنت الصناعي)</w:t>
      </w:r>
    </w:p>
    <w:p w:rsidR="009839F2" w:rsidRPr="009839F2" w:rsidRDefault="009839F2" w:rsidP="009839F2">
      <w:pPr>
        <w:pStyle w:val="Reasons"/>
        <w:rPr>
          <w:rFonts w:hint="cs"/>
          <w:rtl/>
          <w:lang w:bidi="ar-EG"/>
        </w:rPr>
      </w:pPr>
    </w:p>
    <w:p w:rsidR="00275693" w:rsidRDefault="00930A7E">
      <w:pPr>
        <w:pStyle w:val="Proposal"/>
      </w:pPr>
      <w:r>
        <w:tab/>
        <w:t>ARB/43A32/2</w:t>
      </w:r>
    </w:p>
    <w:p w:rsidR="003A7197" w:rsidRDefault="00E94F0E" w:rsidP="00E94F0E">
      <w:pPr>
        <w:rPr>
          <w:b/>
          <w:bCs/>
          <w:rtl/>
          <w:lang w:bidi="ar-EG"/>
        </w:rPr>
      </w:pPr>
      <w:r w:rsidRPr="00E94F0E">
        <w:rPr>
          <w:rFonts w:hint="cs"/>
          <w:b/>
          <w:bCs/>
          <w:rtl/>
          <w:lang w:bidi="ar-EG"/>
        </w:rPr>
        <w:t xml:space="preserve">المسألة الجديدة </w:t>
      </w:r>
      <w:r w:rsidRPr="00E94F0E">
        <w:rPr>
          <w:b/>
          <w:bCs/>
          <w:lang w:bidi="ar-EG"/>
        </w:rPr>
        <w:t>3/20</w:t>
      </w:r>
      <w:r w:rsidRPr="00E94F0E">
        <w:rPr>
          <w:rFonts w:hint="cs"/>
          <w:b/>
          <w:bCs/>
          <w:rtl/>
          <w:lang w:bidi="ar-EG"/>
        </w:rPr>
        <w:t xml:space="preserve"> بشأن "الأمن والخصوصية والثقة وتعرف الهوية"</w:t>
      </w:r>
    </w:p>
    <w:p w:rsidR="00E94F0E" w:rsidRPr="00E94F0E" w:rsidRDefault="00E94F0E" w:rsidP="00E94F0E">
      <w:pPr>
        <w:rPr>
          <w:rtl/>
          <w:lang w:bidi="ar-EG"/>
        </w:rPr>
      </w:pPr>
      <w:r>
        <w:rPr>
          <w:rFonts w:hint="cs"/>
          <w:rtl/>
        </w:rPr>
        <w:t>طبقاً للولاية التي كلف بها الفريق الاستشاري لتقييس الاتصالات لجنة الدراسات </w:t>
      </w:r>
      <w:r>
        <w:t>20</w:t>
      </w:r>
      <w:r>
        <w:rPr>
          <w:rFonts w:hint="cs"/>
          <w:rtl/>
        </w:rPr>
        <w:t xml:space="preserve">، والمتمثلة في دراسة </w:t>
      </w:r>
      <w:r w:rsidRPr="00E94F0E">
        <w:rPr>
          <w:rFonts w:hint="cs"/>
          <w:rtl/>
        </w:rPr>
        <w:t>الأمن والخصوصية والثقة وتعرف الهوية</w:t>
      </w:r>
      <w:r>
        <w:rPr>
          <w:rFonts w:hint="cs"/>
          <w:rtl/>
        </w:rPr>
        <w:t xml:space="preserve"> لأنظمة إنترنت الأشياء والمدن والمجتمعات الذكية وخدماتها وتطبيقاتها، ومع مراعاة العمل والدراسات المضطلع بها في</w:t>
      </w:r>
      <w:r>
        <w:rPr>
          <w:rFonts w:hint="eastAsia"/>
          <w:rtl/>
        </w:rPr>
        <w:t> </w:t>
      </w:r>
      <w:r>
        <w:rPr>
          <w:rFonts w:hint="cs"/>
          <w:rtl/>
        </w:rPr>
        <w:t>المسائل</w:t>
      </w:r>
      <w:r>
        <w:rPr>
          <w:rFonts w:hint="eastAsia"/>
          <w:rtl/>
        </w:rPr>
        <w:t> </w:t>
      </w:r>
      <w:r>
        <w:t>1/20</w:t>
      </w:r>
      <w:r>
        <w:rPr>
          <w:rFonts w:hint="cs"/>
          <w:rtl/>
          <w:lang w:bidi="ar-EG"/>
        </w:rPr>
        <w:t xml:space="preserve"> و</w:t>
      </w:r>
      <w:r>
        <w:rPr>
          <w:lang w:bidi="ar-EG"/>
        </w:rPr>
        <w:t>4/20</w:t>
      </w:r>
      <w:r>
        <w:rPr>
          <w:rFonts w:hint="cs"/>
          <w:rtl/>
          <w:lang w:bidi="ar-EG"/>
        </w:rPr>
        <w:t xml:space="preserve"> و</w:t>
      </w:r>
      <w:r>
        <w:rPr>
          <w:lang w:bidi="ar-EG"/>
        </w:rPr>
        <w:t>5/20</w:t>
      </w:r>
      <w:r>
        <w:rPr>
          <w:rFonts w:hint="cs"/>
          <w:rtl/>
          <w:lang w:bidi="ar-EG"/>
        </w:rPr>
        <w:t xml:space="preserve"> و</w:t>
      </w:r>
      <w:r>
        <w:rPr>
          <w:lang w:bidi="ar-EG"/>
        </w:rPr>
        <w:t>6/20</w:t>
      </w:r>
      <w:r>
        <w:rPr>
          <w:rFonts w:hint="cs"/>
          <w:rtl/>
          <w:lang w:bidi="ar-EG"/>
        </w:rPr>
        <w:t xml:space="preserve">، يقترح مقدمو هذه المساهمة إنشاء مسألة قائمة بذاتها بشأن خدمات وتطبيقات </w:t>
      </w:r>
      <w:r w:rsidRPr="00E94F0E">
        <w:rPr>
          <w:rFonts w:hint="cs"/>
          <w:rtl/>
        </w:rPr>
        <w:t>"الأمن والخصوصية والثقة وتعرف الهوية</w:t>
      </w:r>
      <w:r>
        <w:rPr>
          <w:rFonts w:hint="cs"/>
          <w:rtl/>
        </w:rPr>
        <w:t xml:space="preserve">" مع مراعاة العمل والدراسات المضطلع بها في المسائل </w:t>
      </w:r>
      <w:r>
        <w:t>4/20</w:t>
      </w:r>
      <w:r>
        <w:rPr>
          <w:rFonts w:hint="cs"/>
          <w:rtl/>
          <w:lang w:bidi="ar-EG"/>
        </w:rPr>
        <w:t xml:space="preserve"> و</w:t>
      </w:r>
      <w:r>
        <w:rPr>
          <w:lang w:bidi="ar-EG"/>
        </w:rPr>
        <w:t>5/20</w:t>
      </w:r>
      <w:r>
        <w:rPr>
          <w:rFonts w:hint="cs"/>
          <w:rtl/>
          <w:lang w:bidi="ar-EG"/>
        </w:rPr>
        <w:t xml:space="preserve"> و</w:t>
      </w:r>
      <w:r>
        <w:rPr>
          <w:lang w:bidi="ar-EG"/>
        </w:rPr>
        <w:t>6/20</w:t>
      </w:r>
      <w:r>
        <w:rPr>
          <w:rFonts w:hint="cs"/>
          <w:rtl/>
          <w:lang w:bidi="ar-EG"/>
        </w:rPr>
        <w:t>.</w:t>
      </w:r>
    </w:p>
    <w:p w:rsidR="003A7197" w:rsidRDefault="003A7197" w:rsidP="003A7197">
      <w:pPr>
        <w:pStyle w:val="QuestionNo"/>
      </w:pPr>
      <w:r>
        <w:rPr>
          <w:rFonts w:hint="cs"/>
          <w:rtl/>
        </w:rPr>
        <w:t xml:space="preserve">المسألة </w:t>
      </w:r>
      <w:r>
        <w:t>3/20</w:t>
      </w:r>
    </w:p>
    <w:p w:rsidR="003A7197" w:rsidRPr="00E5557B" w:rsidRDefault="00E94F0E" w:rsidP="00E94F0E">
      <w:pPr>
        <w:pStyle w:val="Questiontitle"/>
        <w:rPr>
          <w:szCs w:val="28"/>
          <w:rtl/>
        </w:rPr>
      </w:pPr>
      <w:r w:rsidRPr="00E94F0E">
        <w:rPr>
          <w:rtl/>
        </w:rPr>
        <w:t>الأمن والخصوصية والثقة وتعرف الهوية</w:t>
      </w:r>
    </w:p>
    <w:p w:rsidR="003A7197" w:rsidRDefault="003A7197" w:rsidP="00E94F0E">
      <w:pPr>
        <w:pStyle w:val="Heading2"/>
        <w:rPr>
          <w:rtl/>
        </w:rPr>
      </w:pPr>
      <w:r>
        <w:t>1</w:t>
      </w:r>
      <w:r>
        <w:tab/>
      </w:r>
      <w:r w:rsidR="00E94F0E">
        <w:rPr>
          <w:rFonts w:hint="cs"/>
          <w:rtl/>
        </w:rPr>
        <w:t>الدوافع</w:t>
      </w:r>
    </w:p>
    <w:p w:rsidR="003A7197" w:rsidRDefault="00E94F0E" w:rsidP="008A2450">
      <w:pPr>
        <w:rPr>
          <w:rtl/>
          <w:lang w:bidi="ar-EG"/>
        </w:rPr>
      </w:pPr>
      <w:r>
        <w:rPr>
          <w:rFonts w:hint="cs"/>
          <w:rtl/>
          <w:lang w:bidi="ar-EG"/>
        </w:rPr>
        <w:t>يواكب التوجه إلى مجتمع المعلومات زيادات في الهجمات والجرائم السيبرانية وفقدان الأمان أو الثقة. وستتطور البنية التحتية لتكنولوجيا المعلومات والاتصالات لتقديم خدمات وتطبيقات المستقبل المتقاربة بتأمين الكثير من أجهزة استشعار إنترنت الأشياء والأنظمة المتعلقة بها. وإضافة</w:t>
      </w:r>
      <w:r w:rsidR="00B7679B">
        <w:rPr>
          <w:rFonts w:hint="cs"/>
          <w:rtl/>
          <w:lang w:bidi="ar-EG"/>
        </w:rPr>
        <w:t>ً</w:t>
      </w:r>
      <w:r>
        <w:rPr>
          <w:rFonts w:hint="cs"/>
          <w:rtl/>
          <w:lang w:bidi="ar-EG"/>
        </w:rPr>
        <w:t xml:space="preserve"> إلى ذلك، يشهد العالم تطوراً في</w:t>
      </w:r>
      <w:r w:rsidR="008A2450">
        <w:rPr>
          <w:rFonts w:hint="cs"/>
          <w:rtl/>
          <w:lang w:bidi="ar-EG"/>
        </w:rPr>
        <w:t xml:space="preserve"> </w:t>
      </w:r>
      <w:r>
        <w:rPr>
          <w:rFonts w:hint="cs"/>
          <w:rtl/>
          <w:lang w:bidi="ar-EG"/>
        </w:rPr>
        <w:t>مجال المدن الذكية. وينخرط الكثير من أصحاب المصلحة من مختلف الصناعات في خدمات المستقبل المتقاربة والذكية التي سيتم نشرها باستخدام البنية التحتية لتكنولوجيا المعلومات والاتصالات.</w:t>
      </w:r>
      <w:r w:rsidR="008A2450">
        <w:rPr>
          <w:rFonts w:hint="cs"/>
          <w:rtl/>
          <w:lang w:bidi="ar-EG"/>
        </w:rPr>
        <w:t xml:space="preserve"> وهذه البيئة غير المتجانسة، على الرغم من أنها تنطوي على الكثير من أوجه التقدم الواعدة في أسلوب توفير الخدمات والتطبيقات وفي</w:t>
      </w:r>
      <w:r w:rsidR="008A2450">
        <w:rPr>
          <w:rFonts w:hint="eastAsia"/>
          <w:rtl/>
          <w:lang w:bidi="ar-EG"/>
        </w:rPr>
        <w:t> </w:t>
      </w:r>
      <w:r w:rsidR="008A2450">
        <w:rPr>
          <w:rFonts w:hint="cs"/>
          <w:rtl/>
          <w:lang w:bidi="ar-EG"/>
        </w:rPr>
        <w:t>أسلوب إدارة الأنظمة وتسييرها وصيانتها</w:t>
      </w:r>
      <w:r w:rsidR="000258C6">
        <w:rPr>
          <w:rFonts w:hint="cs"/>
          <w:rtl/>
          <w:lang w:bidi="ar-EG"/>
        </w:rPr>
        <w:t>،</w:t>
      </w:r>
      <w:r w:rsidR="008A2450">
        <w:rPr>
          <w:rFonts w:hint="cs"/>
          <w:rtl/>
          <w:lang w:bidi="ar-EG"/>
        </w:rPr>
        <w:t xml:space="preserve"> فإنها تأتي بمجموعة واسعة جداً من المخاطر الخاصة بالقطاعات وعوامل نقل التهديدات. والتداعيات بشأن الأمن والخصوصية والثقة الشاملة في استعمال إنترنت الأشياء واعتمادها وإنعاشها هي والمدن والأجهزة والأنظمة والخدمات والتطبيقات والمنصات يمكن أن تعوق التطور الشامل لأسواقها. وبالتالي، من المهم تطبيق الخصوصية والأمن من خلال تصميم يركز على أن تدمج وسائل الحماية ضمن تكنولوجيا المعلومات والممارسات التجارية والأنظمة والعمليات والتصميم المادي والبنى التحتية الموصولة شبكياً.</w:t>
      </w:r>
    </w:p>
    <w:p w:rsidR="00681583" w:rsidRPr="00A85ECC" w:rsidRDefault="008A2450" w:rsidP="00A85ECC">
      <w:pPr>
        <w:rPr>
          <w:spacing w:val="2"/>
          <w:rtl/>
          <w:lang w:bidi="ar-EG"/>
        </w:rPr>
      </w:pPr>
      <w:r w:rsidRPr="00A85ECC">
        <w:rPr>
          <w:rFonts w:hint="cs"/>
          <w:spacing w:val="2"/>
          <w:rtl/>
          <w:lang w:bidi="ar-EG"/>
        </w:rPr>
        <w:t xml:space="preserve">ولتلبية المتطلبات المتعلقة بالأمن والخصوصية دور أساسي في بيئة إنترنت الأشياء والمدن والمجتمعات الذكية. وتشمل هذه المتطلبات سرية البيانات والاستيقان </w:t>
      </w:r>
      <w:r w:rsidR="0024408D" w:rsidRPr="00A85ECC">
        <w:rPr>
          <w:rFonts w:hint="cs"/>
          <w:spacing w:val="2"/>
          <w:rtl/>
          <w:lang w:bidi="ar-EG"/>
        </w:rPr>
        <w:t>والتحكم في النفاذ داخل شبكة إنترنت الأشياء والتيسر وسلامة البيانات والخصوصية والثقة بين المستعملين والأشياء وعدم الرفض. ولا يمكن تطبيق تدابير المكافحة</w:t>
      </w:r>
      <w:r w:rsidR="006D543A">
        <w:rPr>
          <w:rFonts w:hint="cs"/>
          <w:spacing w:val="2"/>
          <w:rtl/>
          <w:lang w:bidi="ar-EG"/>
        </w:rPr>
        <w:t xml:space="preserve"> الأمنية</w:t>
      </w:r>
      <w:r w:rsidR="0024408D" w:rsidRPr="00A85ECC">
        <w:rPr>
          <w:rFonts w:hint="cs"/>
          <w:spacing w:val="2"/>
          <w:rtl/>
          <w:lang w:bidi="ar-EG"/>
        </w:rPr>
        <w:t xml:space="preserve"> التقليدية مباشرة على تكنولوجيات إنترنت الأشياء بسبب اختلاف المعايير </w:t>
      </w:r>
      <w:proofErr w:type="spellStart"/>
      <w:r w:rsidR="0024408D" w:rsidRPr="00A85ECC">
        <w:rPr>
          <w:rFonts w:hint="cs"/>
          <w:spacing w:val="2"/>
          <w:rtl/>
          <w:lang w:bidi="ar-EG"/>
        </w:rPr>
        <w:t>وكدسات</w:t>
      </w:r>
      <w:proofErr w:type="spellEnd"/>
      <w:r w:rsidR="0024408D" w:rsidRPr="00A85ECC">
        <w:rPr>
          <w:rFonts w:hint="cs"/>
          <w:spacing w:val="2"/>
          <w:rtl/>
          <w:lang w:bidi="ar-EG"/>
        </w:rPr>
        <w:t xml:space="preserve"> الاتصالات المشاركة، إضافة</w:t>
      </w:r>
      <w:r w:rsidR="000C20C4">
        <w:rPr>
          <w:rFonts w:hint="cs"/>
          <w:spacing w:val="2"/>
          <w:rtl/>
          <w:lang w:bidi="ar-EG"/>
        </w:rPr>
        <w:t>ً</w:t>
      </w:r>
      <w:r w:rsidR="0024408D" w:rsidRPr="00A85ECC">
        <w:rPr>
          <w:rFonts w:hint="cs"/>
          <w:spacing w:val="2"/>
          <w:rtl/>
          <w:lang w:bidi="ar-EG"/>
        </w:rPr>
        <w:t xml:space="preserve"> إلى اختلاف الخبرات المطلوبة لميدان المعارف المحدد. وعلاو</w:t>
      </w:r>
      <w:r w:rsidR="000C20C4">
        <w:rPr>
          <w:rFonts w:hint="cs"/>
          <w:spacing w:val="2"/>
          <w:rtl/>
          <w:lang w:bidi="ar-EG"/>
        </w:rPr>
        <w:t>ً</w:t>
      </w:r>
      <w:r w:rsidR="0024408D" w:rsidRPr="00A85ECC">
        <w:rPr>
          <w:rFonts w:hint="cs"/>
          <w:spacing w:val="2"/>
          <w:rtl/>
          <w:lang w:bidi="ar-EG"/>
        </w:rPr>
        <w:t>ة على ذلك، يفرز العدد الكبير من الأجهزة الموصولة بينياً قضايا القدرة على التوسع؛ وبالتالي، يلزم وجود بنية تحتية مرنة قادرة على التعامل مع التهديدات الأمنية في</w:t>
      </w:r>
      <w:r w:rsidR="00A85ECC" w:rsidRPr="00A85ECC">
        <w:rPr>
          <w:rFonts w:hint="eastAsia"/>
          <w:spacing w:val="2"/>
          <w:rtl/>
          <w:lang w:bidi="ar-EG"/>
        </w:rPr>
        <w:t> </w:t>
      </w:r>
      <w:r w:rsidR="0024408D" w:rsidRPr="00A85ECC">
        <w:rPr>
          <w:rFonts w:hint="cs"/>
          <w:spacing w:val="2"/>
          <w:rtl/>
          <w:lang w:bidi="ar-EG"/>
        </w:rPr>
        <w:t>بيئة دينامية كهذه. وينبغي للبنية التحتية لتكنولوجيا المعلومات والاتصالات في المستقبل أن تتسم بالاعتمادية والأمان والسرية والثقة الكافية. لذا، فإن توفير الأمن والثقة لإنترنت الأشياء يعد أحد قضايا التقييس الثابتة للجنة الدراسات </w:t>
      </w:r>
      <w:r w:rsidR="0024408D" w:rsidRPr="00A85ECC">
        <w:rPr>
          <w:spacing w:val="2"/>
          <w:lang w:bidi="ar-EG"/>
        </w:rPr>
        <w:t>20</w:t>
      </w:r>
      <w:r w:rsidR="004407D0">
        <w:rPr>
          <w:rFonts w:hint="cs"/>
          <w:spacing w:val="2"/>
          <w:rtl/>
          <w:lang w:bidi="ar-EG"/>
        </w:rPr>
        <w:t xml:space="preserve"> لقطاع تقييس الاتصالات.</w:t>
      </w:r>
    </w:p>
    <w:p w:rsidR="003A7197" w:rsidRPr="007102A2" w:rsidRDefault="00681583" w:rsidP="00681583">
      <w:pPr>
        <w:rPr>
          <w:spacing w:val="-4"/>
          <w:rtl/>
          <w:lang w:bidi="ar-EG"/>
        </w:rPr>
      </w:pPr>
      <w:r w:rsidRPr="007102A2">
        <w:rPr>
          <w:rFonts w:hint="cs"/>
          <w:spacing w:val="-4"/>
          <w:rtl/>
          <w:lang w:bidi="ar-EG"/>
        </w:rPr>
        <w:lastRenderedPageBreak/>
        <w:t>ومن جهة أخرى، كان ي</w:t>
      </w:r>
      <w:r w:rsidR="00764EC0" w:rsidRPr="007102A2">
        <w:rPr>
          <w:rFonts w:hint="cs"/>
          <w:spacing w:val="-4"/>
          <w:rtl/>
          <w:lang w:bidi="ar-EG"/>
        </w:rPr>
        <w:t>ُ</w:t>
      </w:r>
      <w:r w:rsidRPr="007102A2">
        <w:rPr>
          <w:rFonts w:hint="cs"/>
          <w:spacing w:val="-4"/>
          <w:rtl/>
          <w:lang w:bidi="ar-EG"/>
        </w:rPr>
        <w:t xml:space="preserve">نظر دائماً إلى تكنولوجيات تعرف الهوية على أنها تكنولوجيا تمكينية حرجة لتنفيذ إنترنت الأشياء. فالأجهزة المادية (مثل الأصناف والمنتجات الموسومة وأجهزة الاستشعار) والكيانات الافتراضية (مثل العمليات والبرمجيات </w:t>
      </w:r>
      <w:proofErr w:type="spellStart"/>
      <w:r w:rsidRPr="007102A2">
        <w:rPr>
          <w:rFonts w:hint="cs"/>
          <w:spacing w:val="-4"/>
          <w:rtl/>
          <w:lang w:bidi="ar-EG"/>
        </w:rPr>
        <w:t>الحوسبية</w:t>
      </w:r>
      <w:proofErr w:type="spellEnd"/>
      <w:r w:rsidRPr="007102A2">
        <w:rPr>
          <w:rFonts w:hint="cs"/>
          <w:spacing w:val="-4"/>
          <w:rtl/>
          <w:lang w:bidi="ar-EG"/>
        </w:rPr>
        <w:t>) على السواء، يمكن أن يخصص لها معرف هوية للتعرف عليها وتمييزها. وبما أن أي شيء يتألف من أشياء أخرى، فإن من المهم أن يكون كل شيء قابلاً للعنونة وتعرف الهوية من أجل معالجة قضايا الخصوصية والأمن والثقة والقدرة على الوصول إلى الشبكات في</w:t>
      </w:r>
      <w:r w:rsidRPr="007102A2">
        <w:rPr>
          <w:rFonts w:hint="eastAsia"/>
          <w:spacing w:val="-4"/>
          <w:rtl/>
        </w:rPr>
        <w:t> </w:t>
      </w:r>
      <w:r w:rsidRPr="007102A2">
        <w:rPr>
          <w:rFonts w:hint="cs"/>
          <w:spacing w:val="-4"/>
          <w:rtl/>
          <w:lang w:bidi="ar-EG"/>
        </w:rPr>
        <w:t>بيئات نشر إنترنت الأشياء.</w:t>
      </w:r>
    </w:p>
    <w:p w:rsidR="003A7197" w:rsidRDefault="003A7197" w:rsidP="00E94F0E">
      <w:pPr>
        <w:pStyle w:val="Heading2"/>
        <w:rPr>
          <w:rtl/>
        </w:rPr>
      </w:pPr>
      <w:r>
        <w:t>2</w:t>
      </w:r>
      <w:r>
        <w:tab/>
      </w:r>
      <w:r>
        <w:rPr>
          <w:rFonts w:hint="cs"/>
          <w:rtl/>
        </w:rPr>
        <w:t>المسألة</w:t>
      </w:r>
    </w:p>
    <w:p w:rsidR="00681583" w:rsidRPr="00815EA3" w:rsidRDefault="00681583" w:rsidP="003A57CE">
      <w:pPr>
        <w:rPr>
          <w:spacing w:val="-4"/>
          <w:rtl/>
          <w:lang w:bidi="ar-EG"/>
        </w:rPr>
      </w:pPr>
      <w:r w:rsidRPr="00815EA3">
        <w:rPr>
          <w:rFonts w:hint="cs"/>
          <w:spacing w:val="-4"/>
          <w:rtl/>
          <w:lang w:bidi="ar-EG"/>
        </w:rPr>
        <w:t>تتناول هذه المسألة الأمن والخصوصية والثقة، والتسمية والعنونة وتعرف الهوية لأنظمة إنترنت الأشياء وخدماتها وتطبيقاتها وبروتوكولاتها.</w:t>
      </w:r>
    </w:p>
    <w:p w:rsidR="003A7197" w:rsidRPr="005459FD" w:rsidRDefault="006D543A" w:rsidP="003A57CE">
      <w:pPr>
        <w:rPr>
          <w:rtl/>
          <w:lang w:bidi="ar-EG"/>
        </w:rPr>
      </w:pPr>
      <w:r>
        <w:rPr>
          <w:rFonts w:hint="cs"/>
          <w:rtl/>
          <w:lang w:bidi="ar-EG"/>
        </w:rPr>
        <w:t>و</w:t>
      </w:r>
      <w:r w:rsidR="003A7197" w:rsidRPr="005459FD">
        <w:rPr>
          <w:rtl/>
          <w:lang w:bidi="ar-EG"/>
        </w:rPr>
        <w:t xml:space="preserve">تتناول الدراسة </w:t>
      </w:r>
      <w:r w:rsidR="00681583">
        <w:rPr>
          <w:rFonts w:hint="cs"/>
          <w:rtl/>
          <w:lang w:bidi="ar-EG"/>
        </w:rPr>
        <w:t>الب</w:t>
      </w:r>
      <w:r w:rsidR="003A7197" w:rsidRPr="005459FD">
        <w:rPr>
          <w:rtl/>
          <w:lang w:bidi="ar-EG"/>
        </w:rPr>
        <w:t>نود التالية دون أن تقتصر عليها:</w:t>
      </w:r>
    </w:p>
    <w:p w:rsidR="003A7197" w:rsidRDefault="00921F2C" w:rsidP="00681583">
      <w:pPr>
        <w:pStyle w:val="enumlev1"/>
        <w:rPr>
          <w:rtl/>
          <w:lang w:bidi="ar-EG"/>
        </w:rPr>
      </w:pPr>
      <w:r>
        <w:rPr>
          <w:rFonts w:hint="cs"/>
          <w:rtl/>
          <w:lang w:bidi="ar-EG"/>
        </w:rPr>
        <w:t>-</w:t>
      </w:r>
      <w:r w:rsidR="003A7197" w:rsidRPr="005459FD">
        <w:rPr>
          <w:rtl/>
          <w:lang w:bidi="ar-EG"/>
        </w:rPr>
        <w:tab/>
      </w:r>
      <w:r w:rsidR="00A85ECC">
        <w:rPr>
          <w:rFonts w:hint="cs"/>
          <w:rtl/>
          <w:lang w:bidi="ar-EG"/>
        </w:rPr>
        <w:t>ما هي التهديدات المحتملة للإخ</w:t>
      </w:r>
      <w:r w:rsidR="00681583">
        <w:rPr>
          <w:rFonts w:hint="cs"/>
          <w:rtl/>
          <w:lang w:bidi="ar-EG"/>
        </w:rPr>
        <w:t xml:space="preserve">لال بالاستيقان والسرية والسلامة وعدم الرفض والتيسر لأجهزة إنترنت الأشياء وأنظمتها وتطبيقاتها وبروتوكولاتها ومنصاتها وخدماتها بغض النظر عن المصاعب والتكاليف اللازمة لتنفيذ هجمة </w:t>
      </w:r>
      <w:r w:rsidR="00F2029D">
        <w:rPr>
          <w:rFonts w:hint="cs"/>
          <w:rtl/>
          <w:lang w:bidi="ar-EG"/>
        </w:rPr>
        <w:t>لتجسيد تهديد بعينه؟</w:t>
      </w:r>
    </w:p>
    <w:p w:rsidR="00921F2C" w:rsidRDefault="00921F2C" w:rsidP="00F2029D">
      <w:pPr>
        <w:pStyle w:val="enumlev1"/>
        <w:rPr>
          <w:rtl/>
          <w:lang w:bidi="ar-EG"/>
        </w:rPr>
      </w:pPr>
      <w:r>
        <w:rPr>
          <w:rFonts w:hint="cs"/>
          <w:rtl/>
          <w:lang w:bidi="ar-EG"/>
        </w:rPr>
        <w:t>-</w:t>
      </w:r>
      <w:r>
        <w:rPr>
          <w:rFonts w:hint="cs"/>
          <w:rtl/>
          <w:lang w:bidi="ar-EG"/>
        </w:rPr>
        <w:tab/>
      </w:r>
      <w:r w:rsidR="00F2029D">
        <w:rPr>
          <w:rFonts w:hint="cs"/>
          <w:rtl/>
          <w:lang w:bidi="ar-EG"/>
        </w:rPr>
        <w:t>ما هي تقديرات الاحتمال للهجمات المختلفة والمكاسب المحتملة للجهة المهاجمة على نظام من أنظمة إنترنت الأشياء/المدن والمجتمعات الذكية؟ وما هي الأضرار المقدرة على الجانب الواقع عليه الهجمة؟</w:t>
      </w:r>
    </w:p>
    <w:p w:rsidR="00921F2C" w:rsidRDefault="00921F2C" w:rsidP="00F2029D">
      <w:pPr>
        <w:pStyle w:val="enumlev1"/>
        <w:rPr>
          <w:rtl/>
          <w:lang w:bidi="ar-EG"/>
        </w:rPr>
      </w:pPr>
      <w:r>
        <w:rPr>
          <w:rFonts w:hint="cs"/>
          <w:rtl/>
          <w:lang w:bidi="ar-EG"/>
        </w:rPr>
        <w:t>-</w:t>
      </w:r>
      <w:r>
        <w:rPr>
          <w:rFonts w:hint="cs"/>
          <w:rtl/>
          <w:lang w:bidi="ar-EG"/>
        </w:rPr>
        <w:tab/>
      </w:r>
      <w:r w:rsidR="00F2029D">
        <w:rPr>
          <w:rFonts w:hint="cs"/>
          <w:rtl/>
          <w:lang w:bidi="ar-EG"/>
        </w:rPr>
        <w:t>ما هي المتطلبات اللازمة لتخفيف ومجابهة المخاطر والتهديدات المحددة في أجهزة إنترنت الأشياء والمدن والمجتمعات الذكية وأنظمتها وتطبيقاتها وبروتوكولاتها ومنصاتها وخدماتها؟</w:t>
      </w:r>
    </w:p>
    <w:p w:rsidR="00921F2C" w:rsidRPr="00921F2C" w:rsidRDefault="00921F2C" w:rsidP="00F2029D">
      <w:pPr>
        <w:pStyle w:val="enumlev1"/>
        <w:rPr>
          <w:rtl/>
          <w:lang w:bidi="ar-EG"/>
        </w:rPr>
      </w:pPr>
      <w:r>
        <w:rPr>
          <w:rFonts w:hint="cs"/>
          <w:rtl/>
          <w:lang w:bidi="ar-EG"/>
        </w:rPr>
        <w:t>-</w:t>
      </w:r>
      <w:r>
        <w:rPr>
          <w:rFonts w:hint="cs"/>
          <w:rtl/>
          <w:lang w:bidi="ar-EG"/>
        </w:rPr>
        <w:tab/>
      </w:r>
      <w:r w:rsidR="00F2029D">
        <w:rPr>
          <w:rFonts w:hint="cs"/>
          <w:rtl/>
          <w:lang w:bidi="ar-EG"/>
        </w:rPr>
        <w:t>ما هي أنظمة تعرف الهوية اللازمة لاستيفاء متطلبات إنترنت الأشياء المتضمنة للأمن والخصوصية والثقة؟</w:t>
      </w:r>
    </w:p>
    <w:p w:rsidR="003A7197" w:rsidRPr="00266EFD" w:rsidRDefault="003A7197" w:rsidP="00F2029D">
      <w:pPr>
        <w:pStyle w:val="enumlev1"/>
        <w:rPr>
          <w:rtl/>
          <w:lang w:bidi="ar-EG"/>
        </w:rPr>
      </w:pPr>
      <w:r>
        <w:rPr>
          <w:rFonts w:ascii="Traditional Arabic" w:hAnsi="Traditional Arabic" w:hint="cs"/>
          <w:rtl/>
          <w:lang w:bidi="ar-EG"/>
        </w:rPr>
        <w:t>-</w:t>
      </w:r>
      <w:r>
        <w:rPr>
          <w:rFonts w:ascii="Traditional Arabic" w:hAnsi="Traditional Arabic" w:hint="cs"/>
          <w:rtl/>
          <w:lang w:bidi="ar-EG"/>
        </w:rPr>
        <w:tab/>
      </w:r>
      <w:r w:rsidRPr="00266EFD">
        <w:rPr>
          <w:rtl/>
          <w:lang w:bidi="ar-EG"/>
        </w:rPr>
        <w:t xml:space="preserve">ما هي متطلبات وآليات حماية معلومات </w:t>
      </w:r>
      <w:r w:rsidR="00F2029D">
        <w:rPr>
          <w:rFonts w:hint="cs"/>
          <w:rtl/>
          <w:lang w:bidi="ar-EG"/>
        </w:rPr>
        <w:t xml:space="preserve">الأشياء </w:t>
      </w:r>
      <w:r w:rsidRPr="00266EFD">
        <w:rPr>
          <w:rFonts w:hint="cs"/>
          <w:rtl/>
          <w:lang w:bidi="ar-EG"/>
        </w:rPr>
        <w:t>ومنع الإفصاح</w:t>
      </w:r>
      <w:r>
        <w:rPr>
          <w:rFonts w:hint="cs"/>
          <w:rtl/>
          <w:lang w:bidi="ar-EG"/>
        </w:rPr>
        <w:t> </w:t>
      </w:r>
      <w:r w:rsidRPr="00266EFD">
        <w:rPr>
          <w:rtl/>
          <w:lang w:bidi="ar-EG"/>
        </w:rPr>
        <w:t>عنها؟</w:t>
      </w:r>
    </w:p>
    <w:p w:rsidR="003A7197" w:rsidRPr="00266EFD" w:rsidRDefault="003A7197" w:rsidP="00F2029D">
      <w:pPr>
        <w:pStyle w:val="enumlev1"/>
        <w:rPr>
          <w:rtl/>
          <w:lang w:bidi="ar-EG"/>
        </w:rPr>
      </w:pPr>
      <w:r>
        <w:rPr>
          <w:rFonts w:ascii="Traditional Arabic" w:hAnsi="Traditional Arabic" w:hint="cs"/>
          <w:rtl/>
          <w:lang w:bidi="ar-EG"/>
        </w:rPr>
        <w:t>-</w:t>
      </w:r>
      <w:r>
        <w:rPr>
          <w:rFonts w:ascii="Traditional Arabic" w:hAnsi="Traditional Arabic" w:hint="cs"/>
          <w:rtl/>
          <w:lang w:bidi="ar-EG"/>
        </w:rPr>
        <w:tab/>
      </w:r>
      <w:r w:rsidR="00F2029D">
        <w:rPr>
          <w:rFonts w:ascii="Traditional Arabic" w:hAnsi="Traditional Arabic" w:hint="cs"/>
          <w:rtl/>
          <w:lang w:bidi="ar-EG"/>
        </w:rPr>
        <w:t>كيف يمكن دمج إدارة بيانات الاعتماد المأمونة في أنظمة تعرف الهوية؟</w:t>
      </w:r>
    </w:p>
    <w:p w:rsidR="003A7197" w:rsidRDefault="003A7197" w:rsidP="00F2029D">
      <w:pPr>
        <w:pStyle w:val="enumlev1"/>
        <w:rPr>
          <w:rtl/>
          <w:lang w:bidi="ar-EG"/>
        </w:rPr>
      </w:pPr>
      <w:r>
        <w:rPr>
          <w:rFonts w:ascii="Traditional Arabic" w:hAnsi="Traditional Arabic" w:hint="cs"/>
          <w:rtl/>
          <w:lang w:bidi="ar-EG"/>
        </w:rPr>
        <w:t>-</w:t>
      </w:r>
      <w:r>
        <w:rPr>
          <w:rFonts w:ascii="Traditional Arabic" w:hAnsi="Traditional Arabic" w:hint="cs"/>
          <w:rtl/>
          <w:lang w:bidi="ar-EG"/>
        </w:rPr>
        <w:tab/>
      </w:r>
      <w:r w:rsidR="00F2029D">
        <w:rPr>
          <w:rFonts w:ascii="Traditional Arabic" w:hAnsi="Traditional Arabic" w:hint="cs"/>
          <w:rtl/>
          <w:lang w:bidi="ar-EG"/>
        </w:rPr>
        <w:t>كيف يمكن دمج تكنولوجيات الاستيقان في أنظمة تعرف الهوية؟</w:t>
      </w:r>
    </w:p>
    <w:p w:rsidR="00921F2C" w:rsidRPr="00C0687E" w:rsidRDefault="00921F2C" w:rsidP="00F2029D">
      <w:pPr>
        <w:pStyle w:val="enumlev1"/>
        <w:rPr>
          <w:spacing w:val="-4"/>
          <w:rtl/>
          <w:lang w:bidi="ar-EG"/>
        </w:rPr>
      </w:pPr>
      <w:r w:rsidRPr="00C0687E">
        <w:rPr>
          <w:rFonts w:hint="cs"/>
          <w:spacing w:val="-4"/>
          <w:rtl/>
          <w:lang w:bidi="ar-EG"/>
        </w:rPr>
        <w:t>-</w:t>
      </w:r>
      <w:r w:rsidRPr="00C0687E">
        <w:rPr>
          <w:rFonts w:hint="cs"/>
          <w:spacing w:val="-4"/>
          <w:rtl/>
          <w:lang w:bidi="ar-EG"/>
        </w:rPr>
        <w:tab/>
      </w:r>
      <w:r w:rsidR="00F2029D" w:rsidRPr="00C0687E">
        <w:rPr>
          <w:rFonts w:hint="cs"/>
          <w:spacing w:val="-4"/>
          <w:rtl/>
          <w:lang w:bidi="ar-EG"/>
        </w:rPr>
        <w:t xml:space="preserve">كيف يمكن تطبيق التدابير التقليدية للسلامة والتيسر والاستيقان وعدم الرفض على أجهزة إنترنت الأشياء لحماية هوية وخصوصية </w:t>
      </w:r>
      <w:r w:rsidR="00C0687E" w:rsidRPr="00C0687E">
        <w:rPr>
          <w:rFonts w:hint="cs"/>
          <w:spacing w:val="-4"/>
          <w:rtl/>
          <w:lang w:bidi="ar-EG"/>
        </w:rPr>
        <w:t>وأمن النظام، مع الموارد ال</w:t>
      </w:r>
      <w:r w:rsidR="00C0687E">
        <w:rPr>
          <w:rFonts w:hint="cs"/>
          <w:spacing w:val="-4"/>
          <w:rtl/>
          <w:lang w:bidi="ar-EG"/>
        </w:rPr>
        <w:t>مقيدة للأجهزة من منظ</w:t>
      </w:r>
      <w:r w:rsidR="00C0687E" w:rsidRPr="00C0687E">
        <w:rPr>
          <w:rFonts w:hint="cs"/>
          <w:spacing w:val="-4"/>
          <w:rtl/>
          <w:lang w:bidi="ar-EG"/>
        </w:rPr>
        <w:t>ور الطاقة والفضاء والذاكرة وعرض النطاق والتوصيل</w:t>
      </w:r>
      <w:r w:rsidR="00816630">
        <w:rPr>
          <w:rFonts w:hint="cs"/>
          <w:spacing w:val="-4"/>
          <w:rtl/>
          <w:lang w:bidi="ar-EG"/>
        </w:rPr>
        <w:t>ي</w:t>
      </w:r>
      <w:r w:rsidR="00C0687E" w:rsidRPr="00C0687E">
        <w:rPr>
          <w:rFonts w:hint="cs"/>
          <w:spacing w:val="-4"/>
          <w:rtl/>
          <w:lang w:bidi="ar-EG"/>
        </w:rPr>
        <w:t>ة؟</w:t>
      </w:r>
    </w:p>
    <w:p w:rsidR="00921F2C" w:rsidRDefault="00921F2C" w:rsidP="00C0687E">
      <w:pPr>
        <w:pStyle w:val="enumlev1"/>
        <w:rPr>
          <w:rtl/>
          <w:lang w:bidi="ar-EG"/>
        </w:rPr>
      </w:pPr>
      <w:r>
        <w:rPr>
          <w:rFonts w:hint="cs"/>
          <w:rtl/>
          <w:lang w:bidi="ar-EG"/>
        </w:rPr>
        <w:t>-</w:t>
      </w:r>
      <w:r>
        <w:rPr>
          <w:rFonts w:hint="cs"/>
          <w:rtl/>
          <w:lang w:bidi="ar-EG"/>
        </w:rPr>
        <w:tab/>
      </w:r>
      <w:r w:rsidR="00C0687E">
        <w:rPr>
          <w:rFonts w:hint="cs"/>
          <w:rtl/>
          <w:lang w:bidi="ar-EG"/>
        </w:rPr>
        <w:t>ما هي التدابير التقنية والبروتوكولات والأنظمة اللازمة لضمان حماية الخصوصية في تطبيقات المدن والمجتمعات الذكية وخدماتها ومنصاتها؟ وكيف يمكن الحفاظ على الثقة وضمانها عند استعمال هذه الأنظمة؟</w:t>
      </w:r>
    </w:p>
    <w:p w:rsidR="00921F2C" w:rsidRPr="00C0687E" w:rsidRDefault="00921F2C" w:rsidP="00C0687E">
      <w:pPr>
        <w:pStyle w:val="enumlev1"/>
        <w:rPr>
          <w:spacing w:val="-6"/>
          <w:rtl/>
          <w:lang w:bidi="ar-EG"/>
        </w:rPr>
      </w:pPr>
      <w:r w:rsidRPr="00C0687E">
        <w:rPr>
          <w:rFonts w:hint="cs"/>
          <w:spacing w:val="-6"/>
          <w:rtl/>
          <w:lang w:bidi="ar-EG"/>
        </w:rPr>
        <w:t>-</w:t>
      </w:r>
      <w:r w:rsidRPr="00C0687E">
        <w:rPr>
          <w:spacing w:val="-6"/>
          <w:rtl/>
          <w:lang w:bidi="ar-EG"/>
        </w:rPr>
        <w:tab/>
      </w:r>
      <w:r w:rsidR="00C0687E" w:rsidRPr="00C0687E">
        <w:rPr>
          <w:rFonts w:hint="cs"/>
          <w:spacing w:val="-6"/>
          <w:rtl/>
          <w:lang w:bidi="ar-EG"/>
        </w:rPr>
        <w:t>كيف يمكن منع التتبع غير المشروع والتوصيف والمعالجة غير المشروعة لأنظمة إنترنت الأشياء وتطبيقاتها ومنصاتها وخدماتها؟</w:t>
      </w:r>
    </w:p>
    <w:p w:rsidR="00921F2C" w:rsidRDefault="00921F2C" w:rsidP="00C0687E">
      <w:pPr>
        <w:pStyle w:val="enumlev1"/>
        <w:rPr>
          <w:rtl/>
          <w:lang w:bidi="ar-EG"/>
        </w:rPr>
      </w:pPr>
      <w:r>
        <w:rPr>
          <w:rFonts w:hint="cs"/>
          <w:rtl/>
          <w:lang w:bidi="ar-EG"/>
        </w:rPr>
        <w:t>-</w:t>
      </w:r>
      <w:r>
        <w:rPr>
          <w:rFonts w:hint="cs"/>
          <w:rtl/>
          <w:lang w:bidi="ar-EG"/>
        </w:rPr>
        <w:tab/>
      </w:r>
      <w:r w:rsidR="00C0687E">
        <w:rPr>
          <w:rFonts w:hint="cs"/>
          <w:rtl/>
          <w:lang w:bidi="ar-EG"/>
        </w:rPr>
        <w:t>كيف يمكن وضع تدابير لضمان التيسر السلس والتنقلية للبيانات في منصات إنترنت الأشياء والمدن والمجتمعات الذكية وأنظمتها وخدماتها؟</w:t>
      </w:r>
    </w:p>
    <w:p w:rsidR="00921F2C" w:rsidRDefault="00921F2C" w:rsidP="00C0687E">
      <w:pPr>
        <w:pStyle w:val="enumlev1"/>
        <w:rPr>
          <w:rtl/>
          <w:lang w:bidi="ar-EG"/>
        </w:rPr>
      </w:pPr>
      <w:r>
        <w:rPr>
          <w:rFonts w:hint="cs"/>
          <w:rtl/>
          <w:lang w:bidi="ar-EG"/>
        </w:rPr>
        <w:t>-</w:t>
      </w:r>
      <w:r>
        <w:rPr>
          <w:rFonts w:hint="cs"/>
          <w:rtl/>
          <w:lang w:bidi="ar-EG"/>
        </w:rPr>
        <w:tab/>
      </w:r>
      <w:r w:rsidR="00C0687E">
        <w:rPr>
          <w:rFonts w:hint="cs"/>
          <w:rtl/>
          <w:lang w:bidi="ar-EG"/>
        </w:rPr>
        <w:t>كيف يمكن عنونة الأشياء الموصولة غير القائمة على بروتوكول الإنترنت و/أو غير القائمة على الويب في</w:t>
      </w:r>
      <w:r w:rsidR="00C0687E">
        <w:rPr>
          <w:rFonts w:hint="eastAsia"/>
          <w:rtl/>
          <w:lang w:bidi="ar-EG"/>
        </w:rPr>
        <w:t> </w:t>
      </w:r>
      <w:r w:rsidR="00C0687E">
        <w:rPr>
          <w:rFonts w:hint="cs"/>
          <w:rtl/>
          <w:lang w:bidi="ar-EG"/>
        </w:rPr>
        <w:t>نظام مختلط غير متجانس لإنترنت الأشياء؟</w:t>
      </w:r>
    </w:p>
    <w:p w:rsidR="00921F2C" w:rsidRDefault="00921F2C" w:rsidP="00C0687E">
      <w:pPr>
        <w:pStyle w:val="enumlev1"/>
        <w:rPr>
          <w:rtl/>
          <w:lang w:bidi="ar-EG"/>
        </w:rPr>
      </w:pPr>
      <w:r>
        <w:rPr>
          <w:rFonts w:hint="cs"/>
          <w:rtl/>
          <w:lang w:bidi="ar-EG"/>
        </w:rPr>
        <w:t>-</w:t>
      </w:r>
      <w:r>
        <w:rPr>
          <w:rFonts w:hint="cs"/>
          <w:rtl/>
          <w:lang w:bidi="ar-EG"/>
        </w:rPr>
        <w:tab/>
      </w:r>
      <w:r w:rsidR="00C0687E">
        <w:rPr>
          <w:rFonts w:hint="cs"/>
          <w:rtl/>
          <w:lang w:bidi="ar-EG"/>
        </w:rPr>
        <w:t>كيف يمكن استخدام قابلية التشغيل البيني الدلالي كآلية لتعرف هوية شيء؟ وما هي المخاطر المصاحبة للفشل في</w:t>
      </w:r>
      <w:r w:rsidR="00C0687E">
        <w:rPr>
          <w:rFonts w:hint="eastAsia"/>
          <w:rtl/>
          <w:lang w:bidi="ar-EG"/>
        </w:rPr>
        <w:t> </w:t>
      </w:r>
      <w:r w:rsidR="00C0687E">
        <w:rPr>
          <w:rFonts w:hint="cs"/>
          <w:rtl/>
          <w:lang w:bidi="ar-EG"/>
        </w:rPr>
        <w:t>تعرف الهوية؟</w:t>
      </w:r>
    </w:p>
    <w:p w:rsidR="00921F2C" w:rsidRDefault="00921F2C" w:rsidP="00C0687E">
      <w:pPr>
        <w:pStyle w:val="enumlev1"/>
        <w:rPr>
          <w:rtl/>
          <w:lang w:bidi="ar-EG"/>
        </w:rPr>
      </w:pPr>
      <w:r>
        <w:rPr>
          <w:rFonts w:hint="cs"/>
          <w:rtl/>
          <w:lang w:bidi="ar-EG"/>
        </w:rPr>
        <w:t>-</w:t>
      </w:r>
      <w:r>
        <w:rPr>
          <w:rFonts w:hint="cs"/>
          <w:rtl/>
          <w:lang w:bidi="ar-EG"/>
        </w:rPr>
        <w:tab/>
      </w:r>
      <w:r w:rsidR="00C0687E">
        <w:rPr>
          <w:rFonts w:hint="cs"/>
          <w:rtl/>
          <w:lang w:bidi="ar-EG"/>
        </w:rPr>
        <w:t>كيف ت</w:t>
      </w:r>
      <w:r w:rsidR="00A85ECC">
        <w:rPr>
          <w:rFonts w:hint="cs"/>
          <w:rtl/>
          <w:lang w:bidi="ar-EG"/>
        </w:rPr>
        <w:t>ُ</w:t>
      </w:r>
      <w:r w:rsidR="00C0687E">
        <w:rPr>
          <w:rFonts w:hint="cs"/>
          <w:rtl/>
          <w:lang w:bidi="ar-EG"/>
        </w:rPr>
        <w:t>سجل أسماء إنترنت الأشياء وت</w:t>
      </w:r>
      <w:r w:rsidR="00A85ECC">
        <w:rPr>
          <w:rFonts w:hint="cs"/>
          <w:rtl/>
          <w:lang w:bidi="ar-EG"/>
        </w:rPr>
        <w:t>ُ</w:t>
      </w:r>
      <w:r w:rsidR="00C0687E">
        <w:rPr>
          <w:rFonts w:hint="cs"/>
          <w:rtl/>
          <w:lang w:bidi="ar-EG"/>
        </w:rPr>
        <w:t>دار؟</w:t>
      </w:r>
    </w:p>
    <w:p w:rsidR="00921F2C" w:rsidRDefault="00921F2C" w:rsidP="00F2029D">
      <w:pPr>
        <w:pStyle w:val="enumlev1"/>
        <w:rPr>
          <w:rtl/>
          <w:lang w:bidi="ar-EG"/>
        </w:rPr>
      </w:pPr>
      <w:r>
        <w:rPr>
          <w:rFonts w:hint="cs"/>
          <w:rtl/>
          <w:lang w:bidi="ar-EG"/>
        </w:rPr>
        <w:t>-</w:t>
      </w:r>
      <w:r>
        <w:rPr>
          <w:rFonts w:hint="cs"/>
          <w:rtl/>
          <w:lang w:bidi="ar-EG"/>
        </w:rPr>
        <w:tab/>
      </w:r>
      <w:r w:rsidR="00C0687E">
        <w:rPr>
          <w:rFonts w:hint="cs"/>
          <w:rtl/>
          <w:lang w:bidi="ar-EG"/>
        </w:rPr>
        <w:t>ما هي التدابير التقنية اللازمة لاكتشاف الهوية؟ ما هي النعوت التي يحتاج إليها سجل الهوية للحفاظ على تعرف هوية الأشياء وتكامل الأنظمة؟</w:t>
      </w:r>
    </w:p>
    <w:p w:rsidR="00921F2C" w:rsidRPr="007102A2" w:rsidRDefault="00921F2C" w:rsidP="00472CFE">
      <w:pPr>
        <w:pStyle w:val="enumlev1"/>
        <w:rPr>
          <w:spacing w:val="-6"/>
          <w:rtl/>
          <w:lang w:bidi="ar-EG"/>
        </w:rPr>
      </w:pPr>
      <w:r w:rsidRPr="007102A2">
        <w:rPr>
          <w:rFonts w:hint="cs"/>
          <w:spacing w:val="-6"/>
          <w:rtl/>
          <w:lang w:bidi="ar-EG"/>
        </w:rPr>
        <w:t>-</w:t>
      </w:r>
      <w:r w:rsidRPr="007102A2">
        <w:rPr>
          <w:rFonts w:hint="cs"/>
          <w:spacing w:val="-6"/>
          <w:rtl/>
          <w:lang w:bidi="ar-EG"/>
        </w:rPr>
        <w:tab/>
      </w:r>
      <w:r w:rsidR="00C0687E" w:rsidRPr="007102A2">
        <w:rPr>
          <w:rFonts w:hint="cs"/>
          <w:spacing w:val="-6"/>
          <w:rtl/>
          <w:lang w:bidi="ar-EG"/>
        </w:rPr>
        <w:t>كيف يمكن للأجهزة منع انتحال هويات أجهزة أخرى تتبادل معها البيانات؟ وكيف يتسنى للأجهزة التي تقوم بتوليد أو</w:t>
      </w:r>
      <w:r w:rsidR="00472CFE" w:rsidRPr="007102A2">
        <w:rPr>
          <w:rFonts w:hint="eastAsia"/>
          <w:spacing w:val="-6"/>
          <w:rtl/>
          <w:lang w:bidi="ar-EG"/>
        </w:rPr>
        <w:t> </w:t>
      </w:r>
      <w:r w:rsidR="00C0687E" w:rsidRPr="007102A2">
        <w:rPr>
          <w:rFonts w:hint="cs"/>
          <w:spacing w:val="-6"/>
          <w:rtl/>
          <w:lang w:bidi="ar-EG"/>
        </w:rPr>
        <w:t>معالجة أو تخزين أو استعادة بيانات خصوصية أو حساسة أو خطيرة أو سرية اكتشاف الاستعمالات الاحتيالية ومنعها؟</w:t>
      </w:r>
    </w:p>
    <w:p w:rsidR="00921F2C" w:rsidRPr="00921F2C" w:rsidRDefault="00921F2C" w:rsidP="00874FAE">
      <w:pPr>
        <w:pStyle w:val="Heading2"/>
        <w:rPr>
          <w:rtl/>
        </w:rPr>
      </w:pPr>
      <w:r>
        <w:lastRenderedPageBreak/>
        <w:t>3</w:t>
      </w:r>
      <w:r>
        <w:tab/>
      </w:r>
      <w:r>
        <w:rPr>
          <w:rFonts w:hint="cs"/>
          <w:rtl/>
        </w:rPr>
        <w:t>المهام</w:t>
      </w:r>
    </w:p>
    <w:p w:rsidR="003A7197" w:rsidRPr="003A7197" w:rsidRDefault="00921F2C" w:rsidP="003A7197">
      <w:pPr>
        <w:rPr>
          <w:rtl/>
          <w:lang w:bidi="ar-EG"/>
        </w:rPr>
      </w:pPr>
      <w:r w:rsidRPr="00F87E00">
        <w:rPr>
          <w:rtl/>
          <w:lang w:bidi="ar-EG"/>
        </w:rPr>
        <w:t>تشمل المهام البنود التالية دون أن تقتصر عليها:</w:t>
      </w:r>
    </w:p>
    <w:p w:rsidR="003A7197" w:rsidRDefault="00921F2C" w:rsidP="00472CFE">
      <w:pPr>
        <w:pStyle w:val="enumlev1"/>
        <w:rPr>
          <w:rtl/>
          <w:lang w:bidi="ar-EG"/>
        </w:rPr>
      </w:pPr>
      <w:r>
        <w:rPr>
          <w:rFonts w:hint="cs"/>
          <w:rtl/>
          <w:lang w:bidi="ar-EG"/>
        </w:rPr>
        <w:t>-</w:t>
      </w:r>
      <w:r>
        <w:rPr>
          <w:rFonts w:hint="cs"/>
          <w:rtl/>
          <w:lang w:bidi="ar-EG"/>
        </w:rPr>
        <w:tab/>
      </w:r>
      <w:r w:rsidR="00F80256">
        <w:rPr>
          <w:rFonts w:hint="cs"/>
          <w:rtl/>
          <w:lang w:bidi="ar-EG"/>
        </w:rPr>
        <w:t>وضع توصيات بشأن ضمان استيقان وسرية وسلامة وعدم رفض وتيسر أجهزة إنترنت الأشياء وأنظمتها وتطبيقاتها وبروتوكولاتها ومنصاتها وخدماتها.</w:t>
      </w:r>
    </w:p>
    <w:p w:rsidR="00921F2C" w:rsidRDefault="00921F2C" w:rsidP="00472CFE">
      <w:pPr>
        <w:pStyle w:val="enumlev1"/>
        <w:rPr>
          <w:rtl/>
          <w:lang w:bidi="ar-EG"/>
        </w:rPr>
      </w:pPr>
      <w:r>
        <w:rPr>
          <w:rFonts w:hint="cs"/>
          <w:rtl/>
          <w:lang w:bidi="ar-EG"/>
        </w:rPr>
        <w:t>-</w:t>
      </w:r>
      <w:r>
        <w:rPr>
          <w:rFonts w:hint="cs"/>
          <w:rtl/>
          <w:lang w:bidi="ar-EG"/>
        </w:rPr>
        <w:tab/>
      </w:r>
      <w:r w:rsidR="00F80256">
        <w:rPr>
          <w:rFonts w:hint="cs"/>
          <w:rtl/>
          <w:lang w:bidi="ar-EG"/>
        </w:rPr>
        <w:t>وضع توصيات بشأن توفير الأمن والثقة في إنترنت الأشياء في كل من البنية التحتية لتكنولوجيا المعلومات والاتصالات (مثل، ما يطلق عليه طبقة البنية التحتية) وبيئات الخدمات المتقاربة غير المتجانسة في المستقبل (مثل، ما يطلق عليه طبقة الخدمة).</w:t>
      </w:r>
    </w:p>
    <w:p w:rsidR="003A7197" w:rsidRDefault="00921F2C" w:rsidP="00472CFE">
      <w:pPr>
        <w:pStyle w:val="enumlev1"/>
        <w:rPr>
          <w:rtl/>
          <w:lang w:bidi="ar-EG"/>
        </w:rPr>
      </w:pPr>
      <w:r>
        <w:rPr>
          <w:rFonts w:hint="cs"/>
          <w:rtl/>
          <w:lang w:bidi="ar-EG"/>
        </w:rPr>
        <w:t>-</w:t>
      </w:r>
      <w:r>
        <w:rPr>
          <w:rFonts w:hint="cs"/>
          <w:rtl/>
          <w:lang w:bidi="ar-EG"/>
        </w:rPr>
        <w:tab/>
      </w:r>
      <w:r w:rsidR="00F80256">
        <w:rPr>
          <w:rFonts w:hint="cs"/>
          <w:rtl/>
          <w:lang w:bidi="ar-EG"/>
        </w:rPr>
        <w:t xml:space="preserve">وضع توصيات بشأن توفير الأمن والثقة في خدمات إنترنت الأشياء وتطبيقاتها من أجل بيئات متقاربة بين الكثير من أصحاب المصلحة </w:t>
      </w:r>
      <w:r w:rsidR="00CF7B83">
        <w:rPr>
          <w:rFonts w:hint="cs"/>
          <w:rtl/>
          <w:lang w:bidi="ar-EG"/>
        </w:rPr>
        <w:t>في الصناعات الأخرى (مثل، تكنولوجيا المعلومات والاتصالات للطاقة التي تعني شبكة الطاقة عبر بنية تحتية لتكنولوجيا المعلومات والاتصالات).</w:t>
      </w:r>
    </w:p>
    <w:p w:rsidR="003A7197" w:rsidRDefault="00921F2C" w:rsidP="00472CFE">
      <w:pPr>
        <w:pStyle w:val="enumlev1"/>
        <w:rPr>
          <w:rtl/>
          <w:lang w:bidi="ar-EG"/>
        </w:rPr>
      </w:pPr>
      <w:r>
        <w:rPr>
          <w:rFonts w:hint="cs"/>
          <w:rtl/>
          <w:lang w:bidi="ar-EG"/>
        </w:rPr>
        <w:t>-</w:t>
      </w:r>
      <w:r w:rsidR="003A7197">
        <w:rPr>
          <w:rtl/>
          <w:lang w:bidi="ar-EG"/>
        </w:rPr>
        <w:tab/>
      </w:r>
      <w:r w:rsidR="00CF7B83">
        <w:rPr>
          <w:rFonts w:hint="cs"/>
          <w:rtl/>
          <w:lang w:bidi="ar-EG"/>
        </w:rPr>
        <w:t>وضع توصيات بشأن المتطلبات اللازمة لتخفيف المخاطر والتهديدات المحددة في أجهزة إنترنت الأشياء والمدن والمجتمعات الذكية وأنظمتها وتطبيقاتها وبروتوكولاتها ومنصاتها وخدماتها.</w:t>
      </w:r>
    </w:p>
    <w:p w:rsidR="003A7197" w:rsidRDefault="00921F2C" w:rsidP="00472CFE">
      <w:pPr>
        <w:pStyle w:val="enumlev1"/>
        <w:rPr>
          <w:rtl/>
          <w:lang w:bidi="ar-EG"/>
        </w:rPr>
      </w:pPr>
      <w:r>
        <w:rPr>
          <w:rFonts w:hint="cs"/>
          <w:rtl/>
          <w:lang w:bidi="ar-EG"/>
        </w:rPr>
        <w:t>-</w:t>
      </w:r>
      <w:r w:rsidR="003A7197">
        <w:rPr>
          <w:rtl/>
          <w:lang w:bidi="ar-EG"/>
        </w:rPr>
        <w:tab/>
      </w:r>
      <w:r w:rsidR="00CF7B83">
        <w:rPr>
          <w:rFonts w:hint="cs"/>
          <w:rtl/>
          <w:lang w:bidi="ar-EG"/>
        </w:rPr>
        <w:t>وضع توصيات بشأن استخدام الهياكل التقليدية للسلامة والتيسر والاستيقان وعدم الرفض في أنظمة إنترنت الأشياء لحماية هوية وخصوصية وأمن النظام.</w:t>
      </w:r>
    </w:p>
    <w:p w:rsidR="003A7197" w:rsidRDefault="00921F2C" w:rsidP="00472CFE">
      <w:pPr>
        <w:pStyle w:val="enumlev1"/>
        <w:rPr>
          <w:rtl/>
          <w:lang w:bidi="ar-EG"/>
        </w:rPr>
      </w:pPr>
      <w:r>
        <w:rPr>
          <w:rFonts w:hint="cs"/>
          <w:rtl/>
          <w:lang w:bidi="ar-EG"/>
        </w:rPr>
        <w:t>-</w:t>
      </w:r>
      <w:r w:rsidR="003A7197">
        <w:rPr>
          <w:rtl/>
          <w:lang w:bidi="ar-EG"/>
        </w:rPr>
        <w:tab/>
      </w:r>
      <w:r w:rsidR="00CF7B83">
        <w:rPr>
          <w:rFonts w:hint="cs"/>
          <w:rtl/>
          <w:lang w:bidi="ar-EG"/>
        </w:rPr>
        <w:t>وضع توصيات بشأن التدابير التقنية اللازمة لمنع التتبع غير المشروع</w:t>
      </w:r>
      <w:r w:rsidR="006D543A">
        <w:rPr>
          <w:rFonts w:hint="cs"/>
          <w:rtl/>
          <w:lang w:bidi="ar-EG"/>
        </w:rPr>
        <w:t xml:space="preserve"> </w:t>
      </w:r>
      <w:r w:rsidR="006D543A" w:rsidRPr="00251E2C">
        <w:rPr>
          <w:rFonts w:hint="cs"/>
          <w:rtl/>
          <w:lang w:bidi="ar-EG"/>
        </w:rPr>
        <w:t>والتوصيف</w:t>
      </w:r>
      <w:r w:rsidR="00CF7B83">
        <w:rPr>
          <w:rFonts w:hint="cs"/>
          <w:rtl/>
          <w:lang w:bidi="ar-EG"/>
        </w:rPr>
        <w:t xml:space="preserve"> والمعالجة غير المشروعة لأنظمة إنترنت الأشياء وتطبيقاتها ومنصاتها وخدماتها.</w:t>
      </w:r>
    </w:p>
    <w:p w:rsidR="00921F2C" w:rsidRDefault="00CF7B83" w:rsidP="00472CFE">
      <w:pPr>
        <w:pStyle w:val="enumlev1"/>
        <w:rPr>
          <w:rtl/>
          <w:lang w:bidi="ar-EG"/>
        </w:rPr>
      </w:pPr>
      <w:r>
        <w:rPr>
          <w:rFonts w:hint="cs"/>
          <w:rtl/>
          <w:lang w:bidi="ar-EG"/>
        </w:rPr>
        <w:t>-</w:t>
      </w:r>
      <w:r>
        <w:rPr>
          <w:rtl/>
          <w:lang w:bidi="ar-EG"/>
        </w:rPr>
        <w:tab/>
      </w:r>
      <w:r>
        <w:rPr>
          <w:rFonts w:hint="cs"/>
          <w:rtl/>
          <w:lang w:bidi="ar-EG"/>
        </w:rPr>
        <w:t>وضع توصيات بشأن التدابير التقنية والبروتوكولات والأنظمة اللازمة لضمان حماية الخصوصية في</w:t>
      </w:r>
      <w:r w:rsidR="00472CFE">
        <w:rPr>
          <w:rFonts w:hint="eastAsia"/>
          <w:rtl/>
          <w:lang w:bidi="ar-EG"/>
        </w:rPr>
        <w:t> </w:t>
      </w:r>
      <w:r>
        <w:rPr>
          <w:rFonts w:hint="cs"/>
          <w:rtl/>
          <w:lang w:bidi="ar-EG"/>
        </w:rPr>
        <w:t>تطبيقات المدن والمجتمعات الذكية وخدماتها ومنصاتها.</w:t>
      </w:r>
    </w:p>
    <w:p w:rsidR="00CF7B83" w:rsidRDefault="00CF7B83" w:rsidP="00472CFE">
      <w:pPr>
        <w:pStyle w:val="enumlev1"/>
        <w:rPr>
          <w:rtl/>
          <w:lang w:bidi="ar-EG"/>
        </w:rPr>
      </w:pPr>
      <w:r>
        <w:rPr>
          <w:rFonts w:hint="cs"/>
          <w:rtl/>
          <w:lang w:bidi="ar-EG"/>
        </w:rPr>
        <w:t>-</w:t>
      </w:r>
      <w:r>
        <w:rPr>
          <w:rtl/>
          <w:lang w:bidi="ar-EG"/>
        </w:rPr>
        <w:tab/>
      </w:r>
      <w:r>
        <w:rPr>
          <w:rFonts w:hint="cs"/>
          <w:rtl/>
          <w:lang w:bidi="ar-EG"/>
        </w:rPr>
        <w:t>وضع مبادئ توجيهية بشأن تحديد المخاطر المحتملة المرتبطة بأشكال التوفير المختلفة للإدارة والتسيير والصيانة والخدمات داخل المدن والمجتمعات الذكية.</w:t>
      </w:r>
    </w:p>
    <w:p w:rsidR="00CF7B83" w:rsidRPr="00472CFE" w:rsidRDefault="00CF7B83" w:rsidP="00472CFE">
      <w:pPr>
        <w:pStyle w:val="enumlev1"/>
        <w:rPr>
          <w:spacing w:val="4"/>
          <w:rtl/>
          <w:lang w:bidi="ar-EG"/>
        </w:rPr>
      </w:pPr>
      <w:r w:rsidRPr="00472CFE">
        <w:rPr>
          <w:rFonts w:hint="cs"/>
          <w:spacing w:val="4"/>
          <w:rtl/>
          <w:lang w:bidi="ar-EG"/>
        </w:rPr>
        <w:t>-</w:t>
      </w:r>
      <w:r w:rsidRPr="00472CFE">
        <w:rPr>
          <w:spacing w:val="4"/>
          <w:rtl/>
          <w:lang w:bidi="ar-EG"/>
        </w:rPr>
        <w:tab/>
      </w:r>
      <w:r w:rsidRPr="00472CFE">
        <w:rPr>
          <w:rFonts w:hint="cs"/>
          <w:spacing w:val="4"/>
          <w:rtl/>
          <w:lang w:bidi="ar-EG"/>
        </w:rPr>
        <w:t>وضع توصيات بشأن ضمان التيسر والتنقلية للبيانات في منصات إنترنت الأشياء والمدن والمجتمعات الذكية وأنظمتها وخدماتها.</w:t>
      </w:r>
    </w:p>
    <w:p w:rsidR="00CF7B83" w:rsidRDefault="00CF7B83" w:rsidP="00472CFE">
      <w:pPr>
        <w:pStyle w:val="enumlev1"/>
        <w:rPr>
          <w:rtl/>
          <w:lang w:bidi="ar-EG"/>
        </w:rPr>
      </w:pPr>
      <w:r>
        <w:rPr>
          <w:rFonts w:hint="cs"/>
          <w:rtl/>
          <w:lang w:bidi="ar-EG"/>
        </w:rPr>
        <w:t>-</w:t>
      </w:r>
      <w:r>
        <w:rPr>
          <w:rtl/>
          <w:lang w:bidi="ar-EG"/>
        </w:rPr>
        <w:tab/>
      </w:r>
      <w:r>
        <w:rPr>
          <w:rFonts w:hint="cs"/>
          <w:rtl/>
          <w:lang w:bidi="ar-EG"/>
        </w:rPr>
        <w:t>وضع توصيات بشأن استعمال التسمية وتعرف الهوية في بيئات نشر إنترنت ا</w:t>
      </w:r>
      <w:r w:rsidR="00874FAE">
        <w:rPr>
          <w:rFonts w:hint="cs"/>
          <w:rtl/>
          <w:lang w:bidi="ar-EG"/>
        </w:rPr>
        <w:t>لأشياء والمدن والمجتمعات الذكية.</w:t>
      </w:r>
    </w:p>
    <w:p w:rsidR="00CF7B83" w:rsidRDefault="00CF7B83" w:rsidP="00472CFE">
      <w:pPr>
        <w:pStyle w:val="enumlev1"/>
        <w:rPr>
          <w:rtl/>
          <w:lang w:bidi="ar-EG"/>
        </w:rPr>
      </w:pPr>
      <w:r>
        <w:rPr>
          <w:rFonts w:hint="cs"/>
          <w:rtl/>
          <w:lang w:bidi="ar-EG"/>
        </w:rPr>
        <w:t>-</w:t>
      </w:r>
      <w:r>
        <w:rPr>
          <w:rtl/>
          <w:lang w:bidi="ar-EG"/>
        </w:rPr>
        <w:tab/>
      </w:r>
      <w:r>
        <w:rPr>
          <w:rFonts w:hint="cs"/>
          <w:rtl/>
          <w:lang w:bidi="ar-EG"/>
        </w:rPr>
        <w:t>وضع توصيات بشأن اكتشاف الهوية في إنترنت الأشياء.</w:t>
      </w:r>
    </w:p>
    <w:p w:rsidR="00CF7B83" w:rsidRDefault="00CF7B83" w:rsidP="00472CFE">
      <w:pPr>
        <w:pStyle w:val="enumlev1"/>
        <w:rPr>
          <w:rtl/>
          <w:lang w:bidi="ar-EG"/>
        </w:rPr>
      </w:pPr>
      <w:r>
        <w:rPr>
          <w:rFonts w:hint="cs"/>
          <w:rtl/>
          <w:lang w:bidi="ar-EG"/>
        </w:rPr>
        <w:t>-</w:t>
      </w:r>
      <w:r>
        <w:rPr>
          <w:rtl/>
          <w:lang w:bidi="ar-EG"/>
        </w:rPr>
        <w:tab/>
      </w:r>
      <w:r>
        <w:rPr>
          <w:rFonts w:hint="cs"/>
          <w:rtl/>
          <w:lang w:bidi="ar-EG"/>
        </w:rPr>
        <w:t>وضع توصيات بشأن إدارة الهوية في إنترنت الأشياء.</w:t>
      </w:r>
    </w:p>
    <w:p w:rsidR="00CF7B83" w:rsidRDefault="00CF7B83" w:rsidP="00874FAE">
      <w:pPr>
        <w:pStyle w:val="enumlev1"/>
        <w:rPr>
          <w:rtl/>
          <w:lang w:bidi="ar-EG"/>
        </w:rPr>
      </w:pPr>
      <w:r>
        <w:rPr>
          <w:rFonts w:hint="cs"/>
          <w:rtl/>
          <w:lang w:bidi="ar-EG"/>
        </w:rPr>
        <w:t>-</w:t>
      </w:r>
      <w:r>
        <w:rPr>
          <w:rtl/>
          <w:lang w:bidi="ar-EG"/>
        </w:rPr>
        <w:tab/>
      </w:r>
      <w:r>
        <w:rPr>
          <w:rFonts w:hint="cs"/>
          <w:rtl/>
          <w:lang w:bidi="ar-EG"/>
        </w:rPr>
        <w:t>وضع توصيات بشأن التسمية والعنونة في تطبيقات إنترنت ال</w:t>
      </w:r>
      <w:r w:rsidR="00874FAE">
        <w:rPr>
          <w:rFonts w:hint="cs"/>
          <w:rtl/>
          <w:lang w:bidi="ar-EG"/>
        </w:rPr>
        <w:t>أ</w:t>
      </w:r>
      <w:r>
        <w:rPr>
          <w:rFonts w:hint="cs"/>
          <w:rtl/>
          <w:lang w:bidi="ar-EG"/>
        </w:rPr>
        <w:t>شياء/المدن والمجتمعات الذكية وخدماتها.</w:t>
      </w:r>
    </w:p>
    <w:p w:rsidR="00CF7B83" w:rsidRPr="00E1474E" w:rsidRDefault="00CF7B83" w:rsidP="00451793">
      <w:pPr>
        <w:pStyle w:val="enumlev1"/>
        <w:rPr>
          <w:spacing w:val="4"/>
          <w:rtl/>
          <w:lang w:bidi="ar-EG"/>
        </w:rPr>
      </w:pPr>
      <w:r w:rsidRPr="00E1474E">
        <w:rPr>
          <w:rFonts w:hint="cs"/>
          <w:spacing w:val="4"/>
          <w:rtl/>
          <w:lang w:bidi="ar-EG"/>
        </w:rPr>
        <w:t>-</w:t>
      </w:r>
      <w:r w:rsidRPr="00E1474E">
        <w:rPr>
          <w:spacing w:val="4"/>
          <w:rtl/>
          <w:lang w:bidi="ar-EG"/>
        </w:rPr>
        <w:tab/>
      </w:r>
      <w:r w:rsidRPr="00E1474E">
        <w:rPr>
          <w:rFonts w:hint="cs"/>
          <w:spacing w:val="4"/>
          <w:rtl/>
          <w:lang w:bidi="ar-EG"/>
        </w:rPr>
        <w:t>التنسيق مع لجان الدراسات ومنظمات وضع المعايير الأخرى إضافة إلى وكالات الأمم المتحدة بصورة منتظمة للتعاون</w:t>
      </w:r>
      <w:r w:rsidR="00451793">
        <w:rPr>
          <w:rFonts w:hint="eastAsia"/>
          <w:spacing w:val="4"/>
          <w:rtl/>
          <w:lang w:bidi="ar-EG"/>
        </w:rPr>
        <w:t> </w:t>
      </w:r>
      <w:r w:rsidRPr="00E1474E">
        <w:rPr>
          <w:rFonts w:hint="cs"/>
          <w:spacing w:val="4"/>
          <w:rtl/>
          <w:lang w:bidi="ar-EG"/>
        </w:rPr>
        <w:t>بفعالية.</w:t>
      </w:r>
    </w:p>
    <w:p w:rsidR="00921F2C" w:rsidRDefault="00921F2C" w:rsidP="00E1474E">
      <w:pPr>
        <w:pStyle w:val="Heading2"/>
        <w:rPr>
          <w:rtl/>
        </w:rPr>
      </w:pPr>
      <w:r>
        <w:t>4</w:t>
      </w:r>
      <w:r>
        <w:tab/>
      </w:r>
      <w:r w:rsidR="00930A7E">
        <w:rPr>
          <w:rFonts w:hint="cs"/>
          <w:rtl/>
        </w:rPr>
        <w:t>الروابط</w:t>
      </w:r>
    </w:p>
    <w:p w:rsidR="00930A7E" w:rsidRPr="00E1474E" w:rsidRDefault="00930A7E" w:rsidP="00E1474E">
      <w:pPr>
        <w:keepNext/>
        <w:rPr>
          <w:b/>
          <w:bCs/>
          <w:rtl/>
        </w:rPr>
      </w:pPr>
      <w:r w:rsidRPr="00E1474E">
        <w:rPr>
          <w:rFonts w:hint="cs"/>
          <w:b/>
          <w:bCs/>
          <w:rtl/>
        </w:rPr>
        <w:t>التوصيات</w:t>
      </w:r>
    </w:p>
    <w:p w:rsidR="00921F2C" w:rsidRDefault="00930A7E" w:rsidP="00E1474E">
      <w:pPr>
        <w:pStyle w:val="enumlev1"/>
        <w:rPr>
          <w:rtl/>
          <w:lang w:bidi="ar-EG"/>
        </w:rPr>
      </w:pPr>
      <w:r>
        <w:rPr>
          <w:rFonts w:hint="cs"/>
          <w:rtl/>
          <w:lang w:bidi="ar-EG"/>
        </w:rPr>
        <w:t>-</w:t>
      </w:r>
      <w:r>
        <w:rPr>
          <w:rFonts w:hint="cs"/>
          <w:rtl/>
          <w:lang w:bidi="ar-EG"/>
        </w:rPr>
        <w:tab/>
      </w:r>
      <w:r w:rsidR="00E1474E">
        <w:rPr>
          <w:rFonts w:hint="cs"/>
          <w:rtl/>
          <w:lang w:bidi="ar-EG"/>
        </w:rPr>
        <w:t>سلسلة التوصيات </w:t>
      </w:r>
      <w:r w:rsidR="00E1474E">
        <w:rPr>
          <w:lang w:bidi="ar-EG"/>
        </w:rPr>
        <w:t>Y</w:t>
      </w:r>
      <w:r w:rsidR="00E1474E">
        <w:rPr>
          <w:rFonts w:hint="cs"/>
          <w:rtl/>
          <w:lang w:bidi="ar-EG"/>
        </w:rPr>
        <w:t xml:space="preserve"> والتوصيات الأخرى ذات الصلة بالأمن والخصوصية والثقة وتعرف الهوية.</w:t>
      </w:r>
    </w:p>
    <w:p w:rsidR="00921F2C" w:rsidRPr="00E1474E" w:rsidRDefault="00930A7E" w:rsidP="00E1474E">
      <w:pPr>
        <w:rPr>
          <w:b/>
          <w:bCs/>
          <w:rtl/>
        </w:rPr>
      </w:pPr>
      <w:r w:rsidRPr="00E1474E">
        <w:rPr>
          <w:rFonts w:hint="cs"/>
          <w:b/>
          <w:bCs/>
          <w:rtl/>
        </w:rPr>
        <w:t>المسائل</w:t>
      </w:r>
    </w:p>
    <w:p w:rsidR="00930A7E" w:rsidRDefault="00930A7E" w:rsidP="003A57CE">
      <w:pPr>
        <w:pStyle w:val="enumlev1"/>
        <w:rPr>
          <w:rtl/>
          <w:lang w:bidi="ar-EG"/>
        </w:rPr>
      </w:pPr>
      <w:r>
        <w:rPr>
          <w:rFonts w:hint="cs"/>
          <w:rtl/>
          <w:lang w:bidi="ar-EG"/>
        </w:rPr>
        <w:t>-</w:t>
      </w:r>
      <w:r>
        <w:rPr>
          <w:rFonts w:hint="cs"/>
          <w:rtl/>
          <w:lang w:bidi="ar-EG"/>
        </w:rPr>
        <w:tab/>
      </w:r>
      <w:r w:rsidR="00E1474E">
        <w:rPr>
          <w:rFonts w:hint="cs"/>
          <w:rtl/>
          <w:lang w:bidi="ar-EG"/>
        </w:rPr>
        <w:t>جميع مسائل لجنة الدراسات </w:t>
      </w:r>
      <w:r w:rsidR="00E1474E">
        <w:rPr>
          <w:lang w:bidi="ar-EG"/>
        </w:rPr>
        <w:t>20</w:t>
      </w:r>
    </w:p>
    <w:p w:rsidR="00E1474E" w:rsidRPr="00E1474E" w:rsidRDefault="00E1474E" w:rsidP="00921F2C">
      <w:pPr>
        <w:rPr>
          <w:b/>
          <w:bCs/>
          <w:rtl/>
          <w:lang w:bidi="ar-EG"/>
        </w:rPr>
      </w:pPr>
      <w:r w:rsidRPr="00E1474E">
        <w:rPr>
          <w:rFonts w:hint="cs"/>
          <w:b/>
          <w:bCs/>
          <w:rtl/>
          <w:lang w:bidi="ar-EG"/>
        </w:rPr>
        <w:lastRenderedPageBreak/>
        <w:t>لجان الدراسات</w:t>
      </w:r>
    </w:p>
    <w:p w:rsidR="00E1474E" w:rsidRPr="00CA578B" w:rsidRDefault="00E1474E" w:rsidP="00E1474E">
      <w:pPr>
        <w:pStyle w:val="enumlev1"/>
        <w:rPr>
          <w:rtl/>
        </w:rPr>
      </w:pPr>
      <w:r>
        <w:rPr>
          <w:rFonts w:hint="cs"/>
          <w:rtl/>
        </w:rPr>
        <w:t>-</w:t>
      </w:r>
      <w:r>
        <w:rPr>
          <w:rFonts w:hint="cs"/>
          <w:rtl/>
        </w:rPr>
        <w:tab/>
        <w:t>لجان دراسات قطاع تقييس الاتصالات (مع مراعاة أدوارها كلجان دراسات رئيسة، مثلاً) ولجان دراسات قطاعي تنمية الاتصالات وال</w:t>
      </w:r>
      <w:r w:rsidR="006D543A">
        <w:rPr>
          <w:rFonts w:hint="cs"/>
          <w:rtl/>
        </w:rPr>
        <w:t>اتصالات الراديوية، حسب الاقتضاء</w:t>
      </w:r>
    </w:p>
    <w:p w:rsidR="00E1474E" w:rsidRPr="00E94F0E" w:rsidRDefault="00E1474E" w:rsidP="00E1474E">
      <w:pPr>
        <w:rPr>
          <w:b/>
          <w:bCs/>
          <w:szCs w:val="24"/>
          <w:rtl/>
        </w:rPr>
      </w:pPr>
      <w:r>
        <w:rPr>
          <w:rFonts w:hint="cs"/>
          <w:b/>
          <w:bCs/>
          <w:rtl/>
          <w:lang w:bidi="ar-EG"/>
        </w:rPr>
        <w:t>الهيئات</w:t>
      </w:r>
      <w:r>
        <w:rPr>
          <w:rFonts w:hint="cs"/>
          <w:b/>
          <w:bCs/>
          <w:rtl/>
        </w:rPr>
        <w:t xml:space="preserve"> الأخرى</w:t>
      </w:r>
    </w:p>
    <w:p w:rsidR="00921F2C" w:rsidRPr="00F87E00" w:rsidRDefault="00E1474E" w:rsidP="00E1474E">
      <w:pPr>
        <w:pStyle w:val="enumlev1"/>
        <w:rPr>
          <w:rtl/>
          <w:lang w:bidi="ar-EG"/>
        </w:rPr>
      </w:pPr>
      <w:r>
        <w:rPr>
          <w:rFonts w:hint="cs"/>
          <w:rtl/>
        </w:rPr>
        <w:t>-</w:t>
      </w:r>
      <w:r w:rsidRPr="00337AD8">
        <w:rPr>
          <w:rtl/>
        </w:rPr>
        <w:tab/>
      </w:r>
      <w:r>
        <w:rPr>
          <w:rFonts w:hint="cs"/>
          <w:rtl/>
        </w:rPr>
        <w:t>فريق التنسيق المشترك </w:t>
      </w:r>
      <w:r>
        <w:t>JCT </w:t>
      </w:r>
      <w:r>
        <w:rPr>
          <w:lang w:bidi="ar-EG"/>
        </w:rPr>
        <w:t>1</w:t>
      </w:r>
      <w:r>
        <w:rPr>
          <w:rFonts w:hint="cs"/>
          <w:rtl/>
          <w:lang w:bidi="ar-EG"/>
        </w:rPr>
        <w:t xml:space="preserve"> بين المنظمة الدولية للتوحيد القياسي </w:t>
      </w:r>
      <w:r>
        <w:rPr>
          <w:lang w:bidi="ar-EG"/>
        </w:rPr>
        <w:t>ISO</w:t>
      </w:r>
      <w:r>
        <w:rPr>
          <w:rFonts w:hint="cs"/>
          <w:rtl/>
          <w:lang w:bidi="ar-EG"/>
        </w:rPr>
        <w:t>/اللجنة الكهرتق</w:t>
      </w:r>
      <w:r w:rsidR="00472CFE">
        <w:rPr>
          <w:rFonts w:hint="cs"/>
          <w:rtl/>
          <w:lang w:bidi="ar-EG"/>
        </w:rPr>
        <w:t>ن</w:t>
      </w:r>
      <w:r>
        <w:rPr>
          <w:rFonts w:hint="cs"/>
          <w:rtl/>
          <w:lang w:bidi="ar-EG"/>
        </w:rPr>
        <w:t>ية الدولية </w:t>
      </w:r>
      <w:r>
        <w:rPr>
          <w:lang w:bidi="ar-EG"/>
        </w:rPr>
        <w:t>(IEC)</w:t>
      </w:r>
    </w:p>
    <w:p w:rsidR="00921F2C" w:rsidRDefault="00921F2C" w:rsidP="00E1474E">
      <w:pPr>
        <w:pStyle w:val="enumlev1"/>
        <w:rPr>
          <w:rtl/>
          <w:lang w:bidi="ar-EG"/>
        </w:rPr>
      </w:pPr>
      <w:r>
        <w:rPr>
          <w:rFonts w:hint="cs"/>
          <w:rtl/>
          <w:lang w:bidi="ar-EG"/>
        </w:rPr>
        <w:t>-</w:t>
      </w:r>
      <w:r w:rsidRPr="00337AD8">
        <w:rPr>
          <w:rtl/>
          <w:lang w:bidi="ar-EG"/>
        </w:rPr>
        <w:tab/>
      </w:r>
      <w:r w:rsidR="00E1474E">
        <w:rPr>
          <w:rFonts w:hint="cs"/>
          <w:rtl/>
          <w:lang w:bidi="ar-EG"/>
        </w:rPr>
        <w:t>مؤسسة </w:t>
      </w:r>
      <w:r w:rsidR="00E1474E">
        <w:rPr>
          <w:lang w:bidi="ar-EG"/>
        </w:rPr>
        <w:t>DONA</w:t>
      </w:r>
    </w:p>
    <w:p w:rsidR="00E1474E" w:rsidRDefault="00E1474E" w:rsidP="00E1474E">
      <w:pPr>
        <w:pStyle w:val="enumlev1"/>
        <w:rPr>
          <w:lang w:bidi="ar-EG"/>
        </w:rPr>
      </w:pPr>
      <w:r>
        <w:rPr>
          <w:rFonts w:hint="cs"/>
          <w:rtl/>
          <w:lang w:bidi="ar-EG"/>
        </w:rPr>
        <w:t>-</w:t>
      </w:r>
      <w:r w:rsidRPr="00337AD8">
        <w:rPr>
          <w:rtl/>
          <w:lang w:bidi="ar-EG"/>
        </w:rPr>
        <w:tab/>
      </w:r>
      <w:r>
        <w:rPr>
          <w:rFonts w:hint="cs"/>
          <w:rtl/>
          <w:lang w:bidi="ar-EG"/>
        </w:rPr>
        <w:t>فريق مهام هندسة الإنترنت</w:t>
      </w:r>
    </w:p>
    <w:p w:rsidR="00E1474E" w:rsidRDefault="00E1474E" w:rsidP="00E1474E">
      <w:pPr>
        <w:pStyle w:val="enumlev1"/>
        <w:rPr>
          <w:rtl/>
          <w:lang w:bidi="ar-EG"/>
        </w:rPr>
      </w:pPr>
      <w:r>
        <w:rPr>
          <w:rFonts w:hint="cs"/>
          <w:rtl/>
          <w:lang w:bidi="ar-EG"/>
        </w:rPr>
        <w:t>-</w:t>
      </w:r>
      <w:r w:rsidRPr="00337AD8">
        <w:rPr>
          <w:rtl/>
          <w:lang w:bidi="ar-EG"/>
        </w:rPr>
        <w:tab/>
      </w:r>
      <w:r>
        <w:rPr>
          <w:rFonts w:hint="cs"/>
          <w:rtl/>
          <w:lang w:bidi="ar-EG"/>
        </w:rPr>
        <w:t xml:space="preserve">منظمة النهوض بمعايير المعلومات </w:t>
      </w:r>
      <w:proofErr w:type="spellStart"/>
      <w:r>
        <w:rPr>
          <w:rFonts w:hint="cs"/>
          <w:rtl/>
          <w:lang w:bidi="ar-EG"/>
        </w:rPr>
        <w:t>المهيكلة</w:t>
      </w:r>
      <w:proofErr w:type="spellEnd"/>
      <w:r>
        <w:rPr>
          <w:rFonts w:hint="cs"/>
          <w:rtl/>
          <w:lang w:bidi="ar-EG"/>
        </w:rPr>
        <w:t> </w:t>
      </w:r>
      <w:r>
        <w:rPr>
          <w:lang w:bidi="ar-EG"/>
        </w:rPr>
        <w:t>(OASIS)</w:t>
      </w:r>
    </w:p>
    <w:p w:rsidR="00874FAE" w:rsidRDefault="00E1474E" w:rsidP="006D543A">
      <w:pPr>
        <w:pStyle w:val="enumlev1"/>
        <w:rPr>
          <w:rtl/>
          <w:lang w:bidi="ar-EG"/>
        </w:rPr>
      </w:pPr>
      <w:r>
        <w:rPr>
          <w:rFonts w:hint="cs"/>
          <w:rtl/>
          <w:lang w:bidi="ar-EG"/>
        </w:rPr>
        <w:t>-</w:t>
      </w:r>
      <w:r w:rsidRPr="00337AD8">
        <w:rPr>
          <w:rtl/>
          <w:lang w:bidi="ar-EG"/>
        </w:rPr>
        <w:tab/>
      </w:r>
      <w:r>
        <w:rPr>
          <w:rFonts w:hint="cs"/>
          <w:rtl/>
          <w:lang w:bidi="ar-EG"/>
        </w:rPr>
        <w:t>الشراكة </w:t>
      </w:r>
      <w:r>
        <w:rPr>
          <w:lang w:bidi="ar-EG"/>
        </w:rPr>
        <w:t>OneM2M</w:t>
      </w:r>
    </w:p>
    <w:p w:rsidR="00F27125" w:rsidRPr="00F27125" w:rsidRDefault="00F27125" w:rsidP="00F27125">
      <w:pPr>
        <w:pStyle w:val="Reasons"/>
        <w:rPr>
          <w:rFonts w:hint="cs"/>
          <w:rtl/>
          <w:lang w:bidi="ar-EG"/>
        </w:rPr>
      </w:pPr>
    </w:p>
    <w:p w:rsidR="00921F2C" w:rsidRPr="00921F2C" w:rsidRDefault="00921F2C" w:rsidP="00921F2C">
      <w:pPr>
        <w:pStyle w:val="Heading1"/>
        <w:rPr>
          <w:rtl/>
        </w:rPr>
      </w:pPr>
      <w:r>
        <w:t>2</w:t>
      </w:r>
      <w:r>
        <w:tab/>
      </w:r>
      <w:r w:rsidR="00E1474E">
        <w:rPr>
          <w:rFonts w:hint="cs"/>
          <w:rtl/>
        </w:rPr>
        <w:t>تعديلات مقترحة على هيكل لجنة الدراسات </w:t>
      </w:r>
      <w:r w:rsidR="00E1474E">
        <w:t>20</w:t>
      </w:r>
    </w:p>
    <w:p w:rsidR="00275693" w:rsidRDefault="00930A7E">
      <w:pPr>
        <w:pStyle w:val="Proposal"/>
      </w:pPr>
      <w:r>
        <w:tab/>
        <w:t>ARB/43A32/3</w:t>
      </w:r>
    </w:p>
    <w:p w:rsidR="006D543A" w:rsidRDefault="00E1474E" w:rsidP="003A57CE">
      <w:pPr>
        <w:rPr>
          <w:rtl/>
          <w:lang w:bidi="ar-EG"/>
        </w:rPr>
      </w:pPr>
      <w:r>
        <w:rPr>
          <w:rFonts w:hint="cs"/>
          <w:rtl/>
          <w:lang w:bidi="ar-EG"/>
        </w:rPr>
        <w:t>عقدت لجنة الدراسات </w:t>
      </w:r>
      <w:r>
        <w:rPr>
          <w:lang w:bidi="ar-EG"/>
        </w:rPr>
        <w:t>20</w:t>
      </w:r>
      <w:r>
        <w:rPr>
          <w:rFonts w:hint="cs"/>
          <w:rtl/>
          <w:lang w:bidi="ar-EG"/>
        </w:rPr>
        <w:t xml:space="preserve"> في فترة الدراسة الماضية ثلاثة اجتماعات شهدت حضوراً كبيراً. وكان العمل الذي أنجزته لجنة الدراسات </w:t>
      </w:r>
      <w:r>
        <w:rPr>
          <w:lang w:bidi="ar-EG"/>
        </w:rPr>
        <w:t>20</w:t>
      </w:r>
      <w:r>
        <w:rPr>
          <w:rFonts w:hint="cs"/>
          <w:rtl/>
          <w:lang w:bidi="ar-EG"/>
        </w:rPr>
        <w:t xml:space="preserve"> مثمراً إلى حد كبير وقد تلقت </w:t>
      </w:r>
      <w:r>
        <w:rPr>
          <w:lang w:bidi="ar-EG"/>
        </w:rPr>
        <w:t>314</w:t>
      </w:r>
      <w:r>
        <w:rPr>
          <w:rFonts w:hint="eastAsia"/>
          <w:rtl/>
          <w:lang w:bidi="ar-EG"/>
        </w:rPr>
        <w:t xml:space="preserve"> مساهمة واستحدث العديد من بنود العمل، وتمت الموافقة على عدد </w:t>
      </w:r>
      <w:r>
        <w:rPr>
          <w:rFonts w:hint="cs"/>
          <w:rtl/>
          <w:lang w:bidi="ar-EG"/>
        </w:rPr>
        <w:t>من التوصيات.</w:t>
      </w:r>
    </w:p>
    <w:p w:rsidR="00921F2C" w:rsidRDefault="00E1474E" w:rsidP="003A57CE">
      <w:pPr>
        <w:rPr>
          <w:rtl/>
          <w:lang w:bidi="ar-EG"/>
        </w:rPr>
      </w:pPr>
      <w:r>
        <w:rPr>
          <w:rFonts w:hint="cs"/>
          <w:rtl/>
          <w:lang w:bidi="ar-EG"/>
        </w:rPr>
        <w:t>وعلاوة</w:t>
      </w:r>
      <w:r w:rsidR="005F0750">
        <w:rPr>
          <w:rFonts w:hint="cs"/>
          <w:rtl/>
          <w:lang w:bidi="ar-EG"/>
        </w:rPr>
        <w:t>ً</w:t>
      </w:r>
      <w:r>
        <w:rPr>
          <w:rFonts w:hint="cs"/>
          <w:rtl/>
          <w:lang w:bidi="ar-EG"/>
        </w:rPr>
        <w:t xml:space="preserve"> على ذلك، وبسبب التداخل المحتمل بين فرقة العمل </w:t>
      </w:r>
      <w:r>
        <w:rPr>
          <w:lang w:bidi="ar-EG"/>
        </w:rPr>
        <w:t>1/20</w:t>
      </w:r>
      <w:r>
        <w:rPr>
          <w:rFonts w:hint="cs"/>
          <w:rtl/>
          <w:lang w:bidi="ar-EG"/>
        </w:rPr>
        <w:t xml:space="preserve"> (إنترنت الأشياء) وفرقة العمل </w:t>
      </w:r>
      <w:r>
        <w:rPr>
          <w:lang w:bidi="ar-EG"/>
        </w:rPr>
        <w:t>2/20</w:t>
      </w:r>
      <w:r>
        <w:rPr>
          <w:rFonts w:hint="cs"/>
          <w:rtl/>
          <w:lang w:bidi="ar-EG"/>
        </w:rPr>
        <w:t xml:space="preserve"> (المدن والمجتمعات الذكية) التابعتين للجنة الدراسات </w:t>
      </w:r>
      <w:r>
        <w:rPr>
          <w:lang w:bidi="ar-EG"/>
        </w:rPr>
        <w:t>20</w:t>
      </w:r>
      <w:r>
        <w:rPr>
          <w:rFonts w:hint="cs"/>
          <w:rtl/>
          <w:lang w:bidi="ar-EG"/>
        </w:rPr>
        <w:t>، كان هناك عدد من الاجتماعات المشتركة للمسائل حيث</w:t>
      </w:r>
      <w:r w:rsidR="00874FAE">
        <w:rPr>
          <w:rFonts w:hint="cs"/>
          <w:rtl/>
          <w:lang w:bidi="ar-EG"/>
        </w:rPr>
        <w:t xml:space="preserve"> </w:t>
      </w:r>
      <w:r>
        <w:rPr>
          <w:rFonts w:hint="cs"/>
          <w:rtl/>
          <w:lang w:bidi="ar-EG"/>
        </w:rPr>
        <w:t>كانت الموضوعات و/أو المساهمات تتناول أكثر من مسألة. لذا، يقترح مقدمو هذه المساهمة مراجعة هيكل لجنة الدراسات </w:t>
      </w:r>
      <w:r>
        <w:rPr>
          <w:lang w:bidi="ar-EG"/>
        </w:rPr>
        <w:t>20</w:t>
      </w:r>
      <w:r>
        <w:rPr>
          <w:rFonts w:hint="cs"/>
          <w:rtl/>
          <w:lang w:bidi="ar-EG"/>
        </w:rPr>
        <w:t xml:space="preserve"> وإعادة تنظيمه على اعتبار أنها استمرار لعمل لجنة الدراسات </w:t>
      </w:r>
      <w:r>
        <w:rPr>
          <w:lang w:bidi="ar-EG"/>
        </w:rPr>
        <w:t>20</w:t>
      </w:r>
      <w:r>
        <w:rPr>
          <w:rFonts w:hint="cs"/>
          <w:rtl/>
          <w:lang w:bidi="ar-EG"/>
        </w:rPr>
        <w:t xml:space="preserve"> واختصاصاتها في فترة الدراسة السابقة، على النحو المبين في الجدول أدناه</w:t>
      </w:r>
      <w:r w:rsidR="006D543A">
        <w:rPr>
          <w:rFonts w:hint="cs"/>
          <w:rtl/>
          <w:lang w:bidi="ar-EG"/>
        </w:rPr>
        <w:t>.</w:t>
      </w:r>
    </w:p>
    <w:p w:rsidR="00921F2C" w:rsidRDefault="006F7427" w:rsidP="006D543A">
      <w:pPr>
        <w:pStyle w:val="Tabletitle"/>
        <w:spacing w:before="360"/>
      </w:pPr>
      <w:r>
        <w:rPr>
          <w:rFonts w:hint="cs"/>
          <w:rtl/>
        </w:rPr>
        <w:t>التعديلات المقترحة على هيكل لجنة الدراسات</w:t>
      </w:r>
      <w:r w:rsidR="006D543A">
        <w:rPr>
          <w:rFonts w:hint="eastAsia"/>
          <w:rtl/>
        </w:rPr>
        <w:t> </w:t>
      </w:r>
      <w:r w:rsidR="006D543A">
        <w:rPr>
          <w:lang w:bidi="ar-EG"/>
        </w:rPr>
        <w:t>20</w:t>
      </w:r>
      <w:r>
        <w:rPr>
          <w:rFonts w:hint="cs"/>
          <w:rtl/>
        </w:rPr>
        <w:t xml:space="preserve"> لقطاع تقييس الاتصالات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7162"/>
      </w:tblGrid>
      <w:tr w:rsidR="00921F2C" w:rsidRPr="00921F2C" w:rsidTr="000671F4">
        <w:trPr>
          <w:jc w:val="center"/>
        </w:trPr>
        <w:tc>
          <w:tcPr>
            <w:tcW w:w="2188" w:type="dxa"/>
          </w:tcPr>
          <w:p w:rsidR="00921F2C" w:rsidRPr="006F7427" w:rsidRDefault="006F7427" w:rsidP="000671F4">
            <w:pPr>
              <w:pStyle w:val="Tablehead"/>
            </w:pPr>
            <w:r w:rsidRPr="006F7427">
              <w:rPr>
                <w:rFonts w:hint="cs"/>
                <w:rtl/>
              </w:rPr>
              <w:t>مسائل لجنة الدراسات </w:t>
            </w:r>
            <w:r w:rsidRPr="006F7427">
              <w:t>20</w:t>
            </w:r>
          </w:p>
        </w:tc>
        <w:tc>
          <w:tcPr>
            <w:tcW w:w="7162" w:type="dxa"/>
          </w:tcPr>
          <w:p w:rsidR="00921F2C" w:rsidRPr="00921F2C" w:rsidRDefault="006D543A" w:rsidP="000671F4">
            <w:pPr>
              <w:pStyle w:val="Tablehead"/>
              <w:rPr>
                <w:rtl/>
              </w:rPr>
            </w:pPr>
            <w:r>
              <w:rPr>
                <w:rFonts w:hint="cs"/>
                <w:rtl/>
              </w:rPr>
              <w:t>العنوان</w:t>
            </w:r>
          </w:p>
        </w:tc>
      </w:tr>
      <w:tr w:rsidR="00921F2C" w:rsidRPr="00921F2C" w:rsidTr="000671F4">
        <w:trPr>
          <w:jc w:val="center"/>
        </w:trPr>
        <w:tc>
          <w:tcPr>
            <w:tcW w:w="2188" w:type="dxa"/>
          </w:tcPr>
          <w:p w:rsidR="00921F2C" w:rsidRPr="006F7427" w:rsidRDefault="006F7427" w:rsidP="000671F4">
            <w:pPr>
              <w:pStyle w:val="Tabletext"/>
              <w:spacing w:before="60"/>
              <w:rPr>
                <w:b/>
                <w:bCs/>
                <w:rtl/>
              </w:rPr>
            </w:pPr>
            <w:r w:rsidRPr="006F7427">
              <w:rPr>
                <w:rFonts w:hint="cs"/>
                <w:b/>
                <w:bCs/>
                <w:rtl/>
              </w:rPr>
              <w:t>الجلسة العامة</w:t>
            </w:r>
          </w:p>
        </w:tc>
        <w:tc>
          <w:tcPr>
            <w:tcW w:w="7162" w:type="dxa"/>
          </w:tcPr>
          <w:p w:rsidR="00921F2C" w:rsidRPr="00921F2C" w:rsidRDefault="00921F2C" w:rsidP="000671F4">
            <w:pPr>
              <w:pStyle w:val="Tabletext"/>
              <w:spacing w:before="60"/>
              <w:jc w:val="both"/>
            </w:pPr>
          </w:p>
        </w:tc>
      </w:tr>
      <w:tr w:rsidR="00921F2C" w:rsidRPr="00921F2C" w:rsidTr="000671F4">
        <w:trPr>
          <w:jc w:val="center"/>
        </w:trPr>
        <w:tc>
          <w:tcPr>
            <w:tcW w:w="2188" w:type="dxa"/>
          </w:tcPr>
          <w:p w:rsidR="00921F2C" w:rsidRPr="006F7427" w:rsidRDefault="006F7427" w:rsidP="000671F4">
            <w:pPr>
              <w:pStyle w:val="Tabletext"/>
              <w:spacing w:before="60"/>
              <w:rPr>
                <w:b/>
                <w:bCs/>
              </w:rPr>
            </w:pPr>
            <w:r w:rsidRPr="006F7427">
              <w:rPr>
                <w:rFonts w:hint="cs"/>
                <w:b/>
                <w:bCs/>
                <w:rtl/>
              </w:rPr>
              <w:t>فرقة العمل </w:t>
            </w:r>
            <w:r w:rsidRPr="006F7427">
              <w:rPr>
                <w:b/>
                <w:bCs/>
              </w:rPr>
              <w:t>1</w:t>
            </w:r>
          </w:p>
        </w:tc>
        <w:tc>
          <w:tcPr>
            <w:tcW w:w="7162" w:type="dxa"/>
          </w:tcPr>
          <w:p w:rsidR="00921F2C" w:rsidRPr="00921F2C" w:rsidRDefault="00921F2C" w:rsidP="000671F4">
            <w:pPr>
              <w:pStyle w:val="Tabletext"/>
              <w:spacing w:before="60"/>
              <w:jc w:val="both"/>
            </w:pPr>
          </w:p>
        </w:tc>
      </w:tr>
      <w:tr w:rsidR="00921F2C" w:rsidRPr="00921F2C" w:rsidTr="000671F4">
        <w:trPr>
          <w:jc w:val="center"/>
        </w:trPr>
        <w:tc>
          <w:tcPr>
            <w:tcW w:w="2188" w:type="dxa"/>
          </w:tcPr>
          <w:p w:rsidR="00921F2C" w:rsidRPr="00921F2C" w:rsidRDefault="006F7427" w:rsidP="000671F4">
            <w:pPr>
              <w:pStyle w:val="Tabletext"/>
              <w:spacing w:before="60"/>
            </w:pPr>
            <w:r>
              <w:rPr>
                <w:rFonts w:hint="cs"/>
                <w:rtl/>
              </w:rPr>
              <w:t>المسألة</w:t>
            </w:r>
            <w:r>
              <w:rPr>
                <w:rFonts w:hint="eastAsia"/>
                <w:rtl/>
              </w:rPr>
              <w:t> </w:t>
            </w:r>
            <w:r>
              <w:t>1/20</w:t>
            </w:r>
          </w:p>
        </w:tc>
        <w:tc>
          <w:tcPr>
            <w:tcW w:w="7162" w:type="dxa"/>
          </w:tcPr>
          <w:p w:rsidR="00921F2C" w:rsidRPr="006F7427" w:rsidRDefault="006F7427" w:rsidP="000671F4">
            <w:pPr>
              <w:pStyle w:val="Tabletext"/>
              <w:spacing w:before="60"/>
              <w:jc w:val="both"/>
              <w:rPr>
                <w:lang w:val="en-US"/>
              </w:rPr>
            </w:pPr>
            <w:r>
              <w:rPr>
                <w:rFonts w:hint="cs"/>
                <w:rtl/>
                <w:lang w:val="en-US"/>
              </w:rPr>
              <w:t>الأبحاث والتكنولوجيات الناشئة، بما في ذلك المصطلحات والتعاريف</w:t>
            </w:r>
          </w:p>
        </w:tc>
      </w:tr>
      <w:tr w:rsidR="00921F2C" w:rsidRPr="00921F2C" w:rsidTr="000671F4">
        <w:trPr>
          <w:jc w:val="center"/>
        </w:trPr>
        <w:tc>
          <w:tcPr>
            <w:tcW w:w="2188" w:type="dxa"/>
          </w:tcPr>
          <w:p w:rsidR="00921F2C" w:rsidRPr="00921F2C" w:rsidRDefault="006F7427" w:rsidP="000671F4">
            <w:pPr>
              <w:pStyle w:val="Tabletext"/>
              <w:spacing w:before="60"/>
            </w:pPr>
            <w:r>
              <w:rPr>
                <w:rFonts w:hint="cs"/>
                <w:rtl/>
              </w:rPr>
              <w:t>المسألة</w:t>
            </w:r>
            <w:r>
              <w:rPr>
                <w:rFonts w:hint="eastAsia"/>
                <w:rtl/>
              </w:rPr>
              <w:t> </w:t>
            </w:r>
            <w:r>
              <w:t>2/20</w:t>
            </w:r>
          </w:p>
        </w:tc>
        <w:tc>
          <w:tcPr>
            <w:tcW w:w="7162" w:type="dxa"/>
          </w:tcPr>
          <w:p w:rsidR="00921F2C" w:rsidRPr="00921F2C" w:rsidRDefault="006F7427" w:rsidP="000671F4">
            <w:pPr>
              <w:pStyle w:val="Tabletext"/>
              <w:spacing w:before="60"/>
              <w:jc w:val="both"/>
            </w:pPr>
            <w:r>
              <w:rPr>
                <w:rFonts w:hint="cs"/>
                <w:rtl/>
              </w:rPr>
              <w:t>تحليل وتقييم المدن والمجتمعات الذكية</w:t>
            </w:r>
          </w:p>
        </w:tc>
      </w:tr>
      <w:tr w:rsidR="00921F2C" w:rsidRPr="00921F2C" w:rsidTr="000671F4">
        <w:trPr>
          <w:jc w:val="center"/>
        </w:trPr>
        <w:tc>
          <w:tcPr>
            <w:tcW w:w="2188" w:type="dxa"/>
          </w:tcPr>
          <w:p w:rsidR="00921F2C" w:rsidRPr="00921F2C" w:rsidRDefault="006F7427" w:rsidP="000671F4">
            <w:pPr>
              <w:pStyle w:val="Tabletext"/>
              <w:spacing w:before="60"/>
            </w:pPr>
            <w:r>
              <w:rPr>
                <w:rFonts w:hint="cs"/>
                <w:rtl/>
              </w:rPr>
              <w:t>المسألة</w:t>
            </w:r>
            <w:r>
              <w:rPr>
                <w:rFonts w:hint="eastAsia"/>
                <w:rtl/>
              </w:rPr>
              <w:t> </w:t>
            </w:r>
            <w:r>
              <w:t>3/20</w:t>
            </w:r>
          </w:p>
        </w:tc>
        <w:tc>
          <w:tcPr>
            <w:tcW w:w="7162" w:type="dxa"/>
          </w:tcPr>
          <w:p w:rsidR="00921F2C" w:rsidRPr="00921F2C" w:rsidRDefault="006F7427" w:rsidP="000671F4">
            <w:pPr>
              <w:pStyle w:val="Tabletext"/>
              <w:spacing w:before="60"/>
              <w:jc w:val="both"/>
            </w:pPr>
            <w:r>
              <w:rPr>
                <w:rFonts w:hint="cs"/>
                <w:rtl/>
              </w:rPr>
              <w:t>الأمن والخصوصية والثقة وتعرف الهوية</w:t>
            </w:r>
          </w:p>
        </w:tc>
      </w:tr>
      <w:tr w:rsidR="00921F2C" w:rsidRPr="00921F2C" w:rsidTr="000671F4">
        <w:trPr>
          <w:jc w:val="center"/>
        </w:trPr>
        <w:tc>
          <w:tcPr>
            <w:tcW w:w="2188" w:type="dxa"/>
          </w:tcPr>
          <w:p w:rsidR="00921F2C" w:rsidRPr="006F7427" w:rsidRDefault="006F7427" w:rsidP="000671F4">
            <w:pPr>
              <w:pStyle w:val="Tabletext"/>
              <w:keepNext/>
              <w:keepLines/>
              <w:spacing w:before="60"/>
              <w:rPr>
                <w:b/>
                <w:bCs/>
              </w:rPr>
            </w:pPr>
            <w:r w:rsidRPr="006F7427">
              <w:rPr>
                <w:rFonts w:hint="cs"/>
                <w:b/>
                <w:bCs/>
                <w:rtl/>
              </w:rPr>
              <w:t>فرقة العمل </w:t>
            </w:r>
            <w:r w:rsidRPr="006F7427">
              <w:rPr>
                <w:b/>
                <w:bCs/>
              </w:rPr>
              <w:t>2</w:t>
            </w:r>
          </w:p>
        </w:tc>
        <w:tc>
          <w:tcPr>
            <w:tcW w:w="7162" w:type="dxa"/>
          </w:tcPr>
          <w:p w:rsidR="00921F2C" w:rsidRPr="00921F2C" w:rsidRDefault="00921F2C" w:rsidP="000671F4">
            <w:pPr>
              <w:pStyle w:val="Tabletext"/>
              <w:keepNext/>
              <w:keepLines/>
              <w:spacing w:before="60"/>
              <w:jc w:val="both"/>
            </w:pPr>
          </w:p>
        </w:tc>
      </w:tr>
      <w:tr w:rsidR="00921F2C" w:rsidRPr="00921F2C" w:rsidTr="000671F4">
        <w:trPr>
          <w:jc w:val="center"/>
        </w:trPr>
        <w:tc>
          <w:tcPr>
            <w:tcW w:w="2188" w:type="dxa"/>
          </w:tcPr>
          <w:p w:rsidR="00921F2C" w:rsidRPr="00921F2C" w:rsidRDefault="006F7427" w:rsidP="000671F4">
            <w:pPr>
              <w:pStyle w:val="Tabletext"/>
              <w:keepNext/>
              <w:keepLines/>
              <w:spacing w:before="60"/>
            </w:pPr>
            <w:r>
              <w:rPr>
                <w:rFonts w:hint="cs"/>
                <w:rtl/>
              </w:rPr>
              <w:t>المسألة</w:t>
            </w:r>
            <w:r>
              <w:rPr>
                <w:rFonts w:hint="eastAsia"/>
                <w:rtl/>
              </w:rPr>
              <w:t> </w:t>
            </w:r>
            <w:r>
              <w:t>4/20</w:t>
            </w:r>
          </w:p>
        </w:tc>
        <w:tc>
          <w:tcPr>
            <w:tcW w:w="7162" w:type="dxa"/>
          </w:tcPr>
          <w:p w:rsidR="00921F2C" w:rsidRPr="00921F2C" w:rsidRDefault="006F7427" w:rsidP="000671F4">
            <w:pPr>
              <w:pStyle w:val="Tabletext"/>
              <w:keepNext/>
              <w:keepLines/>
              <w:spacing w:before="60"/>
              <w:jc w:val="both"/>
            </w:pPr>
            <w:r>
              <w:rPr>
                <w:rFonts w:hint="cs"/>
                <w:rtl/>
              </w:rPr>
              <w:t>المتطلبات والقدرات والقطاعات الرأسية وحالات الاستعمال</w:t>
            </w:r>
          </w:p>
        </w:tc>
      </w:tr>
      <w:tr w:rsidR="00921F2C" w:rsidRPr="00921F2C" w:rsidTr="000671F4">
        <w:trPr>
          <w:jc w:val="center"/>
        </w:trPr>
        <w:tc>
          <w:tcPr>
            <w:tcW w:w="2188" w:type="dxa"/>
          </w:tcPr>
          <w:p w:rsidR="00921F2C" w:rsidRPr="00921F2C" w:rsidRDefault="006F7427" w:rsidP="000671F4">
            <w:pPr>
              <w:pStyle w:val="Tabletext"/>
              <w:keepNext/>
              <w:keepLines/>
              <w:spacing w:before="60"/>
            </w:pPr>
            <w:r>
              <w:rPr>
                <w:rFonts w:hint="cs"/>
                <w:rtl/>
              </w:rPr>
              <w:t>المسألة</w:t>
            </w:r>
            <w:r>
              <w:rPr>
                <w:rFonts w:hint="eastAsia"/>
                <w:rtl/>
              </w:rPr>
              <w:t> </w:t>
            </w:r>
            <w:r>
              <w:t>5/20</w:t>
            </w:r>
          </w:p>
        </w:tc>
        <w:tc>
          <w:tcPr>
            <w:tcW w:w="7162" w:type="dxa"/>
          </w:tcPr>
          <w:p w:rsidR="00921F2C" w:rsidRPr="00921F2C" w:rsidRDefault="006F7427" w:rsidP="000671F4">
            <w:pPr>
              <w:pStyle w:val="Tabletext"/>
              <w:keepNext/>
              <w:keepLines/>
              <w:spacing w:before="60"/>
              <w:jc w:val="both"/>
            </w:pPr>
            <w:r>
              <w:rPr>
                <w:rFonts w:hint="cs"/>
                <w:rtl/>
              </w:rPr>
              <w:t>الأطر والمعمارية والبروتوكولات</w:t>
            </w:r>
          </w:p>
        </w:tc>
      </w:tr>
      <w:tr w:rsidR="00921F2C" w:rsidRPr="00921F2C" w:rsidTr="000671F4">
        <w:trPr>
          <w:jc w:val="center"/>
        </w:trPr>
        <w:tc>
          <w:tcPr>
            <w:tcW w:w="2188" w:type="dxa"/>
          </w:tcPr>
          <w:p w:rsidR="00921F2C" w:rsidRPr="00921F2C" w:rsidRDefault="006F7427" w:rsidP="000671F4">
            <w:pPr>
              <w:pStyle w:val="Tabletext"/>
              <w:spacing w:before="60"/>
            </w:pPr>
            <w:r>
              <w:rPr>
                <w:rFonts w:hint="cs"/>
                <w:rtl/>
              </w:rPr>
              <w:t>المسألة</w:t>
            </w:r>
            <w:r>
              <w:rPr>
                <w:rFonts w:hint="eastAsia"/>
                <w:rtl/>
              </w:rPr>
              <w:t> </w:t>
            </w:r>
            <w:r>
              <w:t>6/20</w:t>
            </w:r>
          </w:p>
        </w:tc>
        <w:tc>
          <w:tcPr>
            <w:tcW w:w="7162" w:type="dxa"/>
          </w:tcPr>
          <w:p w:rsidR="00921F2C" w:rsidRPr="00921F2C" w:rsidRDefault="006F7427" w:rsidP="000671F4">
            <w:pPr>
              <w:pStyle w:val="Tabletext"/>
              <w:spacing w:before="60"/>
              <w:jc w:val="both"/>
            </w:pPr>
            <w:r>
              <w:rPr>
                <w:rFonts w:hint="cs"/>
                <w:rtl/>
              </w:rPr>
              <w:t>الخدمات والتطبيقات والحوسبة ومعالجة البيانات</w:t>
            </w:r>
          </w:p>
        </w:tc>
      </w:tr>
      <w:tr w:rsidR="006F7427" w:rsidRPr="00921F2C" w:rsidTr="000671F4">
        <w:trPr>
          <w:jc w:val="center"/>
        </w:trPr>
        <w:tc>
          <w:tcPr>
            <w:tcW w:w="2188" w:type="dxa"/>
          </w:tcPr>
          <w:p w:rsidR="006F7427" w:rsidRPr="006F7427" w:rsidRDefault="006F7427" w:rsidP="000671F4">
            <w:pPr>
              <w:pStyle w:val="Tabletext"/>
              <w:spacing w:before="60"/>
              <w:rPr>
                <w:b/>
                <w:bCs/>
              </w:rPr>
            </w:pPr>
            <w:r w:rsidRPr="006F7427">
              <w:rPr>
                <w:rFonts w:hint="cs"/>
                <w:b/>
                <w:bCs/>
                <w:rtl/>
              </w:rPr>
              <w:t>فرقة العمل </w:t>
            </w:r>
            <w:r w:rsidRPr="006F7427">
              <w:rPr>
                <w:b/>
                <w:bCs/>
              </w:rPr>
              <w:t>3</w:t>
            </w:r>
          </w:p>
        </w:tc>
        <w:tc>
          <w:tcPr>
            <w:tcW w:w="7162" w:type="dxa"/>
          </w:tcPr>
          <w:p w:rsidR="006F7427" w:rsidRPr="00921F2C" w:rsidRDefault="006F7427" w:rsidP="000671F4">
            <w:pPr>
              <w:pStyle w:val="Tabletext"/>
              <w:spacing w:before="60"/>
              <w:jc w:val="both"/>
            </w:pPr>
          </w:p>
        </w:tc>
      </w:tr>
      <w:tr w:rsidR="00921F2C" w:rsidRPr="00921F2C" w:rsidTr="000671F4">
        <w:trPr>
          <w:jc w:val="center"/>
        </w:trPr>
        <w:tc>
          <w:tcPr>
            <w:tcW w:w="2188" w:type="dxa"/>
          </w:tcPr>
          <w:p w:rsidR="00921F2C" w:rsidRPr="00921F2C" w:rsidRDefault="006F7427" w:rsidP="000671F4">
            <w:pPr>
              <w:pStyle w:val="Tabletext"/>
              <w:spacing w:before="60"/>
            </w:pPr>
            <w:r>
              <w:rPr>
                <w:rFonts w:hint="cs"/>
                <w:rtl/>
              </w:rPr>
              <w:t>المسألة</w:t>
            </w:r>
            <w:r>
              <w:rPr>
                <w:rFonts w:hint="eastAsia"/>
                <w:rtl/>
              </w:rPr>
              <w:t> </w:t>
            </w:r>
            <w:r>
              <w:t>7/20</w:t>
            </w:r>
          </w:p>
        </w:tc>
        <w:tc>
          <w:tcPr>
            <w:tcW w:w="7162" w:type="dxa"/>
          </w:tcPr>
          <w:p w:rsidR="00921F2C" w:rsidRPr="00921F2C" w:rsidRDefault="006F7427" w:rsidP="000671F4">
            <w:pPr>
              <w:pStyle w:val="Tabletext"/>
              <w:spacing w:before="60"/>
              <w:jc w:val="both"/>
            </w:pPr>
            <w:r>
              <w:rPr>
                <w:rFonts w:hint="cs"/>
                <w:rtl/>
              </w:rPr>
              <w:t>البنية التحتية والتوصيلية والشبكات وقابلية التشغيل البيني</w:t>
            </w:r>
          </w:p>
        </w:tc>
      </w:tr>
      <w:tr w:rsidR="00921F2C" w:rsidRPr="00921F2C" w:rsidTr="000671F4">
        <w:trPr>
          <w:jc w:val="center"/>
        </w:trPr>
        <w:tc>
          <w:tcPr>
            <w:tcW w:w="2188" w:type="dxa"/>
          </w:tcPr>
          <w:p w:rsidR="00921F2C" w:rsidRPr="00921F2C" w:rsidRDefault="006F7427" w:rsidP="000671F4">
            <w:pPr>
              <w:pStyle w:val="Tabletext"/>
              <w:spacing w:before="60"/>
            </w:pPr>
            <w:r>
              <w:rPr>
                <w:rFonts w:hint="cs"/>
                <w:rtl/>
              </w:rPr>
              <w:t>المسألة</w:t>
            </w:r>
            <w:r>
              <w:rPr>
                <w:rFonts w:hint="eastAsia"/>
                <w:rtl/>
              </w:rPr>
              <w:t> </w:t>
            </w:r>
            <w:r>
              <w:t>8/20</w:t>
            </w:r>
          </w:p>
        </w:tc>
        <w:tc>
          <w:tcPr>
            <w:tcW w:w="7162" w:type="dxa"/>
          </w:tcPr>
          <w:p w:rsidR="00921F2C" w:rsidRPr="00921F2C" w:rsidRDefault="006F7427" w:rsidP="000671F4">
            <w:pPr>
              <w:pStyle w:val="Tabletext"/>
              <w:spacing w:before="60"/>
              <w:jc w:val="both"/>
            </w:pPr>
            <w:r>
              <w:rPr>
                <w:rFonts w:hint="cs"/>
                <w:rtl/>
              </w:rPr>
              <w:t>الإدارة والتحكم والأداء</w:t>
            </w:r>
          </w:p>
        </w:tc>
      </w:tr>
    </w:tbl>
    <w:p w:rsidR="00921F2C" w:rsidRDefault="00921F2C" w:rsidP="006D1C6D">
      <w:pPr>
        <w:pStyle w:val="Heading1"/>
        <w:rPr>
          <w:rtl/>
        </w:rPr>
      </w:pPr>
      <w:r>
        <w:lastRenderedPageBreak/>
        <w:t>3</w:t>
      </w:r>
      <w:r>
        <w:tab/>
      </w:r>
      <w:r w:rsidR="006F7427">
        <w:rPr>
          <w:rFonts w:hint="cs"/>
          <w:rtl/>
        </w:rPr>
        <w:t>ملخص المقترحات</w:t>
      </w:r>
    </w:p>
    <w:p w:rsidR="006F7427" w:rsidRPr="00472CFE" w:rsidRDefault="006F7427" w:rsidP="00FB53AA">
      <w:pPr>
        <w:pStyle w:val="enumlev1"/>
        <w:rPr>
          <w:spacing w:val="4"/>
          <w:rtl/>
          <w:lang w:bidi="ar-EG"/>
        </w:rPr>
      </w:pPr>
      <w:r w:rsidRPr="00472CFE">
        <w:rPr>
          <w:spacing w:val="4"/>
          <w:lang w:bidi="ar-EG"/>
        </w:rPr>
        <w:t>(1</w:t>
      </w:r>
      <w:r w:rsidRPr="00472CFE">
        <w:rPr>
          <w:spacing w:val="4"/>
          <w:lang w:bidi="ar-EG"/>
        </w:rPr>
        <w:tab/>
      </w:r>
      <w:r w:rsidRPr="00472CFE">
        <w:rPr>
          <w:rFonts w:hint="cs"/>
          <w:spacing w:val="4"/>
          <w:rtl/>
          <w:lang w:bidi="ar-EG"/>
        </w:rPr>
        <w:t>استحداث مسألة جديدة </w:t>
      </w:r>
      <w:r w:rsidRPr="00472CFE">
        <w:rPr>
          <w:spacing w:val="4"/>
          <w:lang w:bidi="ar-EG"/>
        </w:rPr>
        <w:t>2/20</w:t>
      </w:r>
      <w:r w:rsidRPr="00472CFE">
        <w:rPr>
          <w:rFonts w:hint="cs"/>
          <w:spacing w:val="4"/>
          <w:rtl/>
          <w:lang w:bidi="ar-EG"/>
        </w:rPr>
        <w:t xml:space="preserve"> للدراسة بشأن "</w:t>
      </w:r>
      <w:r w:rsidR="00FB53AA">
        <w:rPr>
          <w:rFonts w:hint="cs"/>
          <w:spacing w:val="4"/>
          <w:rtl/>
          <w:lang w:bidi="ar-EG"/>
        </w:rPr>
        <w:t>تحليل وتقييم المدن والمجتمعات الذكية</w:t>
      </w:r>
      <w:r w:rsidRPr="00472CFE">
        <w:rPr>
          <w:rFonts w:hint="cs"/>
          <w:spacing w:val="4"/>
          <w:rtl/>
          <w:lang w:bidi="ar-EG"/>
        </w:rPr>
        <w:t>".</w:t>
      </w:r>
    </w:p>
    <w:p w:rsidR="006F7427" w:rsidRPr="00472CFE" w:rsidRDefault="006F7427" w:rsidP="00FB53AA">
      <w:pPr>
        <w:pStyle w:val="enumlev1"/>
        <w:rPr>
          <w:spacing w:val="4"/>
          <w:rtl/>
          <w:lang w:bidi="ar-EG"/>
        </w:rPr>
      </w:pPr>
      <w:r w:rsidRPr="00472CFE">
        <w:rPr>
          <w:spacing w:val="4"/>
          <w:lang w:bidi="ar-EG"/>
        </w:rPr>
        <w:t>(2</w:t>
      </w:r>
      <w:r w:rsidRPr="00472CFE">
        <w:rPr>
          <w:spacing w:val="4"/>
          <w:lang w:bidi="ar-EG"/>
        </w:rPr>
        <w:tab/>
      </w:r>
      <w:r w:rsidRPr="00472CFE">
        <w:rPr>
          <w:rFonts w:hint="cs"/>
          <w:spacing w:val="4"/>
          <w:rtl/>
          <w:lang w:bidi="ar-EG"/>
        </w:rPr>
        <w:t>استحداث مسألة جديدة </w:t>
      </w:r>
      <w:r w:rsidRPr="00472CFE">
        <w:rPr>
          <w:spacing w:val="4"/>
          <w:lang w:bidi="ar-EG"/>
        </w:rPr>
        <w:t>3/20</w:t>
      </w:r>
      <w:r w:rsidRPr="00472CFE">
        <w:rPr>
          <w:rFonts w:hint="cs"/>
          <w:spacing w:val="4"/>
          <w:rtl/>
          <w:lang w:bidi="ar-EG"/>
        </w:rPr>
        <w:t xml:space="preserve"> للدراسة بشأن "</w:t>
      </w:r>
      <w:r w:rsidR="00FB53AA">
        <w:rPr>
          <w:rFonts w:hint="cs"/>
          <w:spacing w:val="4"/>
          <w:rtl/>
          <w:lang w:bidi="ar-EG"/>
        </w:rPr>
        <w:t>الأمن والخصوصية والثقة وتعرّف الهوية</w:t>
      </w:r>
      <w:r w:rsidRPr="00472CFE">
        <w:rPr>
          <w:rFonts w:hint="cs"/>
          <w:spacing w:val="4"/>
          <w:rtl/>
          <w:lang w:bidi="ar-EG"/>
        </w:rPr>
        <w:t>".</w:t>
      </w:r>
    </w:p>
    <w:p w:rsidR="006F7427" w:rsidRDefault="006F7427" w:rsidP="00816630">
      <w:pPr>
        <w:pStyle w:val="enumlev1"/>
        <w:rPr>
          <w:rtl/>
          <w:lang w:bidi="ar-EG"/>
        </w:rPr>
      </w:pPr>
      <w:r>
        <w:rPr>
          <w:lang w:bidi="ar-EG"/>
        </w:rPr>
        <w:t>(3</w:t>
      </w:r>
      <w:r>
        <w:rPr>
          <w:lang w:bidi="ar-EG"/>
        </w:rPr>
        <w:tab/>
      </w:r>
      <w:r>
        <w:rPr>
          <w:rFonts w:hint="cs"/>
          <w:rtl/>
          <w:lang w:bidi="ar-EG"/>
        </w:rPr>
        <w:t>تعديل هيكل لجنة الدراسات </w:t>
      </w:r>
      <w:r>
        <w:rPr>
          <w:lang w:bidi="ar-EG"/>
        </w:rPr>
        <w:t>20</w:t>
      </w:r>
      <w:r>
        <w:rPr>
          <w:rFonts w:hint="cs"/>
          <w:rtl/>
          <w:lang w:bidi="ar-EG"/>
        </w:rPr>
        <w:t xml:space="preserve"> كما هو مبين في</w:t>
      </w:r>
      <w:r w:rsidR="00816630">
        <w:rPr>
          <w:rFonts w:hint="eastAsia"/>
          <w:rtl/>
          <w:lang w:bidi="ar-EG"/>
        </w:rPr>
        <w:t> </w:t>
      </w:r>
      <w:r>
        <w:rPr>
          <w:rFonts w:hint="cs"/>
          <w:rtl/>
          <w:lang w:bidi="ar-EG"/>
        </w:rPr>
        <w:t>المقترح</w:t>
      </w:r>
      <w:r w:rsidR="00816630">
        <w:rPr>
          <w:rFonts w:hint="eastAsia"/>
          <w:rtl/>
          <w:lang w:bidi="ar-EG"/>
        </w:rPr>
        <w:t> </w:t>
      </w:r>
      <w:r>
        <w:rPr>
          <w:lang w:bidi="ar-EG"/>
        </w:rPr>
        <w:t>ARB/043A32/3</w:t>
      </w:r>
      <w:r>
        <w:rPr>
          <w:rFonts w:hint="cs"/>
          <w:rtl/>
          <w:lang w:bidi="ar-EG"/>
        </w:rPr>
        <w:t xml:space="preserve"> من أجل تحقيق مزيد من التآزر بين مسائل لجنة الدراسات </w:t>
      </w:r>
      <w:r>
        <w:rPr>
          <w:lang w:bidi="ar-EG"/>
        </w:rPr>
        <w:t>20</w:t>
      </w:r>
      <w:r>
        <w:rPr>
          <w:rFonts w:hint="cs"/>
          <w:rtl/>
          <w:lang w:bidi="ar-EG"/>
        </w:rPr>
        <w:t xml:space="preserve"> والحد من التداخل المحتمل بين المسائل وللوصول إلى هيكل أكثر اعتمادية وتركيزاً وتنظيماً.</w:t>
      </w:r>
    </w:p>
    <w:p w:rsidR="006F7427" w:rsidRDefault="006F7427" w:rsidP="00C32703">
      <w:pPr>
        <w:pStyle w:val="enumlev1"/>
        <w:rPr>
          <w:rtl/>
          <w:lang w:bidi="ar-EG"/>
        </w:rPr>
      </w:pPr>
      <w:r>
        <w:rPr>
          <w:lang w:bidi="ar-EG"/>
        </w:rPr>
        <w:t>(4</w:t>
      </w:r>
      <w:r>
        <w:rPr>
          <w:lang w:bidi="ar-EG"/>
        </w:rPr>
        <w:tab/>
      </w:r>
      <w:r>
        <w:rPr>
          <w:rFonts w:hint="cs"/>
          <w:rtl/>
          <w:lang w:bidi="ar-EG"/>
        </w:rPr>
        <w:t>دعوة الجمعية العالمية لتقييس الاتصالات لعام </w:t>
      </w:r>
      <w:r>
        <w:rPr>
          <w:lang w:bidi="ar-EG"/>
        </w:rPr>
        <w:t>2016</w:t>
      </w:r>
      <w:r>
        <w:rPr>
          <w:rFonts w:hint="cs"/>
          <w:rtl/>
          <w:lang w:bidi="ar-EG"/>
        </w:rPr>
        <w:t xml:space="preserve"> إلى مناقشة الهيكل العام المقترح والنظر فيه والموافقة على المسائل الجديدة</w:t>
      </w:r>
      <w:r w:rsidR="00C32703">
        <w:rPr>
          <w:rFonts w:hint="eastAsia"/>
          <w:rtl/>
          <w:lang w:bidi="ar-EG"/>
        </w:rPr>
        <w:t> </w:t>
      </w:r>
      <w:r>
        <w:rPr>
          <w:rFonts w:hint="cs"/>
          <w:rtl/>
          <w:lang w:bidi="ar-EG"/>
        </w:rPr>
        <w:t>المقترحة.</w:t>
      </w:r>
    </w:p>
    <w:p w:rsidR="006F7427" w:rsidRPr="006F7427" w:rsidRDefault="006F7427" w:rsidP="00816630">
      <w:pPr>
        <w:pStyle w:val="enumlev1"/>
        <w:rPr>
          <w:rtl/>
          <w:lang w:bidi="ar-EG"/>
        </w:rPr>
      </w:pPr>
      <w:r>
        <w:rPr>
          <w:lang w:bidi="ar-EG"/>
        </w:rPr>
        <w:t>(5</w:t>
      </w:r>
      <w:r>
        <w:rPr>
          <w:rtl/>
          <w:lang w:bidi="ar-EG"/>
        </w:rPr>
        <w:tab/>
      </w:r>
      <w:r>
        <w:rPr>
          <w:rFonts w:hint="cs"/>
          <w:rtl/>
          <w:lang w:bidi="ar-EG"/>
        </w:rPr>
        <w:t>دعوة الجمعية العالمية لتقييس الاتصالات لعام </w:t>
      </w:r>
      <w:r>
        <w:rPr>
          <w:lang w:bidi="ar-EG"/>
        </w:rPr>
        <w:t>2016</w:t>
      </w:r>
      <w:r w:rsidR="00816630">
        <w:rPr>
          <w:rFonts w:hint="cs"/>
          <w:rtl/>
          <w:lang w:bidi="ar-EG"/>
        </w:rPr>
        <w:t xml:space="preserve"> إلى أن تكلف ل</w:t>
      </w:r>
      <w:r>
        <w:rPr>
          <w:rFonts w:hint="cs"/>
          <w:rtl/>
          <w:lang w:bidi="ar-EG"/>
        </w:rPr>
        <w:t>جنة الدراسات </w:t>
      </w:r>
      <w:r>
        <w:rPr>
          <w:lang w:bidi="ar-EG"/>
        </w:rPr>
        <w:t>20</w:t>
      </w:r>
      <w:r>
        <w:rPr>
          <w:rFonts w:hint="cs"/>
          <w:rtl/>
          <w:lang w:bidi="ar-EG"/>
        </w:rPr>
        <w:t xml:space="preserve"> بأن تقوم في</w:t>
      </w:r>
      <w:r w:rsidR="00816630">
        <w:rPr>
          <w:rFonts w:hint="eastAsia"/>
          <w:rtl/>
          <w:lang w:bidi="ar-EG"/>
        </w:rPr>
        <w:t> </w:t>
      </w:r>
      <w:r>
        <w:rPr>
          <w:rFonts w:hint="cs"/>
          <w:rtl/>
          <w:lang w:bidi="ar-EG"/>
        </w:rPr>
        <w:t>اجتماعها الأول بعد الجمعية بوضع اللمسات الأخيرة للهيكل ووضع النصوص المناسبة للمسائل المتبقية (المسائل</w:t>
      </w:r>
      <w:r w:rsidR="00816630">
        <w:rPr>
          <w:rFonts w:hint="eastAsia"/>
          <w:rtl/>
          <w:lang w:bidi="ar-EG"/>
        </w:rPr>
        <w:t> </w:t>
      </w:r>
      <w:r w:rsidR="00816630">
        <w:rPr>
          <w:lang w:bidi="ar-EG"/>
        </w:rPr>
        <w:t>1/20</w:t>
      </w:r>
      <w:r w:rsidR="00816630">
        <w:rPr>
          <w:rFonts w:hint="cs"/>
          <w:rtl/>
          <w:lang w:bidi="ar-EG"/>
        </w:rPr>
        <w:t xml:space="preserve"> و</w:t>
      </w:r>
      <w:r>
        <w:rPr>
          <w:lang w:bidi="ar-EG"/>
        </w:rPr>
        <w:t>4/20</w:t>
      </w:r>
      <w:r>
        <w:rPr>
          <w:rFonts w:hint="cs"/>
          <w:rtl/>
          <w:lang w:bidi="ar-EG"/>
        </w:rPr>
        <w:t xml:space="preserve"> </w:t>
      </w:r>
      <w:r w:rsidR="00816630">
        <w:rPr>
          <w:rFonts w:hint="cs"/>
          <w:rtl/>
          <w:lang w:bidi="ar-EG"/>
        </w:rPr>
        <w:t>و</w:t>
      </w:r>
      <w:r w:rsidR="00816630">
        <w:rPr>
          <w:lang w:bidi="ar-EG"/>
        </w:rPr>
        <w:t>5/20</w:t>
      </w:r>
      <w:r w:rsidR="00816630">
        <w:rPr>
          <w:rFonts w:hint="cs"/>
          <w:rtl/>
          <w:lang w:bidi="ar-EG"/>
        </w:rPr>
        <w:t xml:space="preserve"> </w:t>
      </w:r>
      <w:r>
        <w:rPr>
          <w:rFonts w:hint="cs"/>
          <w:rtl/>
          <w:lang w:bidi="ar-EG"/>
        </w:rPr>
        <w:t>و</w:t>
      </w:r>
      <w:r>
        <w:rPr>
          <w:lang w:bidi="ar-EG"/>
        </w:rPr>
        <w:t>6/20</w:t>
      </w:r>
      <w:r>
        <w:rPr>
          <w:rFonts w:hint="cs"/>
          <w:rtl/>
          <w:lang w:bidi="ar-EG"/>
        </w:rPr>
        <w:t xml:space="preserve"> و</w:t>
      </w:r>
      <w:r>
        <w:rPr>
          <w:lang w:bidi="ar-EG"/>
        </w:rPr>
        <w:t>7/20</w:t>
      </w:r>
      <w:r>
        <w:rPr>
          <w:rFonts w:hint="cs"/>
          <w:rtl/>
          <w:lang w:bidi="ar-EG"/>
        </w:rPr>
        <w:t xml:space="preserve"> و</w:t>
      </w:r>
      <w:r>
        <w:rPr>
          <w:lang w:bidi="ar-EG"/>
        </w:rPr>
        <w:t>8/20</w:t>
      </w:r>
      <w:r>
        <w:rPr>
          <w:rFonts w:hint="cs"/>
          <w:rtl/>
          <w:lang w:bidi="ar-EG"/>
        </w:rPr>
        <w:t>) مع مراعاة نتائج هذه الجمعية.</w:t>
      </w:r>
    </w:p>
    <w:p w:rsidR="00275693" w:rsidRPr="00B2539B" w:rsidRDefault="00275693">
      <w:pPr>
        <w:pStyle w:val="Reasons"/>
        <w:rPr>
          <w:b w:val="0"/>
          <w:bCs w:val="0"/>
          <w:rtl/>
        </w:rPr>
      </w:pPr>
    </w:p>
    <w:p w:rsidR="006F7427" w:rsidRPr="006F7427" w:rsidRDefault="006F7427" w:rsidP="006F7427">
      <w:pPr>
        <w:spacing w:before="360"/>
        <w:jc w:val="center"/>
      </w:pPr>
      <w:r>
        <w:rPr>
          <w:rFonts w:hint="cs"/>
          <w:rtl/>
        </w:rPr>
        <w:t>___________</w:t>
      </w:r>
    </w:p>
    <w:sectPr w:rsidR="006F7427" w:rsidRPr="006F7427">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FE" w:rsidRDefault="00472CFE" w:rsidP="00E07379">
      <w:pPr>
        <w:spacing w:before="0" w:line="240" w:lineRule="auto"/>
      </w:pPr>
      <w:r>
        <w:separator/>
      </w:r>
    </w:p>
  </w:endnote>
  <w:endnote w:type="continuationSeparator" w:id="0">
    <w:p w:rsidR="00472CFE" w:rsidRDefault="00472CFE"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FE" w:rsidRPr="00147DFA" w:rsidRDefault="00472CFE" w:rsidP="00E34AA8">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147DFA">
      <w:rPr>
        <w:rFonts w:cs="Times New Roman"/>
        <w:sz w:val="16"/>
        <w:szCs w:val="16"/>
        <w:lang w:val="fr-CH"/>
      </w:rPr>
      <w:instrText xml:space="preserve"> FILENAME \p \* MERGEFORMAT </w:instrText>
    </w:r>
    <w:r w:rsidRPr="00E07379">
      <w:rPr>
        <w:rFonts w:cs="Times New Roman"/>
        <w:sz w:val="16"/>
        <w:szCs w:val="16"/>
      </w:rPr>
      <w:fldChar w:fldCharType="separate"/>
    </w:r>
    <w:r w:rsidR="00BE1B07">
      <w:rPr>
        <w:rFonts w:cs="Times New Roman"/>
        <w:noProof/>
        <w:sz w:val="16"/>
        <w:szCs w:val="16"/>
        <w:lang w:val="fr-CH"/>
      </w:rPr>
      <w:t>P:\ARA\ITU-T\CONF-T\WTSA16\000\043ADD32A.docx</w:t>
    </w:r>
    <w:r w:rsidRPr="00E07379">
      <w:rPr>
        <w:rFonts w:cs="Times New Roman"/>
        <w:sz w:val="16"/>
        <w:szCs w:val="16"/>
      </w:rPr>
      <w:fldChar w:fldCharType="end"/>
    </w:r>
    <w:r w:rsidR="00E34AA8">
      <w:rPr>
        <w:rFonts w:cs="Times New Roman"/>
        <w:sz w:val="16"/>
        <w:szCs w:val="16"/>
        <w:lang w:val="fr-CH"/>
      </w:rPr>
      <w:t>   </w:t>
    </w:r>
    <w:r w:rsidRPr="00147DFA">
      <w:rPr>
        <w:rFonts w:cs="Times New Roman"/>
        <w:sz w:val="16"/>
        <w:szCs w:val="16"/>
        <w:lang w:val="fr-CH"/>
      </w:rPr>
      <w:t>(406907)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FE" w:rsidRPr="00147DFA" w:rsidRDefault="00472CFE" w:rsidP="00E34AA8">
    <w:pPr>
      <w:pStyle w:val="Footer"/>
      <w:rPr>
        <w:szCs w:val="12"/>
        <w:lang w:val="fr-CH"/>
      </w:rPr>
    </w:pPr>
    <w:r w:rsidRPr="0022345D">
      <w:rPr>
        <w:szCs w:val="12"/>
      </w:rPr>
      <w:fldChar w:fldCharType="begin"/>
    </w:r>
    <w:r w:rsidRPr="00147DFA">
      <w:rPr>
        <w:szCs w:val="12"/>
        <w:lang w:val="fr-CH"/>
      </w:rPr>
      <w:instrText xml:space="preserve"> FILENAME \p  \* MERGEFORMAT </w:instrText>
    </w:r>
    <w:r w:rsidRPr="0022345D">
      <w:rPr>
        <w:szCs w:val="12"/>
      </w:rPr>
      <w:fldChar w:fldCharType="separate"/>
    </w:r>
    <w:r w:rsidR="00BE1B07">
      <w:rPr>
        <w:noProof/>
        <w:szCs w:val="12"/>
        <w:lang w:val="fr-CH"/>
      </w:rPr>
      <w:t>P:\ARA\ITU-T\CONF-T\WTSA16\000\043ADD32A.docx</w:t>
    </w:r>
    <w:r w:rsidRPr="0022345D">
      <w:rPr>
        <w:szCs w:val="12"/>
      </w:rPr>
      <w:fldChar w:fldCharType="end"/>
    </w:r>
    <w:r w:rsidR="00E34AA8">
      <w:rPr>
        <w:szCs w:val="12"/>
        <w:lang w:val="fr-CH"/>
      </w:rPr>
      <w:t>   </w:t>
    </w:r>
    <w:r w:rsidRPr="00147DFA">
      <w:rPr>
        <w:szCs w:val="12"/>
        <w:lang w:val="fr-CH"/>
      </w:rPr>
      <w:t>(406907)</w:t>
    </w:r>
  </w:p>
  <w:p w:rsidR="00472CFE" w:rsidRPr="00147DFA" w:rsidRDefault="00472CFE"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FE" w:rsidRDefault="00472CFE" w:rsidP="00E07379">
      <w:pPr>
        <w:spacing w:before="0" w:line="240" w:lineRule="auto"/>
      </w:pPr>
      <w:r>
        <w:separator/>
      </w:r>
    </w:p>
  </w:footnote>
  <w:footnote w:type="continuationSeparator" w:id="0">
    <w:p w:rsidR="00472CFE" w:rsidRDefault="00472CFE"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FE" w:rsidRPr="005D6C0D" w:rsidRDefault="00472CFE"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F71487">
      <w:rPr>
        <w:rStyle w:val="PageNumber"/>
        <w:noProof/>
        <w:sz w:val="18"/>
        <w:szCs w:val="18"/>
      </w:rPr>
      <w:t>9</w:t>
    </w:r>
    <w:r w:rsidRPr="005D6C0D">
      <w:rPr>
        <w:rStyle w:val="PageNumber"/>
        <w:sz w:val="18"/>
        <w:szCs w:val="18"/>
      </w:rPr>
      <w:fldChar w:fldCharType="end"/>
    </w:r>
    <w:r w:rsidRPr="005D6C0D">
      <w:rPr>
        <w:rStyle w:val="PageNumber"/>
        <w:sz w:val="18"/>
        <w:szCs w:val="18"/>
        <w:rtl/>
      </w:rPr>
      <w:br/>
    </w:r>
    <w:r w:rsidRPr="005D6C0D">
      <w:rPr>
        <w:sz w:val="18"/>
        <w:szCs w:val="24"/>
      </w:rPr>
      <w:t>WTSA16/43(Add.32)-A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258C6"/>
    <w:rsid w:val="00046444"/>
    <w:rsid w:val="0006023B"/>
    <w:rsid w:val="000671F4"/>
    <w:rsid w:val="0008638B"/>
    <w:rsid w:val="00090574"/>
    <w:rsid w:val="00092FC2"/>
    <w:rsid w:val="000A1677"/>
    <w:rsid w:val="000B407F"/>
    <w:rsid w:val="000C20C4"/>
    <w:rsid w:val="000C46CB"/>
    <w:rsid w:val="000F0B1C"/>
    <w:rsid w:val="000F1D42"/>
    <w:rsid w:val="000F4D07"/>
    <w:rsid w:val="00102A03"/>
    <w:rsid w:val="001040A3"/>
    <w:rsid w:val="0011112D"/>
    <w:rsid w:val="00111A31"/>
    <w:rsid w:val="00137DCF"/>
    <w:rsid w:val="00147DFA"/>
    <w:rsid w:val="00173915"/>
    <w:rsid w:val="001E62A6"/>
    <w:rsid w:val="0022345D"/>
    <w:rsid w:val="00225854"/>
    <w:rsid w:val="0023283D"/>
    <w:rsid w:val="0024408D"/>
    <w:rsid w:val="00251E2C"/>
    <w:rsid w:val="00252E0C"/>
    <w:rsid w:val="00275693"/>
    <w:rsid w:val="00276881"/>
    <w:rsid w:val="002978F4"/>
    <w:rsid w:val="002B028D"/>
    <w:rsid w:val="002B435E"/>
    <w:rsid w:val="002C4DAE"/>
    <w:rsid w:val="002E6541"/>
    <w:rsid w:val="002F5560"/>
    <w:rsid w:val="0030486B"/>
    <w:rsid w:val="003231B9"/>
    <w:rsid w:val="003275AC"/>
    <w:rsid w:val="00333D29"/>
    <w:rsid w:val="003409F4"/>
    <w:rsid w:val="00357185"/>
    <w:rsid w:val="003A57CE"/>
    <w:rsid w:val="003A7197"/>
    <w:rsid w:val="003C475F"/>
    <w:rsid w:val="003E4132"/>
    <w:rsid w:val="003F5C76"/>
    <w:rsid w:val="003F678F"/>
    <w:rsid w:val="0042686F"/>
    <w:rsid w:val="00427F1E"/>
    <w:rsid w:val="004367CE"/>
    <w:rsid w:val="004407D0"/>
    <w:rsid w:val="00443869"/>
    <w:rsid w:val="00446A0F"/>
    <w:rsid w:val="0045029F"/>
    <w:rsid w:val="00451793"/>
    <w:rsid w:val="004712C6"/>
    <w:rsid w:val="00472CFE"/>
    <w:rsid w:val="0048299D"/>
    <w:rsid w:val="00497703"/>
    <w:rsid w:val="004F0F06"/>
    <w:rsid w:val="00501E0E"/>
    <w:rsid w:val="005204D7"/>
    <w:rsid w:val="00530420"/>
    <w:rsid w:val="005459FD"/>
    <w:rsid w:val="00552BC5"/>
    <w:rsid w:val="0055516A"/>
    <w:rsid w:val="0056374C"/>
    <w:rsid w:val="0056614F"/>
    <w:rsid w:val="0057656F"/>
    <w:rsid w:val="00576731"/>
    <w:rsid w:val="0059285F"/>
    <w:rsid w:val="005A24B1"/>
    <w:rsid w:val="005A3075"/>
    <w:rsid w:val="005B7B8A"/>
    <w:rsid w:val="005D6476"/>
    <w:rsid w:val="005D6C0D"/>
    <w:rsid w:val="005E5283"/>
    <w:rsid w:val="005E58F5"/>
    <w:rsid w:val="005F0750"/>
    <w:rsid w:val="005F7286"/>
    <w:rsid w:val="00606660"/>
    <w:rsid w:val="006157A3"/>
    <w:rsid w:val="00620E60"/>
    <w:rsid w:val="0063315A"/>
    <w:rsid w:val="0065591D"/>
    <w:rsid w:val="00662C5A"/>
    <w:rsid w:val="00670AF5"/>
    <w:rsid w:val="00681583"/>
    <w:rsid w:val="006C1556"/>
    <w:rsid w:val="006D1C6D"/>
    <w:rsid w:val="006D543A"/>
    <w:rsid w:val="006F267F"/>
    <w:rsid w:val="006F63F7"/>
    <w:rsid w:val="006F6F03"/>
    <w:rsid w:val="006F7427"/>
    <w:rsid w:val="00706D7A"/>
    <w:rsid w:val="007102A2"/>
    <w:rsid w:val="00726AEC"/>
    <w:rsid w:val="007530CA"/>
    <w:rsid w:val="00764EC0"/>
    <w:rsid w:val="0079553D"/>
    <w:rsid w:val="007B01CC"/>
    <w:rsid w:val="007F6238"/>
    <w:rsid w:val="007F646C"/>
    <w:rsid w:val="00801FCD"/>
    <w:rsid w:val="00803D7E"/>
    <w:rsid w:val="00803F08"/>
    <w:rsid w:val="00815EA3"/>
    <w:rsid w:val="00816630"/>
    <w:rsid w:val="008235CD"/>
    <w:rsid w:val="00823A07"/>
    <w:rsid w:val="00835FEC"/>
    <w:rsid w:val="00842AF9"/>
    <w:rsid w:val="008513CB"/>
    <w:rsid w:val="00874D9C"/>
    <w:rsid w:val="00874FAE"/>
    <w:rsid w:val="008A1810"/>
    <w:rsid w:val="008A2450"/>
    <w:rsid w:val="008A2F9F"/>
    <w:rsid w:val="008E01D3"/>
    <w:rsid w:val="00917694"/>
    <w:rsid w:val="00921F2C"/>
    <w:rsid w:val="009263CD"/>
    <w:rsid w:val="00930A7E"/>
    <w:rsid w:val="00930E6D"/>
    <w:rsid w:val="00972CA2"/>
    <w:rsid w:val="00982B28"/>
    <w:rsid w:val="009839F2"/>
    <w:rsid w:val="00984EA5"/>
    <w:rsid w:val="00992593"/>
    <w:rsid w:val="009C17E1"/>
    <w:rsid w:val="009C35ED"/>
    <w:rsid w:val="009D1B17"/>
    <w:rsid w:val="009F1C12"/>
    <w:rsid w:val="009F20E9"/>
    <w:rsid w:val="009F7510"/>
    <w:rsid w:val="00A25A43"/>
    <w:rsid w:val="00A3295B"/>
    <w:rsid w:val="00A42AE5"/>
    <w:rsid w:val="00A52B61"/>
    <w:rsid w:val="00A64820"/>
    <w:rsid w:val="00A71DD6"/>
    <w:rsid w:val="00A723C7"/>
    <w:rsid w:val="00A77B52"/>
    <w:rsid w:val="00A80E11"/>
    <w:rsid w:val="00A85ECC"/>
    <w:rsid w:val="00A97F94"/>
    <w:rsid w:val="00AA738C"/>
    <w:rsid w:val="00AB1309"/>
    <w:rsid w:val="00AC2C52"/>
    <w:rsid w:val="00AD1503"/>
    <w:rsid w:val="00AE7244"/>
    <w:rsid w:val="00AF3FEE"/>
    <w:rsid w:val="00B02F46"/>
    <w:rsid w:val="00B2000C"/>
    <w:rsid w:val="00B20ADE"/>
    <w:rsid w:val="00B223F8"/>
    <w:rsid w:val="00B2539B"/>
    <w:rsid w:val="00B66B9A"/>
    <w:rsid w:val="00B7679B"/>
    <w:rsid w:val="00B82089"/>
    <w:rsid w:val="00B970AE"/>
    <w:rsid w:val="00BA1427"/>
    <w:rsid w:val="00BA754A"/>
    <w:rsid w:val="00BE1B07"/>
    <w:rsid w:val="00BE49D0"/>
    <w:rsid w:val="00BF2C38"/>
    <w:rsid w:val="00C0687E"/>
    <w:rsid w:val="00C13BE2"/>
    <w:rsid w:val="00C21555"/>
    <w:rsid w:val="00C23331"/>
    <w:rsid w:val="00C265DA"/>
    <w:rsid w:val="00C32703"/>
    <w:rsid w:val="00C442F2"/>
    <w:rsid w:val="00C674FE"/>
    <w:rsid w:val="00C7297D"/>
    <w:rsid w:val="00C75633"/>
    <w:rsid w:val="00C8242E"/>
    <w:rsid w:val="00C82615"/>
    <w:rsid w:val="00C867DB"/>
    <w:rsid w:val="00CA2A38"/>
    <w:rsid w:val="00CA50FF"/>
    <w:rsid w:val="00CA578B"/>
    <w:rsid w:val="00CC3CD2"/>
    <w:rsid w:val="00CC43BE"/>
    <w:rsid w:val="00CD123C"/>
    <w:rsid w:val="00CD2085"/>
    <w:rsid w:val="00CE2EE1"/>
    <w:rsid w:val="00CF3FFD"/>
    <w:rsid w:val="00CF7B83"/>
    <w:rsid w:val="00D0494C"/>
    <w:rsid w:val="00D14BEB"/>
    <w:rsid w:val="00D21C89"/>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474E"/>
    <w:rsid w:val="00E17033"/>
    <w:rsid w:val="00E32189"/>
    <w:rsid w:val="00E34AA8"/>
    <w:rsid w:val="00E45211"/>
    <w:rsid w:val="00E5557B"/>
    <w:rsid w:val="00E7380C"/>
    <w:rsid w:val="00E74BE7"/>
    <w:rsid w:val="00E86CC9"/>
    <w:rsid w:val="00E94F0E"/>
    <w:rsid w:val="00E96624"/>
    <w:rsid w:val="00ED7089"/>
    <w:rsid w:val="00F126F1"/>
    <w:rsid w:val="00F2029D"/>
    <w:rsid w:val="00F2106A"/>
    <w:rsid w:val="00F27125"/>
    <w:rsid w:val="00F27B63"/>
    <w:rsid w:val="00F36D8B"/>
    <w:rsid w:val="00F401D0"/>
    <w:rsid w:val="00F407DF"/>
    <w:rsid w:val="00F45F2B"/>
    <w:rsid w:val="00F57AE4"/>
    <w:rsid w:val="00F659D5"/>
    <w:rsid w:val="00F67150"/>
    <w:rsid w:val="00F71487"/>
    <w:rsid w:val="00F80256"/>
    <w:rsid w:val="00F84366"/>
    <w:rsid w:val="00F85089"/>
    <w:rsid w:val="00F85564"/>
    <w:rsid w:val="00F86CFA"/>
    <w:rsid w:val="00F87E00"/>
    <w:rsid w:val="00F9207A"/>
    <w:rsid w:val="00F96BB9"/>
    <w:rsid w:val="00FB53A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7F6238"/>
    <w:rPr>
      <w:rFonts w:ascii="Times New Roman" w:hAnsi="Times New Roman" w:cs="Times New Roman"/>
      <w:b w:val="0"/>
      <w:bCs w:val="0"/>
      <w:i w:val="0"/>
      <w:iCs w:val="0"/>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F6238"/>
    <w:pPr>
      <w:spacing w:before="240"/>
      <w:jc w:val="left"/>
    </w:pPr>
    <w:rPr>
      <w:rFonts w:ascii="Times New Roman Bold" w:hAnsi="Times New Roman Bold"/>
      <w:b/>
      <w:bCs/>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link w:val="HeadingbChar"/>
    <w:qFormat/>
    <w:rsid w:val="007F6238"/>
    <w:pPr>
      <w:spacing w:before="180"/>
    </w:p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7F6238"/>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bCs/>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7F6238"/>
    <w:rPr>
      <w:rFonts w:ascii="Times New Roman" w:hAnsi="Times New Roman" w:cs="Times New Roman"/>
      <w:b w:val="0"/>
      <w:bCs w:val="0"/>
      <w:i w:val="0"/>
      <w:iCs w:val="0"/>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F6238"/>
    <w:pPr>
      <w:jc w:val="center"/>
    </w:pPr>
    <w:rPr>
      <w:rFonts w:ascii="Times New Roman italic" w:hAnsi="Times New Roman italic"/>
      <w:i/>
      <w:iCs/>
    </w:rPr>
  </w:style>
  <w:style w:type="paragraph" w:customStyle="1" w:styleId="Resref">
    <w:name w:val="Res_ref"/>
    <w:basedOn w:val="Recref"/>
    <w:qFormat/>
    <w:rsid w:val="007F6238"/>
    <w:rPr>
      <w:iCs w:val="0"/>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eadingbChar">
    <w:name w:val="Heading_b Char"/>
    <w:basedOn w:val="DefaultParagraphFont"/>
    <w:link w:val="Headingb"/>
    <w:rsid w:val="00F87E00"/>
    <w:rPr>
      <w:rFonts w:ascii="Times New Roman Bold" w:eastAsia="Times New Roman" w:hAnsi="Times New Roman Bold" w:cs="Traditional Arabic"/>
      <w:b/>
      <w:bCs/>
      <w:kern w:val="14"/>
      <w:sz w:val="24"/>
      <w:szCs w:val="3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T13-SG20-151019-TD-GEN-0003/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tu.int/md/T13-TSAG-150602-TD-GEN-0322/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itu.int/ITU-T/workprog/wp_search.aspx?Q=xx/2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13-TSAG-160201-TD-GEN-0368/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CC73F53E643B5956215EB24B5ECFA"/>
        <w:category>
          <w:name w:val="General"/>
          <w:gallery w:val="placeholder"/>
        </w:category>
        <w:types>
          <w:type w:val="bbPlcHdr"/>
        </w:types>
        <w:behaviors>
          <w:behavior w:val="content"/>
        </w:behaviors>
        <w:guid w:val="{00F74087-EB70-408D-8E22-C7803FC4DF36}"/>
      </w:docPartPr>
      <w:docPartBody>
        <w:p w:rsidR="00EC2D0A" w:rsidRDefault="00607E6F" w:rsidP="00607E6F">
          <w:pPr>
            <w:pStyle w:val="456CC73F53E643B5956215EB24B5ECFA"/>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F"/>
    <w:rsid w:val="003A0EA4"/>
    <w:rsid w:val="00571E4A"/>
    <w:rsid w:val="00607E6F"/>
    <w:rsid w:val="007C4934"/>
    <w:rsid w:val="00820FC4"/>
    <w:rsid w:val="00A45CF0"/>
    <w:rsid w:val="00AA1FC3"/>
    <w:rsid w:val="00B206A4"/>
    <w:rsid w:val="00B93E8B"/>
    <w:rsid w:val="00C86757"/>
    <w:rsid w:val="00D21850"/>
    <w:rsid w:val="00D94A21"/>
    <w:rsid w:val="00DB71BC"/>
    <w:rsid w:val="00EC2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E6F"/>
    <w:rPr>
      <w:color w:val="808080"/>
    </w:rPr>
  </w:style>
  <w:style w:type="paragraph" w:customStyle="1" w:styleId="456CC73F53E643B5956215EB24B5ECFA">
    <w:name w:val="456CC73F53E643B5956215EB24B5ECFA"/>
    <w:rsid w:val="0060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3e3b5d7-7174-4b37-af14-6c89cd68f995" targetNamespace="http://schemas.microsoft.com/office/2006/metadata/properties" ma:root="true" ma:fieldsID="d41af5c836d734370eb92e7ee5f83852" ns2:_="" ns3:_="">
    <xsd:import namespace="996b2e75-67fd-4955-a3b0-5ab9934cb50b"/>
    <xsd:import namespace="e3e3b5d7-7174-4b37-af14-6c89cd68f99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3e3b5d7-7174-4b37-af14-6c89cd68f99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3e3b5d7-7174-4b37-af14-6c89cd68f995">Documents Proposals Manager (DPM)</DPM_x0020_Author>
    <DPM_x0020_File_x0020_name xmlns="e3e3b5d7-7174-4b37-af14-6c89cd68f995">T13-WTSA.16-C-0043!A32!MSW-A</DPM_x0020_File_x0020_name>
    <DPM_x0020_Version xmlns="e3e3b5d7-7174-4b37-af14-6c89cd68f995">DPM_v2016.10.17.1_prod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3e3b5d7-7174-4b37-af14-6c89cd68f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e3e3b5d7-7174-4b37-af14-6c89cd68f995"/>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38BC9E54-396A-4727-A466-16AC3060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9</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T13-WTSA.16-C-0043!A32!MSW-A</vt:lpstr>
    </vt:vector>
  </TitlesOfParts>
  <Company>International Telecommunication Union (ITU)</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T13-WTSA.16-C-0043!A32!MSW-A</dc:title>
  <dc:subject>World Telecommunication Standardization Assembly</dc:subject>
  <dc:creator>Documents Proposals Manager (DPM)</dc:creator>
  <cp:keywords>DPM_v2016.10.17.1_prod</cp:keywords>
  <dc:description>Template used by DPM and CPI for the WTSA-16</dc:description>
  <cp:lastModifiedBy>Awad, Samy</cp:lastModifiedBy>
  <cp:revision>44</cp:revision>
  <cp:lastPrinted>2016-10-19T10:20:00Z</cp:lastPrinted>
  <dcterms:created xsi:type="dcterms:W3CDTF">2016-10-19T07:12:00Z</dcterms:created>
  <dcterms:modified xsi:type="dcterms:W3CDTF">2016-10-24T08:42:00Z</dcterms:modified>
  <cp:category>Conference document</cp:category>
</cp:coreProperties>
</file>