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RPr="008D7579" w:rsidTr="00530525">
        <w:trPr>
          <w:cantSplit/>
        </w:trPr>
        <w:tc>
          <w:tcPr>
            <w:tcW w:w="1382" w:type="dxa"/>
            <w:vAlign w:val="center"/>
          </w:tcPr>
          <w:p w:rsidR="00CF1E9D" w:rsidRPr="008D7579" w:rsidRDefault="00CF1E9D" w:rsidP="00DA3C15">
            <w:pPr>
              <w:rPr>
                <w:rFonts w:ascii="Verdana" w:hAnsi="Verdana" w:cs="Times New Roman Bold"/>
                <w:b/>
                <w:bCs/>
                <w:sz w:val="22"/>
                <w:szCs w:val="22"/>
                <w:lang w:val="fr-FR"/>
              </w:rPr>
            </w:pPr>
            <w:r w:rsidRPr="008D7579">
              <w:rPr>
                <w:noProof/>
                <w:lang w:val="en-US" w:eastAsia="zh-CN"/>
              </w:rPr>
              <w:drawing>
                <wp:inline distT="0" distB="0" distL="0" distR="0" wp14:anchorId="48947CAE" wp14:editId="037FF156">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8D7579" w:rsidRDefault="001D581B" w:rsidP="00DA3C15">
            <w:pPr>
              <w:rPr>
                <w:rFonts w:ascii="Verdana" w:hAnsi="Verdana" w:cs="Times New Roman Bold"/>
                <w:b/>
                <w:bCs/>
                <w:sz w:val="22"/>
                <w:szCs w:val="22"/>
                <w:lang w:val="fr-FR"/>
              </w:rPr>
            </w:pPr>
            <w:r w:rsidRPr="008D7579">
              <w:rPr>
                <w:rFonts w:ascii="Verdana" w:hAnsi="Verdana" w:cs="Times New Roman Bold"/>
                <w:b/>
                <w:bCs/>
                <w:szCs w:val="24"/>
                <w:lang w:val="fr-FR"/>
              </w:rPr>
              <w:t xml:space="preserve">Assemblée mondiale de normalisation </w:t>
            </w:r>
            <w:r w:rsidR="00C26BA2" w:rsidRPr="008D7579">
              <w:rPr>
                <w:rFonts w:ascii="Verdana" w:hAnsi="Verdana" w:cs="Times New Roman Bold"/>
                <w:b/>
                <w:bCs/>
                <w:szCs w:val="24"/>
                <w:lang w:val="fr-FR"/>
              </w:rPr>
              <w:br/>
            </w:r>
            <w:r w:rsidRPr="008D7579">
              <w:rPr>
                <w:rFonts w:ascii="Verdana" w:hAnsi="Verdana" w:cs="Times New Roman Bold"/>
                <w:b/>
                <w:bCs/>
                <w:szCs w:val="24"/>
                <w:lang w:val="fr-FR"/>
              </w:rPr>
              <w:t xml:space="preserve">des télécommunications </w:t>
            </w:r>
            <w:r w:rsidR="00CF1E9D" w:rsidRPr="008D7579">
              <w:rPr>
                <w:rFonts w:ascii="Verdana" w:hAnsi="Verdana" w:cs="Times New Roman Bold"/>
                <w:b/>
                <w:bCs/>
                <w:szCs w:val="24"/>
                <w:lang w:val="fr-FR"/>
              </w:rPr>
              <w:t>(</w:t>
            </w:r>
            <w:r w:rsidRPr="008D7579">
              <w:rPr>
                <w:rFonts w:ascii="Verdana" w:hAnsi="Verdana" w:cs="Times New Roman Bold"/>
                <w:b/>
                <w:bCs/>
                <w:szCs w:val="24"/>
                <w:lang w:val="fr-FR"/>
              </w:rPr>
              <w:t>AMNT</w:t>
            </w:r>
            <w:r w:rsidR="00CF1E9D" w:rsidRPr="008D7579">
              <w:rPr>
                <w:rFonts w:ascii="Verdana" w:hAnsi="Verdana" w:cs="Times New Roman Bold"/>
                <w:b/>
                <w:bCs/>
                <w:szCs w:val="24"/>
                <w:lang w:val="fr-FR"/>
              </w:rPr>
              <w:t>-16)</w:t>
            </w:r>
            <w:r w:rsidR="00CF1E9D" w:rsidRPr="008D7579">
              <w:rPr>
                <w:rFonts w:ascii="Verdana" w:hAnsi="Verdana" w:cs="Times New Roman Bold"/>
                <w:b/>
                <w:bCs/>
                <w:sz w:val="22"/>
                <w:szCs w:val="22"/>
                <w:lang w:val="fr-FR"/>
              </w:rPr>
              <w:br/>
            </w:r>
            <w:r w:rsidR="00CF1E9D" w:rsidRPr="008D7579">
              <w:rPr>
                <w:rFonts w:ascii="Verdana" w:hAnsi="Verdana" w:cs="Times New Roman Bold"/>
                <w:b/>
                <w:bCs/>
                <w:sz w:val="18"/>
                <w:szCs w:val="18"/>
                <w:lang w:val="fr-FR"/>
              </w:rPr>
              <w:t xml:space="preserve">Hammamet, 25 </w:t>
            </w:r>
            <w:r w:rsidRPr="008D7579">
              <w:rPr>
                <w:rFonts w:ascii="Verdana" w:hAnsi="Verdana" w:cs="Times New Roman Bold"/>
                <w:b/>
                <w:bCs/>
                <w:sz w:val="18"/>
                <w:szCs w:val="18"/>
                <w:lang w:val="fr-FR"/>
              </w:rPr>
              <w:t>o</w:t>
            </w:r>
            <w:r w:rsidR="00CF1E9D" w:rsidRPr="008D7579">
              <w:rPr>
                <w:rFonts w:ascii="Verdana" w:hAnsi="Verdana" w:cs="Times New Roman Bold"/>
                <w:b/>
                <w:bCs/>
                <w:sz w:val="18"/>
                <w:szCs w:val="18"/>
                <w:lang w:val="fr-FR"/>
              </w:rPr>
              <w:t>ct</w:t>
            </w:r>
            <w:r w:rsidR="00C26BA2" w:rsidRPr="008D7579">
              <w:rPr>
                <w:rFonts w:ascii="Verdana" w:hAnsi="Verdana" w:cs="Times New Roman Bold"/>
                <w:b/>
                <w:bCs/>
                <w:sz w:val="18"/>
                <w:szCs w:val="18"/>
                <w:lang w:val="fr-FR"/>
              </w:rPr>
              <w:t xml:space="preserve">obre </w:t>
            </w:r>
            <w:r w:rsidR="00CF1E9D" w:rsidRPr="008D7579">
              <w:rPr>
                <w:rFonts w:ascii="Verdana" w:hAnsi="Verdana" w:cs="Times New Roman Bold"/>
                <w:b/>
                <w:bCs/>
                <w:sz w:val="18"/>
                <w:szCs w:val="18"/>
                <w:lang w:val="fr-FR"/>
              </w:rPr>
              <w:t>-</w:t>
            </w:r>
            <w:r w:rsidR="00C26BA2" w:rsidRPr="008D7579">
              <w:rPr>
                <w:rFonts w:ascii="Verdana" w:hAnsi="Verdana" w:cs="Times New Roman Bold"/>
                <w:b/>
                <w:bCs/>
                <w:sz w:val="18"/>
                <w:szCs w:val="18"/>
                <w:lang w:val="fr-FR"/>
              </w:rPr>
              <w:t xml:space="preserve"> </w:t>
            </w:r>
            <w:r w:rsidR="00CF1E9D" w:rsidRPr="008D7579">
              <w:rPr>
                <w:rFonts w:ascii="Verdana" w:hAnsi="Verdana" w:cs="Times New Roman Bold"/>
                <w:b/>
                <w:bCs/>
                <w:sz w:val="18"/>
                <w:szCs w:val="18"/>
                <w:lang w:val="fr-FR"/>
              </w:rPr>
              <w:t xml:space="preserve">3 </w:t>
            </w:r>
            <w:r w:rsidRPr="008D7579">
              <w:rPr>
                <w:rFonts w:ascii="Verdana" w:hAnsi="Verdana" w:cs="Times New Roman Bold"/>
                <w:b/>
                <w:bCs/>
                <w:sz w:val="18"/>
                <w:szCs w:val="18"/>
                <w:lang w:val="fr-FR"/>
              </w:rPr>
              <w:t>n</w:t>
            </w:r>
            <w:r w:rsidR="00CF1E9D" w:rsidRPr="008D7579">
              <w:rPr>
                <w:rFonts w:ascii="Verdana" w:hAnsi="Verdana" w:cs="Times New Roman Bold"/>
                <w:b/>
                <w:bCs/>
                <w:sz w:val="18"/>
                <w:szCs w:val="18"/>
                <w:lang w:val="fr-FR"/>
              </w:rPr>
              <w:t>ov</w:t>
            </w:r>
            <w:r w:rsidR="00C26BA2" w:rsidRPr="008D7579">
              <w:rPr>
                <w:rFonts w:ascii="Verdana" w:hAnsi="Verdana" w:cs="Times New Roman Bold"/>
                <w:b/>
                <w:bCs/>
                <w:sz w:val="18"/>
                <w:szCs w:val="18"/>
                <w:lang w:val="fr-FR"/>
              </w:rPr>
              <w:t>embre</w:t>
            </w:r>
            <w:r w:rsidR="00CF1E9D" w:rsidRPr="008D7579">
              <w:rPr>
                <w:rFonts w:ascii="Verdana" w:hAnsi="Verdana" w:cs="Times New Roman Bold"/>
                <w:b/>
                <w:bCs/>
                <w:sz w:val="18"/>
                <w:szCs w:val="18"/>
                <w:lang w:val="fr-FR"/>
              </w:rPr>
              <w:t xml:space="preserve"> 2016</w:t>
            </w:r>
          </w:p>
        </w:tc>
        <w:tc>
          <w:tcPr>
            <w:tcW w:w="2440" w:type="dxa"/>
            <w:vAlign w:val="center"/>
          </w:tcPr>
          <w:p w:rsidR="00CF1E9D" w:rsidRPr="008D7579" w:rsidRDefault="00CF1E9D" w:rsidP="00DA3C15">
            <w:pPr>
              <w:spacing w:before="0"/>
              <w:jc w:val="right"/>
              <w:rPr>
                <w:lang w:val="fr-FR"/>
              </w:rPr>
            </w:pPr>
            <w:r w:rsidRPr="008D7579">
              <w:rPr>
                <w:noProof/>
                <w:lang w:val="en-US" w:eastAsia="zh-CN"/>
              </w:rPr>
              <w:drawing>
                <wp:inline distT="0" distB="0" distL="0" distR="0" wp14:anchorId="5E5A26B7" wp14:editId="438C1658">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8D7579" w:rsidTr="00530525">
        <w:trPr>
          <w:cantSplit/>
        </w:trPr>
        <w:tc>
          <w:tcPr>
            <w:tcW w:w="6804" w:type="dxa"/>
            <w:gridSpan w:val="2"/>
            <w:tcBorders>
              <w:bottom w:val="single" w:sz="12" w:space="0" w:color="auto"/>
            </w:tcBorders>
          </w:tcPr>
          <w:p w:rsidR="00595780" w:rsidRPr="008D7579" w:rsidRDefault="00595780" w:rsidP="00DA3C15">
            <w:pPr>
              <w:spacing w:before="0"/>
              <w:rPr>
                <w:lang w:val="fr-FR"/>
              </w:rPr>
            </w:pPr>
          </w:p>
        </w:tc>
        <w:tc>
          <w:tcPr>
            <w:tcW w:w="3007" w:type="dxa"/>
            <w:gridSpan w:val="2"/>
            <w:tcBorders>
              <w:bottom w:val="single" w:sz="12" w:space="0" w:color="auto"/>
            </w:tcBorders>
          </w:tcPr>
          <w:p w:rsidR="00595780" w:rsidRPr="008D7579" w:rsidRDefault="00595780" w:rsidP="00DA3C15">
            <w:pPr>
              <w:spacing w:before="0"/>
              <w:rPr>
                <w:lang w:val="fr-FR"/>
              </w:rPr>
            </w:pPr>
          </w:p>
        </w:tc>
      </w:tr>
      <w:tr w:rsidR="001D581B" w:rsidRPr="008D7579" w:rsidTr="00530525">
        <w:trPr>
          <w:cantSplit/>
        </w:trPr>
        <w:tc>
          <w:tcPr>
            <w:tcW w:w="6804" w:type="dxa"/>
            <w:gridSpan w:val="2"/>
            <w:tcBorders>
              <w:top w:val="single" w:sz="12" w:space="0" w:color="auto"/>
            </w:tcBorders>
          </w:tcPr>
          <w:p w:rsidR="00595780" w:rsidRPr="008D7579" w:rsidRDefault="00595780" w:rsidP="00DA3C15">
            <w:pPr>
              <w:spacing w:before="0"/>
              <w:rPr>
                <w:lang w:val="fr-FR"/>
              </w:rPr>
            </w:pPr>
          </w:p>
        </w:tc>
        <w:tc>
          <w:tcPr>
            <w:tcW w:w="3007" w:type="dxa"/>
            <w:gridSpan w:val="2"/>
          </w:tcPr>
          <w:p w:rsidR="00595780" w:rsidRPr="008D7579" w:rsidRDefault="00595780" w:rsidP="00DA3C15">
            <w:pPr>
              <w:spacing w:before="0"/>
              <w:rPr>
                <w:rFonts w:ascii="Verdana" w:hAnsi="Verdana"/>
                <w:b/>
                <w:bCs/>
                <w:sz w:val="20"/>
                <w:lang w:val="fr-FR"/>
              </w:rPr>
            </w:pPr>
          </w:p>
        </w:tc>
      </w:tr>
      <w:tr w:rsidR="00C26BA2" w:rsidRPr="008D7579" w:rsidTr="00530525">
        <w:trPr>
          <w:cantSplit/>
        </w:trPr>
        <w:tc>
          <w:tcPr>
            <w:tcW w:w="6804" w:type="dxa"/>
            <w:gridSpan w:val="2"/>
          </w:tcPr>
          <w:p w:rsidR="00C26BA2" w:rsidRPr="008D7579" w:rsidRDefault="002B2A4F" w:rsidP="00DA3C15">
            <w:pPr>
              <w:spacing w:before="0"/>
              <w:rPr>
                <w:lang w:val="fr-FR"/>
              </w:rPr>
            </w:pPr>
            <w:r w:rsidRPr="008D7579">
              <w:rPr>
                <w:rFonts w:ascii="Verdana" w:hAnsi="Verdana"/>
                <w:b/>
                <w:sz w:val="20"/>
                <w:lang w:val="fr-FR"/>
              </w:rPr>
              <w:t>SÉANCE PLÉNIÈRE</w:t>
            </w:r>
          </w:p>
        </w:tc>
        <w:tc>
          <w:tcPr>
            <w:tcW w:w="3007" w:type="dxa"/>
            <w:gridSpan w:val="2"/>
          </w:tcPr>
          <w:p w:rsidR="00C26BA2" w:rsidRPr="008D7579" w:rsidRDefault="002B2A4F" w:rsidP="00DA3C15">
            <w:pPr>
              <w:spacing w:before="0"/>
              <w:rPr>
                <w:rFonts w:ascii="Verdana" w:hAnsi="Verdana"/>
                <w:b/>
                <w:sz w:val="20"/>
                <w:lang w:val="fr-FR"/>
              </w:rPr>
            </w:pPr>
            <w:r w:rsidRPr="008D7579">
              <w:rPr>
                <w:rFonts w:ascii="Verdana" w:hAnsi="Verdana"/>
                <w:b/>
                <w:sz w:val="20"/>
                <w:lang w:val="fr-FR"/>
              </w:rPr>
              <w:t>Addendum 31 au</w:t>
            </w:r>
          </w:p>
          <w:p w:rsidR="002B2A4F" w:rsidRPr="008D7579" w:rsidRDefault="002B2A4F" w:rsidP="00DA3C15">
            <w:pPr>
              <w:spacing w:before="0"/>
              <w:rPr>
                <w:rFonts w:ascii="Verdana" w:hAnsi="Verdana"/>
                <w:sz w:val="20"/>
                <w:lang w:val="fr-FR"/>
              </w:rPr>
            </w:pPr>
            <w:r w:rsidRPr="008D7579">
              <w:rPr>
                <w:rFonts w:ascii="Verdana" w:hAnsi="Verdana"/>
                <w:b/>
                <w:sz w:val="20"/>
                <w:lang w:val="fr-FR"/>
              </w:rPr>
              <w:t>Document 43-F</w:t>
            </w:r>
          </w:p>
        </w:tc>
      </w:tr>
      <w:tr w:rsidR="001D581B" w:rsidRPr="008D7579" w:rsidTr="00530525">
        <w:trPr>
          <w:cantSplit/>
        </w:trPr>
        <w:tc>
          <w:tcPr>
            <w:tcW w:w="6804" w:type="dxa"/>
            <w:gridSpan w:val="2"/>
          </w:tcPr>
          <w:p w:rsidR="00595780" w:rsidRPr="008D7579" w:rsidRDefault="00595780" w:rsidP="00DA3C15">
            <w:pPr>
              <w:spacing w:before="0"/>
              <w:rPr>
                <w:lang w:val="fr-FR"/>
              </w:rPr>
            </w:pPr>
          </w:p>
        </w:tc>
        <w:tc>
          <w:tcPr>
            <w:tcW w:w="3007" w:type="dxa"/>
            <w:gridSpan w:val="2"/>
          </w:tcPr>
          <w:p w:rsidR="00595780" w:rsidRPr="008D7579" w:rsidRDefault="002B2A4F" w:rsidP="00DA3C15">
            <w:pPr>
              <w:spacing w:before="0"/>
              <w:rPr>
                <w:lang w:val="fr-FR"/>
              </w:rPr>
            </w:pPr>
            <w:r w:rsidRPr="008D7579">
              <w:rPr>
                <w:rFonts w:ascii="Verdana" w:hAnsi="Verdana"/>
                <w:b/>
                <w:sz w:val="20"/>
                <w:lang w:val="fr-FR"/>
              </w:rPr>
              <w:t>10 octobre 2016</w:t>
            </w:r>
          </w:p>
        </w:tc>
      </w:tr>
      <w:tr w:rsidR="001D581B" w:rsidRPr="008D7579" w:rsidTr="00530525">
        <w:trPr>
          <w:cantSplit/>
        </w:trPr>
        <w:tc>
          <w:tcPr>
            <w:tcW w:w="6804" w:type="dxa"/>
            <w:gridSpan w:val="2"/>
          </w:tcPr>
          <w:p w:rsidR="00595780" w:rsidRPr="008D7579" w:rsidRDefault="00595780" w:rsidP="00DA3C15">
            <w:pPr>
              <w:spacing w:before="0"/>
              <w:rPr>
                <w:lang w:val="fr-FR"/>
              </w:rPr>
            </w:pPr>
          </w:p>
        </w:tc>
        <w:tc>
          <w:tcPr>
            <w:tcW w:w="3007" w:type="dxa"/>
            <w:gridSpan w:val="2"/>
          </w:tcPr>
          <w:p w:rsidR="00595780" w:rsidRPr="008D7579" w:rsidRDefault="002B2A4F" w:rsidP="00DA3C15">
            <w:pPr>
              <w:spacing w:before="0"/>
              <w:rPr>
                <w:lang w:val="fr-FR"/>
              </w:rPr>
            </w:pPr>
            <w:r w:rsidRPr="008D7579">
              <w:rPr>
                <w:rFonts w:ascii="Verdana" w:hAnsi="Verdana"/>
                <w:b/>
                <w:sz w:val="20"/>
                <w:lang w:val="fr-FR"/>
              </w:rPr>
              <w:t>original: anglais</w:t>
            </w:r>
          </w:p>
        </w:tc>
      </w:tr>
      <w:tr w:rsidR="000032AD" w:rsidRPr="008D7579" w:rsidTr="00530525">
        <w:trPr>
          <w:cantSplit/>
        </w:trPr>
        <w:tc>
          <w:tcPr>
            <w:tcW w:w="9811" w:type="dxa"/>
            <w:gridSpan w:val="4"/>
          </w:tcPr>
          <w:p w:rsidR="000032AD" w:rsidRPr="008D7579" w:rsidRDefault="000032AD" w:rsidP="00DA3C15">
            <w:pPr>
              <w:spacing w:before="0"/>
              <w:rPr>
                <w:rFonts w:ascii="Verdana" w:hAnsi="Verdana"/>
                <w:b/>
                <w:bCs/>
                <w:sz w:val="20"/>
                <w:lang w:val="fr-FR"/>
              </w:rPr>
            </w:pPr>
          </w:p>
        </w:tc>
      </w:tr>
      <w:tr w:rsidR="00595780" w:rsidRPr="008D7579" w:rsidTr="00530525">
        <w:trPr>
          <w:cantSplit/>
        </w:trPr>
        <w:tc>
          <w:tcPr>
            <w:tcW w:w="9811" w:type="dxa"/>
            <w:gridSpan w:val="4"/>
          </w:tcPr>
          <w:p w:rsidR="00595780" w:rsidRPr="008D7579" w:rsidRDefault="002B2A4F" w:rsidP="00DA3C15">
            <w:pPr>
              <w:pStyle w:val="Source"/>
              <w:rPr>
                <w:lang w:val="fr-FR"/>
              </w:rPr>
            </w:pPr>
            <w:r w:rsidRPr="008D7579">
              <w:rPr>
                <w:lang w:val="fr-FR"/>
              </w:rPr>
              <w:t xml:space="preserve">Administrations des </w:t>
            </w:r>
            <w:proofErr w:type="spellStart"/>
            <w:r w:rsidRPr="008D7579">
              <w:rPr>
                <w:lang w:val="fr-FR"/>
              </w:rPr>
              <w:t>Etats</w:t>
            </w:r>
            <w:proofErr w:type="spellEnd"/>
            <w:r w:rsidRPr="008D7579">
              <w:rPr>
                <w:lang w:val="fr-FR"/>
              </w:rPr>
              <w:t xml:space="preserve"> arabes</w:t>
            </w:r>
          </w:p>
        </w:tc>
      </w:tr>
      <w:tr w:rsidR="00595780" w:rsidRPr="00D92CA7" w:rsidTr="00530525">
        <w:trPr>
          <w:cantSplit/>
        </w:trPr>
        <w:tc>
          <w:tcPr>
            <w:tcW w:w="9811" w:type="dxa"/>
            <w:gridSpan w:val="4"/>
          </w:tcPr>
          <w:p w:rsidR="00595780" w:rsidRPr="008D7579" w:rsidRDefault="00DA3C15" w:rsidP="00DA3C15">
            <w:pPr>
              <w:pStyle w:val="Title1"/>
              <w:rPr>
                <w:lang w:val="fr-FR"/>
              </w:rPr>
            </w:pPr>
            <w:r w:rsidRPr="008D7579">
              <w:rPr>
                <w:lang w:val="fr-FR"/>
              </w:rPr>
              <w:t>Appui de l'administration des E</w:t>
            </w:r>
            <w:r w:rsidR="00255506" w:rsidRPr="008D7579">
              <w:rPr>
                <w:lang w:val="fr-FR"/>
              </w:rPr>
              <w:t>tats arabes à l</w:t>
            </w:r>
            <w:r w:rsidRPr="008D7579">
              <w:rPr>
                <w:lang w:val="fr-FR"/>
              </w:rPr>
              <w:t>'</w:t>
            </w:r>
            <w:r w:rsidR="00255506" w:rsidRPr="008D7579">
              <w:rPr>
                <w:lang w:val="fr-FR"/>
              </w:rPr>
              <w:t xml:space="preserve">approbation des recommandations UIT-T D.52, D.53, D.97 et D.261 et </w:t>
            </w:r>
            <w:r w:rsidR="008D7579">
              <w:rPr>
                <w:lang w:val="fr-FR"/>
              </w:rPr>
              <w:br/>
            </w:r>
            <w:r w:rsidR="00255506" w:rsidRPr="008D7579">
              <w:rPr>
                <w:lang w:val="fr-FR"/>
              </w:rPr>
              <w:t>du projet de recommandation UIT-T D.271 révisée</w:t>
            </w:r>
          </w:p>
        </w:tc>
      </w:tr>
      <w:tr w:rsidR="00595780" w:rsidRPr="00D92CA7" w:rsidTr="00530525">
        <w:trPr>
          <w:cantSplit/>
        </w:trPr>
        <w:tc>
          <w:tcPr>
            <w:tcW w:w="9811" w:type="dxa"/>
            <w:gridSpan w:val="4"/>
          </w:tcPr>
          <w:p w:rsidR="00595780" w:rsidRPr="008D7579" w:rsidRDefault="00595780" w:rsidP="00DA3C15">
            <w:pPr>
              <w:pStyle w:val="Title2"/>
              <w:spacing w:before="0"/>
              <w:rPr>
                <w:lang w:val="fr-FR"/>
              </w:rPr>
            </w:pPr>
          </w:p>
        </w:tc>
      </w:tr>
      <w:tr w:rsidR="00C26BA2" w:rsidRPr="00D92CA7" w:rsidTr="00530525">
        <w:trPr>
          <w:cantSplit/>
        </w:trPr>
        <w:tc>
          <w:tcPr>
            <w:tcW w:w="9811" w:type="dxa"/>
            <w:gridSpan w:val="4"/>
          </w:tcPr>
          <w:p w:rsidR="00C26BA2" w:rsidRPr="008D7579" w:rsidRDefault="00C26BA2" w:rsidP="00DA3C15">
            <w:pPr>
              <w:pStyle w:val="Agendaitem"/>
              <w:rPr>
                <w:lang w:val="fr-FR"/>
              </w:rPr>
            </w:pPr>
          </w:p>
        </w:tc>
      </w:tr>
    </w:tbl>
    <w:p w:rsidR="00E11197" w:rsidRPr="008D7579" w:rsidRDefault="00E11197" w:rsidP="00DA3C15">
      <w:pPr>
        <w:rPr>
          <w:lang w:val="fr-FR"/>
        </w:rPr>
      </w:pPr>
    </w:p>
    <w:tbl>
      <w:tblPr>
        <w:tblW w:w="5089" w:type="pct"/>
        <w:tblLayout w:type="fixed"/>
        <w:tblLook w:val="0000" w:firstRow="0" w:lastRow="0" w:firstColumn="0" w:lastColumn="0" w:noHBand="0" w:noVBand="0"/>
      </w:tblPr>
      <w:tblGrid>
        <w:gridCol w:w="1912"/>
        <w:gridCol w:w="7899"/>
      </w:tblGrid>
      <w:tr w:rsidR="00E11197" w:rsidRPr="00D92CA7" w:rsidTr="00193AD1">
        <w:trPr>
          <w:cantSplit/>
        </w:trPr>
        <w:tc>
          <w:tcPr>
            <w:tcW w:w="1951" w:type="dxa"/>
          </w:tcPr>
          <w:p w:rsidR="00E11197" w:rsidRPr="008D7579" w:rsidRDefault="00E11197" w:rsidP="00DA3C15">
            <w:pPr>
              <w:rPr>
                <w:lang w:val="fr-FR"/>
              </w:rPr>
            </w:pPr>
            <w:r w:rsidRPr="008D7579">
              <w:rPr>
                <w:b/>
                <w:bCs/>
                <w:lang w:val="fr-FR"/>
              </w:rPr>
              <w:t>Résumé:</w:t>
            </w:r>
          </w:p>
        </w:tc>
        <w:sdt>
          <w:sdtPr>
            <w:rPr>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8D7579" w:rsidRDefault="00255506" w:rsidP="00DA3C15">
                <w:pPr>
                  <w:rPr>
                    <w:color w:val="000000" w:themeColor="text1"/>
                    <w:lang w:val="fr-FR"/>
                  </w:rPr>
                </w:pPr>
                <w:proofErr w:type="spellStart"/>
                <w:r w:rsidRPr="008D7579">
                  <w:rPr>
                    <w:lang w:val="fr-FR"/>
                  </w:rPr>
                  <w:t>A</w:t>
                </w:r>
                <w:proofErr w:type="spellEnd"/>
                <w:r w:rsidRPr="008D7579">
                  <w:rPr>
                    <w:lang w:val="fr-FR"/>
                  </w:rPr>
                  <w:t xml:space="preserve"> sa dernière réunion tenue du 22 février au 1er mars 2016 à Genève, la Commission d</w:t>
                </w:r>
                <w:r w:rsidR="00DA3C15" w:rsidRPr="008D7579">
                  <w:rPr>
                    <w:lang w:val="fr-FR"/>
                  </w:rPr>
                  <w:t>'</w:t>
                </w:r>
                <w:r w:rsidRPr="008D7579">
                  <w:rPr>
                    <w:lang w:val="fr-FR"/>
                  </w:rPr>
                  <w:t>études 3 de l</w:t>
                </w:r>
                <w:r w:rsidR="00DA3C15" w:rsidRPr="008D7579">
                  <w:rPr>
                    <w:lang w:val="fr-FR"/>
                  </w:rPr>
                  <w:t>'</w:t>
                </w:r>
                <w:r w:rsidRPr="008D7579">
                  <w:rPr>
                    <w:lang w:val="fr-FR"/>
                  </w:rPr>
                  <w:t xml:space="preserve">UIT-T a déterminé cinq nouveaux projets de </w:t>
                </w:r>
                <w:r w:rsidR="00FB6826" w:rsidRPr="008D7579">
                  <w:rPr>
                    <w:lang w:val="fr-FR"/>
                  </w:rPr>
                  <w:t>R</w:t>
                </w:r>
                <w:r w:rsidRPr="008D7579">
                  <w:rPr>
                    <w:lang w:val="fr-FR"/>
                  </w:rPr>
                  <w:t xml:space="preserve">ecommandation, qui figurent dans la </w:t>
                </w:r>
                <w:r w:rsidR="00FB6826" w:rsidRPr="008D7579">
                  <w:rPr>
                    <w:lang w:val="fr-FR"/>
                  </w:rPr>
                  <w:t>C</w:t>
                </w:r>
                <w:r w:rsidRPr="008D7579">
                  <w:rPr>
                    <w:lang w:val="fr-FR"/>
                  </w:rPr>
                  <w:t xml:space="preserve">irculaire en date du 23 mai 2016 et </w:t>
                </w:r>
                <w:r w:rsidR="003A5CFF" w:rsidRPr="008D7579">
                  <w:rPr>
                    <w:lang w:val="fr-FR"/>
                  </w:rPr>
                  <w:t>s</w:t>
                </w:r>
                <w:r w:rsidRPr="008D7579">
                  <w:rPr>
                    <w:lang w:val="fr-FR"/>
                  </w:rPr>
                  <w:t xml:space="preserve">ont actuellement </w:t>
                </w:r>
                <w:r w:rsidR="003A5CFF" w:rsidRPr="008D7579">
                  <w:rPr>
                    <w:lang w:val="fr-FR"/>
                  </w:rPr>
                  <w:t>examinés</w:t>
                </w:r>
                <w:r w:rsidR="007B07ED" w:rsidRPr="008D7579">
                  <w:rPr>
                    <w:lang w:val="fr-FR"/>
                  </w:rPr>
                  <w:t xml:space="preserve"> </w:t>
                </w:r>
                <w:r w:rsidRPr="008D7579">
                  <w:rPr>
                    <w:lang w:val="fr-FR"/>
                  </w:rPr>
                  <w:t xml:space="preserve">par les </w:t>
                </w:r>
                <w:proofErr w:type="spellStart"/>
                <w:r w:rsidRPr="008D7579">
                  <w:rPr>
                    <w:lang w:val="fr-FR"/>
                  </w:rPr>
                  <w:t>Etats</w:t>
                </w:r>
                <w:proofErr w:type="spellEnd"/>
                <w:r w:rsidRPr="008D7579">
                  <w:rPr>
                    <w:lang w:val="fr-FR"/>
                  </w:rPr>
                  <w:t xml:space="preserve"> Membres. </w:t>
                </w:r>
              </w:p>
            </w:tc>
          </w:sdtContent>
        </w:sdt>
      </w:tr>
    </w:tbl>
    <w:p w:rsidR="00F776DF" w:rsidRPr="008D7579" w:rsidRDefault="00F776DF" w:rsidP="00DA3C15">
      <w:pPr>
        <w:tabs>
          <w:tab w:val="clear" w:pos="1134"/>
          <w:tab w:val="clear" w:pos="1871"/>
          <w:tab w:val="clear" w:pos="2268"/>
        </w:tabs>
        <w:overflowPunct/>
        <w:autoSpaceDE/>
        <w:autoSpaceDN/>
        <w:adjustRightInd/>
        <w:spacing w:before="0"/>
        <w:textAlignment w:val="auto"/>
        <w:rPr>
          <w:lang w:val="fr-FR"/>
        </w:rPr>
      </w:pPr>
    </w:p>
    <w:p w:rsidR="00F776DF" w:rsidRPr="008D7579" w:rsidRDefault="00F776DF" w:rsidP="00DA3C15">
      <w:pPr>
        <w:tabs>
          <w:tab w:val="clear" w:pos="1134"/>
          <w:tab w:val="clear" w:pos="1871"/>
          <w:tab w:val="clear" w:pos="2268"/>
        </w:tabs>
        <w:overflowPunct/>
        <w:autoSpaceDE/>
        <w:autoSpaceDN/>
        <w:adjustRightInd/>
        <w:spacing w:before="0"/>
        <w:textAlignment w:val="auto"/>
        <w:rPr>
          <w:lang w:val="fr-FR"/>
        </w:rPr>
      </w:pPr>
      <w:r w:rsidRPr="008D7579">
        <w:rPr>
          <w:lang w:val="fr-FR"/>
        </w:rPr>
        <w:br w:type="page"/>
      </w:r>
    </w:p>
    <w:p w:rsidR="00A1422D" w:rsidRDefault="00A1422D" w:rsidP="00A1422D">
      <w:pPr>
        <w:pStyle w:val="Proposal"/>
      </w:pPr>
      <w:r>
        <w:lastRenderedPageBreak/>
        <w:tab/>
        <w:t>ARB/43A31/1</w:t>
      </w:r>
    </w:p>
    <w:p w:rsidR="00FA1E3E" w:rsidRPr="008D7579" w:rsidRDefault="007B07ED" w:rsidP="00DA3C15">
      <w:pPr>
        <w:pStyle w:val="Title4"/>
        <w:rPr>
          <w:lang w:val="fr-FR"/>
        </w:rPr>
      </w:pPr>
      <w:r w:rsidRPr="008D7579">
        <w:rPr>
          <w:lang w:val="fr-FR"/>
        </w:rPr>
        <w:t>Questions d</w:t>
      </w:r>
      <w:r w:rsidR="00DA3C15" w:rsidRPr="008D7579">
        <w:rPr>
          <w:lang w:val="fr-FR"/>
        </w:rPr>
        <w:t>'</w:t>
      </w:r>
      <w:r w:rsidRPr="008D7579">
        <w:rPr>
          <w:lang w:val="fr-FR"/>
        </w:rPr>
        <w:t>ordre général</w:t>
      </w:r>
    </w:p>
    <w:p w:rsidR="00FA1E3E" w:rsidRPr="008D7579" w:rsidRDefault="00255506" w:rsidP="00DA3C15">
      <w:pPr>
        <w:pStyle w:val="Title4"/>
        <w:rPr>
          <w:lang w:val="fr-FR"/>
        </w:rPr>
      </w:pPr>
      <w:r w:rsidRPr="008D7579">
        <w:rPr>
          <w:lang w:val="fr-FR"/>
        </w:rPr>
        <w:t xml:space="preserve">Recommandations déterminées par </w:t>
      </w:r>
      <w:r w:rsidR="007B07ED" w:rsidRPr="008D7579">
        <w:rPr>
          <w:lang w:val="fr-FR"/>
        </w:rPr>
        <w:t>la Commission d</w:t>
      </w:r>
      <w:r w:rsidR="00DA3C15" w:rsidRPr="008D7579">
        <w:rPr>
          <w:lang w:val="fr-FR"/>
        </w:rPr>
        <w:t>'</w:t>
      </w:r>
      <w:r w:rsidR="007B07ED" w:rsidRPr="008D7579">
        <w:rPr>
          <w:lang w:val="fr-FR"/>
        </w:rPr>
        <w:t>études</w:t>
      </w:r>
      <w:r w:rsidRPr="008D7579">
        <w:rPr>
          <w:lang w:val="fr-FR"/>
        </w:rPr>
        <w:t xml:space="preserve"> 3 de l</w:t>
      </w:r>
      <w:r w:rsidR="00DA3C15" w:rsidRPr="008D7579">
        <w:rPr>
          <w:lang w:val="fr-FR"/>
        </w:rPr>
        <w:t>'</w:t>
      </w:r>
      <w:r w:rsidRPr="008D7579">
        <w:rPr>
          <w:lang w:val="fr-FR"/>
        </w:rPr>
        <w:t>UIT-T</w:t>
      </w:r>
    </w:p>
    <w:p w:rsidR="00255506" w:rsidRPr="008D7579" w:rsidRDefault="00255506" w:rsidP="00DA3C15">
      <w:pPr>
        <w:pStyle w:val="Heading1"/>
        <w:rPr>
          <w:lang w:val="fr-FR"/>
        </w:rPr>
      </w:pPr>
      <w:r w:rsidRPr="008D7579">
        <w:rPr>
          <w:lang w:val="fr-FR"/>
        </w:rPr>
        <w:t>1</w:t>
      </w:r>
      <w:r w:rsidRPr="008D7579">
        <w:rPr>
          <w:lang w:val="fr-FR"/>
        </w:rPr>
        <w:tab/>
        <w:t xml:space="preserve">Projet de nouvelle Recommandation UIT-T D.52, Création et raccordement de points d'échange Internet (IXP) régionaux pour réduire les coûts de la connectivité Internet internationale </w:t>
      </w:r>
    </w:p>
    <w:p w:rsidR="003E3D3C" w:rsidRPr="008D7579" w:rsidRDefault="00A1422D" w:rsidP="00DA3C15">
      <w:pPr>
        <w:spacing w:before="360"/>
        <w:ind w:right="-284"/>
        <w:rPr>
          <w:rFonts w:asciiTheme="majorBidi" w:hAnsiTheme="majorBidi" w:cstheme="majorBidi"/>
          <w:b/>
          <w:bCs/>
          <w:lang w:val="fr-FR"/>
        </w:rPr>
      </w:pPr>
      <w:hyperlink r:id="rId10" w:history="1">
        <w:r w:rsidR="003E3D3C" w:rsidRPr="008D7579">
          <w:rPr>
            <w:rStyle w:val="Hyperlink"/>
            <w:rFonts w:asciiTheme="majorBidi" w:hAnsiTheme="majorBidi" w:cstheme="majorBidi"/>
            <w:b/>
            <w:bCs/>
            <w:szCs w:val="24"/>
            <w:lang w:val="fr-FR"/>
          </w:rPr>
          <w:t>COM3-R17</w:t>
        </w:r>
      </w:hyperlink>
    </w:p>
    <w:p w:rsidR="003E3D3C" w:rsidRPr="008D7579" w:rsidRDefault="003E3D3C" w:rsidP="00DA3C15">
      <w:pPr>
        <w:pStyle w:val="Headingb"/>
        <w:rPr>
          <w:lang w:val="fr-FR"/>
        </w:rPr>
      </w:pPr>
      <w:r w:rsidRPr="008D7579">
        <w:rPr>
          <w:lang w:val="fr-FR"/>
        </w:rPr>
        <w:t>Résumé</w:t>
      </w:r>
    </w:p>
    <w:p w:rsidR="003E3D3C" w:rsidRPr="008D7579" w:rsidRDefault="003E3D3C" w:rsidP="00DA3C15">
      <w:pPr>
        <w:rPr>
          <w:bCs/>
          <w:lang w:val="fr-FR"/>
        </w:rPr>
      </w:pPr>
      <w:r w:rsidRPr="008D7579">
        <w:rPr>
          <w:lang w:val="fr-FR"/>
        </w:rPr>
        <w:t>La Recommandation UIT-T D.52 "Création et raccordement de points d'échange Internet (IXP) régionaux pour réduire les coûts de la connectivité Internet internationale" sert de base à la collaboration régionale en vue d'établir des plates-formes centralisées ou points IXP permettant d'acheminer localement le trafic Internet local afin d'économiser la bande passante internationale, et de diminuer les coûts de la connectivité Internet internationale.</w:t>
      </w:r>
    </w:p>
    <w:p w:rsidR="003E3D3C" w:rsidRPr="008D7579" w:rsidRDefault="003E3D3C" w:rsidP="00DA3C15">
      <w:pPr>
        <w:pStyle w:val="Heading1"/>
        <w:rPr>
          <w:lang w:val="fr-FR"/>
        </w:rPr>
      </w:pPr>
      <w:r w:rsidRPr="008D7579">
        <w:rPr>
          <w:lang w:val="fr-FR"/>
        </w:rPr>
        <w:t>2</w:t>
      </w:r>
      <w:r w:rsidRPr="008D7579">
        <w:rPr>
          <w:lang w:val="fr-FR"/>
        </w:rPr>
        <w:tab/>
        <w:t>Projet de nouvelle Recommandation UIT-T D.53, Aspects internationaux du service universel</w:t>
      </w:r>
    </w:p>
    <w:bookmarkStart w:id="0" w:name="_Toc448232597"/>
    <w:bookmarkStart w:id="1" w:name="_Toc448233150"/>
    <w:p w:rsidR="003E3D3C" w:rsidRPr="008D7579" w:rsidRDefault="003E3D3C" w:rsidP="00DA3C15">
      <w:pPr>
        <w:pStyle w:val="headingb0"/>
        <w:rPr>
          <w:rFonts w:asciiTheme="majorBidi" w:hAnsiTheme="majorBidi" w:cstheme="majorBidi"/>
        </w:rPr>
      </w:pPr>
      <w:r w:rsidRPr="008D7579">
        <w:rPr>
          <w:rFonts w:asciiTheme="majorBidi" w:hAnsiTheme="majorBidi" w:cstheme="majorBidi"/>
        </w:rPr>
        <w:fldChar w:fldCharType="begin"/>
      </w:r>
      <w:r w:rsidRPr="008D7579">
        <w:rPr>
          <w:rFonts w:asciiTheme="majorBidi" w:hAnsiTheme="majorBidi" w:cstheme="majorBidi"/>
        </w:rPr>
        <w:instrText xml:space="preserve"> HYPERLINK "http://www.itu.int/md/T13-SG03-R-0018" </w:instrText>
      </w:r>
      <w:r w:rsidRPr="008D7579">
        <w:rPr>
          <w:rFonts w:asciiTheme="majorBidi" w:hAnsiTheme="majorBidi" w:cstheme="majorBidi"/>
        </w:rPr>
        <w:fldChar w:fldCharType="separate"/>
      </w:r>
      <w:r w:rsidRPr="008D7579">
        <w:rPr>
          <w:rStyle w:val="Hyperlink"/>
          <w:rFonts w:asciiTheme="majorBidi" w:hAnsiTheme="majorBidi" w:cstheme="majorBidi"/>
          <w:szCs w:val="24"/>
        </w:rPr>
        <w:t>COM3-R18</w:t>
      </w:r>
      <w:r w:rsidRPr="008D7579">
        <w:rPr>
          <w:rFonts w:asciiTheme="majorBidi" w:hAnsiTheme="majorBidi" w:cstheme="majorBidi"/>
        </w:rPr>
        <w:fldChar w:fldCharType="end"/>
      </w:r>
    </w:p>
    <w:p w:rsidR="003E3D3C" w:rsidRPr="008D7579" w:rsidRDefault="003E3D3C" w:rsidP="00DA3C15">
      <w:pPr>
        <w:pStyle w:val="Headingb"/>
        <w:rPr>
          <w:lang w:val="fr-FR"/>
        </w:rPr>
      </w:pPr>
      <w:r w:rsidRPr="008D7579">
        <w:rPr>
          <w:lang w:val="fr-FR"/>
        </w:rPr>
        <w:t>Résumé</w:t>
      </w:r>
      <w:bookmarkEnd w:id="0"/>
      <w:bookmarkEnd w:id="1"/>
    </w:p>
    <w:p w:rsidR="003E3D3C" w:rsidRPr="008D7579" w:rsidRDefault="003E3D3C" w:rsidP="00DA3C15">
      <w:pPr>
        <w:rPr>
          <w:bCs/>
          <w:lang w:val="fr-FR"/>
        </w:rPr>
      </w:pPr>
      <w:r w:rsidRPr="008D7579">
        <w:rPr>
          <w:lang w:val="fr-FR"/>
        </w:rPr>
        <w:t xml:space="preserve">La Recommandation UIT-T D.53 sur les aspects internationaux du service universel, tout en  reconnaissant que les </w:t>
      </w:r>
      <w:proofErr w:type="spellStart"/>
      <w:r w:rsidRPr="008D7579">
        <w:rPr>
          <w:lang w:val="fr-FR"/>
        </w:rPr>
        <w:t>Etats</w:t>
      </w:r>
      <w:proofErr w:type="spellEnd"/>
      <w:r w:rsidRPr="008D7579">
        <w:rPr>
          <w:lang w:val="fr-FR"/>
        </w:rPr>
        <w:t xml:space="preserve"> Membres disposent du droit souverain de définir et d'organiser leurs politiques de service/d'accès universels, propose des principes généraux destinés à aider les pouvoirs publics et les régulateurs à mener à bien leurs tâches et leurs fonctions de gestion en ce qui concerne les fonds de service universel dans un environnement numérique mondialisé.</w:t>
      </w:r>
    </w:p>
    <w:p w:rsidR="003E3D3C" w:rsidRPr="008D7579" w:rsidRDefault="003E3D3C" w:rsidP="00DA3C15">
      <w:pPr>
        <w:pStyle w:val="Heading1"/>
        <w:rPr>
          <w:lang w:val="fr-FR"/>
        </w:rPr>
      </w:pPr>
      <w:r w:rsidRPr="008D7579">
        <w:rPr>
          <w:lang w:val="fr-FR"/>
        </w:rPr>
        <w:t>3</w:t>
      </w:r>
      <w:r w:rsidRPr="008D7579">
        <w:rPr>
          <w:lang w:val="fr-FR"/>
        </w:rPr>
        <w:tab/>
      </w:r>
      <w:bookmarkStart w:id="2" w:name="_Toc448311657"/>
      <w:bookmarkStart w:id="3" w:name="_Toc448311715"/>
      <w:r w:rsidRPr="008D7579">
        <w:rPr>
          <w:lang w:val="fr-FR"/>
        </w:rPr>
        <w:t>Projet de nouvelle Recommandation UIT-T D.97, Principes méthodologiques de détermination des tarifs de l'itinérance mobile internationale</w:t>
      </w:r>
      <w:bookmarkEnd w:id="2"/>
      <w:bookmarkEnd w:id="3"/>
    </w:p>
    <w:p w:rsidR="003E3D3C" w:rsidRPr="008D7579" w:rsidRDefault="00A1422D" w:rsidP="00DA3C15">
      <w:pPr>
        <w:spacing w:before="360"/>
        <w:ind w:right="-284"/>
        <w:rPr>
          <w:rFonts w:asciiTheme="majorBidi" w:hAnsiTheme="majorBidi" w:cstheme="majorBidi"/>
          <w:b/>
          <w:bCs/>
          <w:lang w:val="fr-FR"/>
        </w:rPr>
      </w:pPr>
      <w:hyperlink r:id="rId11" w:history="1">
        <w:r w:rsidR="003E3D3C" w:rsidRPr="008D7579">
          <w:rPr>
            <w:rStyle w:val="Hyperlink"/>
            <w:rFonts w:asciiTheme="majorBidi" w:hAnsiTheme="majorBidi" w:cstheme="majorBidi"/>
            <w:b/>
            <w:bCs/>
            <w:szCs w:val="24"/>
            <w:lang w:val="fr-FR"/>
          </w:rPr>
          <w:t>COM3-R20</w:t>
        </w:r>
      </w:hyperlink>
    </w:p>
    <w:p w:rsidR="003E3D3C" w:rsidRPr="008D7579" w:rsidRDefault="003E3D3C" w:rsidP="00DA3C15">
      <w:pPr>
        <w:pStyle w:val="Headingb"/>
        <w:rPr>
          <w:lang w:val="fr-FR"/>
        </w:rPr>
      </w:pPr>
      <w:bookmarkStart w:id="4" w:name="_Toc448311658"/>
      <w:bookmarkStart w:id="5" w:name="_Toc448311716"/>
      <w:r w:rsidRPr="008D7579">
        <w:rPr>
          <w:lang w:val="fr-FR"/>
        </w:rPr>
        <w:t>Résumé</w:t>
      </w:r>
      <w:bookmarkEnd w:id="4"/>
      <w:bookmarkEnd w:id="5"/>
    </w:p>
    <w:p w:rsidR="003E3D3C" w:rsidRPr="008D7579" w:rsidRDefault="003E3D3C" w:rsidP="00DA3C15">
      <w:pPr>
        <w:rPr>
          <w:bCs/>
          <w:lang w:val="fr-FR"/>
        </w:rPr>
      </w:pPr>
      <w:r w:rsidRPr="008D7579">
        <w:rPr>
          <w:lang w:val="fr-FR"/>
        </w:rPr>
        <w:t>La Recommandation UIT-T D.97 "Principes méthodologiques de détermination des tarifs de l'itinérance mobile internationale", propose une approche permettant de réduire les tarifs d'itinérance excessifs, en insistant sur la nécessité d'encourager la concurrence sur le marché de l'itinérance, d'éduquer les consommateurs et d'envisager des mesures réglementaires appropriées comme le recours à un plafonnement des tarifs de l'itinérance.</w:t>
      </w:r>
    </w:p>
    <w:p w:rsidR="003E3D3C" w:rsidRPr="008D7579" w:rsidRDefault="003E3D3C" w:rsidP="00DA3C15">
      <w:pPr>
        <w:pStyle w:val="Heading1"/>
        <w:rPr>
          <w:lang w:val="fr-FR"/>
        </w:rPr>
      </w:pPr>
      <w:r w:rsidRPr="008D7579">
        <w:rPr>
          <w:lang w:val="fr-FR"/>
        </w:rPr>
        <w:lastRenderedPageBreak/>
        <w:t>4</w:t>
      </w:r>
      <w:r w:rsidRPr="008D7579">
        <w:rPr>
          <w:lang w:val="fr-FR"/>
        </w:rPr>
        <w:tab/>
        <w:t>Projet de nouvelle Recommandation UIT-T D.261, Principes à appliquer dans la définition des marchés et l'identification des opérateurs en position de force sur un marché (SMP)</w:t>
      </w:r>
    </w:p>
    <w:p w:rsidR="003E3D3C" w:rsidRPr="008D7579" w:rsidRDefault="00A1422D" w:rsidP="00DA3C15">
      <w:pPr>
        <w:keepNext/>
        <w:spacing w:before="360"/>
        <w:ind w:right="-284"/>
        <w:rPr>
          <w:rFonts w:asciiTheme="majorBidi" w:hAnsiTheme="majorBidi" w:cstheme="majorBidi"/>
          <w:b/>
          <w:bCs/>
          <w:lang w:val="fr-FR"/>
        </w:rPr>
      </w:pPr>
      <w:hyperlink r:id="rId12" w:history="1">
        <w:r w:rsidR="003E3D3C" w:rsidRPr="008D7579">
          <w:rPr>
            <w:rStyle w:val="Hyperlink"/>
            <w:rFonts w:asciiTheme="majorBidi" w:hAnsiTheme="majorBidi" w:cstheme="majorBidi"/>
            <w:b/>
            <w:bCs/>
            <w:szCs w:val="24"/>
            <w:lang w:val="fr-FR"/>
          </w:rPr>
          <w:t>COM3-R21</w:t>
        </w:r>
      </w:hyperlink>
    </w:p>
    <w:p w:rsidR="003E3D3C" w:rsidRPr="008D7579" w:rsidRDefault="003E3D3C" w:rsidP="00DA3C15">
      <w:pPr>
        <w:pStyle w:val="Headingb"/>
        <w:rPr>
          <w:lang w:val="fr-FR"/>
        </w:rPr>
      </w:pPr>
      <w:bookmarkStart w:id="6" w:name="_Toc448302599"/>
      <w:r w:rsidRPr="008D7579">
        <w:rPr>
          <w:lang w:val="fr-FR"/>
        </w:rPr>
        <w:t>Résumé</w:t>
      </w:r>
      <w:bookmarkEnd w:id="6"/>
    </w:p>
    <w:p w:rsidR="003E3D3C" w:rsidRPr="008D7579" w:rsidRDefault="003E3D3C" w:rsidP="00DA3C15">
      <w:pPr>
        <w:rPr>
          <w:bCs/>
          <w:lang w:val="fr-FR"/>
        </w:rPr>
      </w:pPr>
      <w:r w:rsidRPr="008D7579">
        <w:rPr>
          <w:lang w:val="fr-FR"/>
        </w:rPr>
        <w:t>La Recommandation UIT-T D.261 "Principes à appliquer dans la définition des marchés et l'identification des opérateurs en position de force sur un marché", présente des principes et lignes directrices pouvant aider les pays à définir et identifier ce qu'est la position de force sur le marché dans le secteur des télécommunications.</w:t>
      </w:r>
    </w:p>
    <w:p w:rsidR="003E3D3C" w:rsidRPr="008D7579" w:rsidRDefault="003E3D3C" w:rsidP="00DA3C15">
      <w:pPr>
        <w:pStyle w:val="Heading1"/>
        <w:rPr>
          <w:lang w:val="fr-FR"/>
        </w:rPr>
      </w:pPr>
      <w:r w:rsidRPr="008D7579">
        <w:rPr>
          <w:lang w:val="fr-FR"/>
        </w:rPr>
        <w:t>5</w:t>
      </w:r>
      <w:r w:rsidRPr="008D7579">
        <w:rPr>
          <w:lang w:val="fr-FR"/>
        </w:rPr>
        <w:tab/>
        <w:t>Projet de Recommandation UIT-T D.271 révisée, Principes de taxation et de comptabilité applicables aux réseaux de prochaine génération (NGN)</w:t>
      </w:r>
    </w:p>
    <w:p w:rsidR="003E3D3C" w:rsidRPr="008D7579" w:rsidRDefault="00A1422D" w:rsidP="00DA3C15">
      <w:pPr>
        <w:spacing w:before="360"/>
        <w:ind w:right="-284"/>
        <w:rPr>
          <w:rFonts w:asciiTheme="majorBidi" w:hAnsiTheme="majorBidi" w:cstheme="majorBidi"/>
          <w:b/>
          <w:bCs/>
          <w:lang w:val="fr-FR"/>
        </w:rPr>
      </w:pPr>
      <w:hyperlink r:id="rId13" w:history="1">
        <w:r w:rsidR="003E3D3C" w:rsidRPr="008D7579">
          <w:rPr>
            <w:rStyle w:val="Hyperlink"/>
            <w:rFonts w:asciiTheme="majorBidi" w:hAnsiTheme="majorBidi" w:cstheme="majorBidi"/>
            <w:b/>
            <w:bCs/>
            <w:szCs w:val="24"/>
            <w:lang w:val="fr-FR"/>
          </w:rPr>
          <w:t>COM3-R19</w:t>
        </w:r>
      </w:hyperlink>
    </w:p>
    <w:p w:rsidR="003E3D3C" w:rsidRPr="008D7579" w:rsidRDefault="003E3D3C" w:rsidP="00DA3C15">
      <w:pPr>
        <w:pStyle w:val="Headingb"/>
        <w:rPr>
          <w:lang w:val="fr-FR" w:eastAsia="ko-KR"/>
        </w:rPr>
      </w:pPr>
      <w:r w:rsidRPr="008D7579">
        <w:rPr>
          <w:lang w:val="fr-FR" w:eastAsia="ko-KR"/>
        </w:rPr>
        <w:t>Résumé</w:t>
      </w:r>
    </w:p>
    <w:p w:rsidR="003E3D3C" w:rsidRPr="008D7579" w:rsidRDefault="003E3D3C" w:rsidP="00DA3C15">
      <w:pPr>
        <w:rPr>
          <w:lang w:val="fr-FR"/>
        </w:rPr>
      </w:pPr>
      <w:r w:rsidRPr="008D7579">
        <w:rPr>
          <w:lang w:val="fr-FR" w:eastAsia="ko-KR"/>
        </w:rPr>
        <w:t>La Recommandation UIT-T D.271 expose les conditions et principes généraux que doivent appliquer les administrations pour la capacité de transport des paquets IP sur un réseau IP entre des interfaces normalisées et les services pris en charge.</w:t>
      </w:r>
    </w:p>
    <w:p w:rsidR="003E3D3C" w:rsidRPr="008D7579" w:rsidRDefault="00DA3C15" w:rsidP="00DA3C15">
      <w:pPr>
        <w:pStyle w:val="Reasons"/>
        <w:rPr>
          <w:lang w:val="fr-FR"/>
        </w:rPr>
      </w:pPr>
      <w:r w:rsidRPr="008D7579">
        <w:rPr>
          <w:b/>
          <w:bCs/>
          <w:lang w:val="fr-FR"/>
        </w:rPr>
        <w:t>Motifs:</w:t>
      </w:r>
      <w:r w:rsidRPr="008D7579">
        <w:rPr>
          <w:lang w:val="fr-FR"/>
        </w:rPr>
        <w:tab/>
      </w:r>
      <w:r w:rsidR="007B07ED" w:rsidRPr="008D7579">
        <w:rPr>
          <w:lang w:val="fr-FR"/>
        </w:rPr>
        <w:t>C</w:t>
      </w:r>
      <w:r w:rsidR="009C42E9" w:rsidRPr="008D7579">
        <w:rPr>
          <w:lang w:val="fr-FR"/>
        </w:rPr>
        <w:t>om</w:t>
      </w:r>
      <w:bookmarkStart w:id="7" w:name="_GoBack"/>
      <w:bookmarkEnd w:id="7"/>
      <w:r w:rsidR="00121BB3" w:rsidRPr="008D7579">
        <w:rPr>
          <w:lang w:val="fr-FR"/>
        </w:rPr>
        <w:t>me indiqué précé</w:t>
      </w:r>
      <w:r w:rsidR="009C42E9" w:rsidRPr="008D7579">
        <w:rPr>
          <w:lang w:val="fr-FR"/>
        </w:rPr>
        <w:t>demment</w:t>
      </w:r>
      <w:r w:rsidR="007B07ED" w:rsidRPr="008D7579">
        <w:rPr>
          <w:lang w:val="fr-FR"/>
        </w:rPr>
        <w:t xml:space="preserve">, les administrations des </w:t>
      </w:r>
      <w:proofErr w:type="spellStart"/>
      <w:r w:rsidR="007B07ED" w:rsidRPr="008D7579">
        <w:rPr>
          <w:lang w:val="fr-FR"/>
        </w:rPr>
        <w:t>Etats</w:t>
      </w:r>
      <w:proofErr w:type="spellEnd"/>
      <w:r w:rsidR="007B07ED" w:rsidRPr="008D7579">
        <w:rPr>
          <w:lang w:val="fr-FR"/>
        </w:rPr>
        <w:t xml:space="preserve"> arabes sont favorables à l</w:t>
      </w:r>
      <w:r w:rsidRPr="008D7579">
        <w:rPr>
          <w:lang w:val="fr-FR"/>
        </w:rPr>
        <w:t>'</w:t>
      </w:r>
      <w:r w:rsidR="007B07ED" w:rsidRPr="008D7579">
        <w:rPr>
          <w:lang w:val="fr-FR"/>
        </w:rPr>
        <w:t xml:space="preserve">approbation de tous les projets de </w:t>
      </w:r>
      <w:r w:rsidR="000919CB" w:rsidRPr="008D7579">
        <w:rPr>
          <w:lang w:val="fr-FR"/>
        </w:rPr>
        <w:t>R</w:t>
      </w:r>
      <w:r w:rsidR="007B07ED" w:rsidRPr="008D7579">
        <w:rPr>
          <w:lang w:val="fr-FR"/>
        </w:rPr>
        <w:t>ecommandation susmentionnés</w:t>
      </w:r>
      <w:r w:rsidR="003E3D3C" w:rsidRPr="008D7579">
        <w:rPr>
          <w:lang w:val="fr-FR"/>
        </w:rPr>
        <w:t>.</w:t>
      </w:r>
    </w:p>
    <w:p w:rsidR="00DA3C15" w:rsidRPr="008D7579" w:rsidRDefault="00DA3C15" w:rsidP="00DA3C15">
      <w:pPr>
        <w:pStyle w:val="Reasons"/>
        <w:rPr>
          <w:lang w:val="fr-FR"/>
        </w:rPr>
      </w:pPr>
    </w:p>
    <w:p w:rsidR="00DA3C15" w:rsidRPr="008D7579" w:rsidRDefault="00DA3C15" w:rsidP="008D7579">
      <w:pPr>
        <w:pStyle w:val="Reasons"/>
        <w:rPr>
          <w:lang w:val="fr-FR"/>
        </w:rPr>
      </w:pPr>
    </w:p>
    <w:p w:rsidR="00DA3C15" w:rsidRPr="008D7579" w:rsidRDefault="00DA3C15">
      <w:pPr>
        <w:jc w:val="center"/>
        <w:rPr>
          <w:lang w:val="fr-FR"/>
        </w:rPr>
      </w:pPr>
      <w:r w:rsidRPr="008D7579">
        <w:rPr>
          <w:lang w:val="fr-FR"/>
        </w:rPr>
        <w:t>______________</w:t>
      </w:r>
    </w:p>
    <w:p w:rsidR="00DA3C15" w:rsidRPr="008D7579" w:rsidRDefault="00DA3C15" w:rsidP="00DA3C15">
      <w:pPr>
        <w:pStyle w:val="Reasons"/>
        <w:rPr>
          <w:lang w:val="fr-FR"/>
        </w:rPr>
      </w:pPr>
    </w:p>
    <w:sectPr w:rsidR="00DA3C15" w:rsidRPr="008D7579" w:rsidSect="0039169B">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BD8" w:rsidRDefault="00937BD8">
      <w:r>
        <w:separator/>
      </w:r>
    </w:p>
  </w:endnote>
  <w:endnote w:type="continuationSeparator" w:id="0">
    <w:p w:rsidR="00937BD8" w:rsidRDefault="0093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526703" w:rsidRDefault="00E45D05">
    <w:pPr>
      <w:ind w:right="360"/>
    </w:pPr>
    <w:r>
      <w:fldChar w:fldCharType="begin"/>
    </w:r>
    <w:r w:rsidRPr="00526703">
      <w:instrText xml:space="preserve"> FILENAME \p  \* MERGEFORMAT </w:instrText>
    </w:r>
    <w:r>
      <w:fldChar w:fldCharType="separate"/>
    </w:r>
    <w:r w:rsidR="00121BB3">
      <w:rPr>
        <w:noProof/>
      </w:rPr>
      <w:t>P:\TRAD\F\LING\Barre\TSB\406426-F.docx</w:t>
    </w:r>
    <w:r>
      <w:fldChar w:fldCharType="end"/>
    </w:r>
    <w:r w:rsidRPr="00526703">
      <w:tab/>
    </w:r>
    <w:r>
      <w:fldChar w:fldCharType="begin"/>
    </w:r>
    <w:r>
      <w:instrText xml:space="preserve"> SAVEDATE \@ DD.MM.YY </w:instrText>
    </w:r>
    <w:r>
      <w:fldChar w:fldCharType="separate"/>
    </w:r>
    <w:r w:rsidR="00A1422D">
      <w:rPr>
        <w:noProof/>
      </w:rPr>
      <w:t>14.10.16</w:t>
    </w:r>
    <w:r>
      <w:fldChar w:fldCharType="end"/>
    </w:r>
    <w:r w:rsidRPr="00526703">
      <w:tab/>
    </w:r>
    <w:r>
      <w:fldChar w:fldCharType="begin"/>
    </w:r>
    <w:r>
      <w:instrText xml:space="preserve"> PRINTDATE \@ DD.MM.YY </w:instrText>
    </w:r>
    <w:r>
      <w:fldChar w:fldCharType="separate"/>
    </w:r>
    <w:r w:rsidR="00121BB3">
      <w:rPr>
        <w:noProof/>
      </w:rPr>
      <w:t>12.10.16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DA3C15" w:rsidRDefault="00E45D05" w:rsidP="00526703">
    <w:pPr>
      <w:pStyle w:val="Footer"/>
      <w:rPr>
        <w:lang w:val="en-US"/>
      </w:rPr>
    </w:pPr>
    <w:r>
      <w:fldChar w:fldCharType="begin"/>
    </w:r>
    <w:r w:rsidRPr="00DA3C15">
      <w:rPr>
        <w:lang w:val="en-US"/>
      </w:rPr>
      <w:instrText xml:space="preserve"> FILENAME \p  \* MERGEFORMAT </w:instrText>
    </w:r>
    <w:r>
      <w:fldChar w:fldCharType="separate"/>
    </w:r>
    <w:r w:rsidR="00121BB3" w:rsidRPr="00DA3C15">
      <w:rPr>
        <w:lang w:val="en-US"/>
      </w:rPr>
      <w:t>P:\TRAD\F\LING\Barre\TSB\406426-F.docx</w:t>
    </w:r>
    <w:r>
      <w:fldChar w:fldCharType="end"/>
    </w:r>
    <w:r w:rsidR="008907D3" w:rsidRPr="00DA3C15">
      <w:rPr>
        <w:lang w:val="en-US"/>
      </w:rPr>
      <w:t xml:space="preserve"> (406426)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DA3C15" w:rsidRDefault="00987C1F" w:rsidP="00526703">
    <w:pPr>
      <w:pStyle w:val="Footer"/>
      <w:rPr>
        <w:lang w:val="en-US"/>
      </w:rPr>
    </w:pPr>
    <w:r>
      <w:fldChar w:fldCharType="begin"/>
    </w:r>
    <w:r w:rsidRPr="00DA3C15">
      <w:rPr>
        <w:lang w:val="en-US"/>
      </w:rPr>
      <w:instrText xml:space="preserve"> FILENAME \p  \* MERGEFORMAT </w:instrText>
    </w:r>
    <w:r>
      <w:fldChar w:fldCharType="separate"/>
    </w:r>
    <w:r w:rsidR="00121BB3" w:rsidRPr="00DA3C15">
      <w:rPr>
        <w:lang w:val="en-US"/>
      </w:rPr>
      <w:t>P:\TRAD\F\LING\Barre\TSB\406426-F.docx</w:t>
    </w:r>
    <w:r>
      <w:fldChar w:fldCharType="end"/>
    </w:r>
    <w:r w:rsidR="008907D3" w:rsidRPr="00DA3C15">
      <w:rPr>
        <w:lang w:val="en-US"/>
      </w:rPr>
      <w:t xml:space="preserve"> (406426)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BD8" w:rsidRDefault="00937BD8">
      <w:r>
        <w:rPr>
          <w:b/>
        </w:rPr>
        <w:t>_______________</w:t>
      </w:r>
    </w:p>
  </w:footnote>
  <w:footnote w:type="continuationSeparator" w:id="0">
    <w:p w:rsidR="00937BD8" w:rsidRDefault="00937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A1422D">
      <w:rPr>
        <w:noProof/>
      </w:rPr>
      <w:t>3</w:t>
    </w:r>
    <w:r>
      <w:fldChar w:fldCharType="end"/>
    </w:r>
  </w:p>
  <w:p w:rsidR="00987C1F" w:rsidRDefault="00E07AF5" w:rsidP="00FA1E3E">
    <w:pPr>
      <w:pStyle w:val="Header"/>
    </w:pPr>
    <w:r>
      <w:t>AMNT16</w:t>
    </w:r>
    <w:r w:rsidR="00FA1E3E">
      <w:t>/43(Add.31)</w:t>
    </w:r>
    <w:r w:rsidR="00987C1F">
      <w:t>-</w:t>
    </w:r>
    <w:r w:rsidR="00FA1E3E">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7239"/>
    <w:rsid w:val="00086491"/>
    <w:rsid w:val="00091346"/>
    <w:rsid w:val="000919CB"/>
    <w:rsid w:val="0009706C"/>
    <w:rsid w:val="000A14AF"/>
    <w:rsid w:val="000F73FF"/>
    <w:rsid w:val="00114CF7"/>
    <w:rsid w:val="00121BB3"/>
    <w:rsid w:val="00123B68"/>
    <w:rsid w:val="00126F2E"/>
    <w:rsid w:val="00146F6F"/>
    <w:rsid w:val="00164C14"/>
    <w:rsid w:val="00187BD9"/>
    <w:rsid w:val="00190B55"/>
    <w:rsid w:val="001978FA"/>
    <w:rsid w:val="001A0F27"/>
    <w:rsid w:val="001C3B5F"/>
    <w:rsid w:val="001D058F"/>
    <w:rsid w:val="001D581B"/>
    <w:rsid w:val="001D77E9"/>
    <w:rsid w:val="001E1430"/>
    <w:rsid w:val="002009EA"/>
    <w:rsid w:val="00202CA0"/>
    <w:rsid w:val="00216B6D"/>
    <w:rsid w:val="002321AF"/>
    <w:rsid w:val="00250AF4"/>
    <w:rsid w:val="00255506"/>
    <w:rsid w:val="00271316"/>
    <w:rsid w:val="002B2A4F"/>
    <w:rsid w:val="002B2A75"/>
    <w:rsid w:val="002D58BE"/>
    <w:rsid w:val="002E210D"/>
    <w:rsid w:val="003236A6"/>
    <w:rsid w:val="00332C56"/>
    <w:rsid w:val="00345A52"/>
    <w:rsid w:val="00377BD3"/>
    <w:rsid w:val="003832C0"/>
    <w:rsid w:val="00384088"/>
    <w:rsid w:val="0039169B"/>
    <w:rsid w:val="003A5CFF"/>
    <w:rsid w:val="003A7F8C"/>
    <w:rsid w:val="003B532E"/>
    <w:rsid w:val="003D0F8B"/>
    <w:rsid w:val="003E3D3C"/>
    <w:rsid w:val="004054F5"/>
    <w:rsid w:val="004079B0"/>
    <w:rsid w:val="0041348E"/>
    <w:rsid w:val="00417AD4"/>
    <w:rsid w:val="00444030"/>
    <w:rsid w:val="004508E2"/>
    <w:rsid w:val="00476533"/>
    <w:rsid w:val="00492075"/>
    <w:rsid w:val="004969AD"/>
    <w:rsid w:val="004A26C4"/>
    <w:rsid w:val="004B13CB"/>
    <w:rsid w:val="004D5D5C"/>
    <w:rsid w:val="004E42A3"/>
    <w:rsid w:val="0050139F"/>
    <w:rsid w:val="00526703"/>
    <w:rsid w:val="00530525"/>
    <w:rsid w:val="0055140B"/>
    <w:rsid w:val="00595780"/>
    <w:rsid w:val="005964AB"/>
    <w:rsid w:val="005C099A"/>
    <w:rsid w:val="005C31A5"/>
    <w:rsid w:val="005E10C9"/>
    <w:rsid w:val="005E61DD"/>
    <w:rsid w:val="006023DF"/>
    <w:rsid w:val="00657DE0"/>
    <w:rsid w:val="00685313"/>
    <w:rsid w:val="0069092B"/>
    <w:rsid w:val="00692833"/>
    <w:rsid w:val="006A6E9B"/>
    <w:rsid w:val="006B249F"/>
    <w:rsid w:val="006B7C2A"/>
    <w:rsid w:val="006C23DA"/>
    <w:rsid w:val="006E013B"/>
    <w:rsid w:val="006E3D45"/>
    <w:rsid w:val="006F580E"/>
    <w:rsid w:val="007149F9"/>
    <w:rsid w:val="00733A30"/>
    <w:rsid w:val="00745AEE"/>
    <w:rsid w:val="00750F10"/>
    <w:rsid w:val="007742CA"/>
    <w:rsid w:val="00790D70"/>
    <w:rsid w:val="007B07ED"/>
    <w:rsid w:val="007D5320"/>
    <w:rsid w:val="008006C5"/>
    <w:rsid w:val="00800972"/>
    <w:rsid w:val="00804475"/>
    <w:rsid w:val="00811633"/>
    <w:rsid w:val="00813B79"/>
    <w:rsid w:val="00864CD2"/>
    <w:rsid w:val="00872FC8"/>
    <w:rsid w:val="008845D0"/>
    <w:rsid w:val="008907D3"/>
    <w:rsid w:val="008A69FB"/>
    <w:rsid w:val="008B1AEA"/>
    <w:rsid w:val="008B43F2"/>
    <w:rsid w:val="008B6CFF"/>
    <w:rsid w:val="008C27E9"/>
    <w:rsid w:val="008C6BAA"/>
    <w:rsid w:val="008D7579"/>
    <w:rsid w:val="0092425C"/>
    <w:rsid w:val="009274B4"/>
    <w:rsid w:val="00934EA2"/>
    <w:rsid w:val="00937BD8"/>
    <w:rsid w:val="00940614"/>
    <w:rsid w:val="00944A5C"/>
    <w:rsid w:val="00952A66"/>
    <w:rsid w:val="00957670"/>
    <w:rsid w:val="00987C1F"/>
    <w:rsid w:val="009C3191"/>
    <w:rsid w:val="009C42E9"/>
    <w:rsid w:val="009C56E5"/>
    <w:rsid w:val="009E5FC8"/>
    <w:rsid w:val="009E687A"/>
    <w:rsid w:val="009F63E2"/>
    <w:rsid w:val="00A066F1"/>
    <w:rsid w:val="00A141AF"/>
    <w:rsid w:val="00A1422D"/>
    <w:rsid w:val="00A16D29"/>
    <w:rsid w:val="00A30305"/>
    <w:rsid w:val="00A31D2D"/>
    <w:rsid w:val="00A4600A"/>
    <w:rsid w:val="00A538A6"/>
    <w:rsid w:val="00A54C25"/>
    <w:rsid w:val="00A710E7"/>
    <w:rsid w:val="00A7372E"/>
    <w:rsid w:val="00A811DC"/>
    <w:rsid w:val="00A90939"/>
    <w:rsid w:val="00A93B85"/>
    <w:rsid w:val="00A94A88"/>
    <w:rsid w:val="00AA0B18"/>
    <w:rsid w:val="00AA666F"/>
    <w:rsid w:val="00AB5A50"/>
    <w:rsid w:val="00AB7C5F"/>
    <w:rsid w:val="00B31EF6"/>
    <w:rsid w:val="00B639E9"/>
    <w:rsid w:val="00B817CD"/>
    <w:rsid w:val="00B94AD0"/>
    <w:rsid w:val="00BA5265"/>
    <w:rsid w:val="00BB3A95"/>
    <w:rsid w:val="00BB6D50"/>
    <w:rsid w:val="00C0018F"/>
    <w:rsid w:val="00C16A5A"/>
    <w:rsid w:val="00C20466"/>
    <w:rsid w:val="00C214ED"/>
    <w:rsid w:val="00C234E6"/>
    <w:rsid w:val="00C26BA2"/>
    <w:rsid w:val="00C324A8"/>
    <w:rsid w:val="00C54517"/>
    <w:rsid w:val="00C64CD8"/>
    <w:rsid w:val="00C97C68"/>
    <w:rsid w:val="00CA1A47"/>
    <w:rsid w:val="00CC247A"/>
    <w:rsid w:val="00CE388F"/>
    <w:rsid w:val="00CE5E47"/>
    <w:rsid w:val="00CF020F"/>
    <w:rsid w:val="00CF1E9D"/>
    <w:rsid w:val="00CF2B5B"/>
    <w:rsid w:val="00D14CE0"/>
    <w:rsid w:val="00D54009"/>
    <w:rsid w:val="00D5651D"/>
    <w:rsid w:val="00D57A34"/>
    <w:rsid w:val="00D6112A"/>
    <w:rsid w:val="00D74898"/>
    <w:rsid w:val="00D801ED"/>
    <w:rsid w:val="00D92CA7"/>
    <w:rsid w:val="00D936BC"/>
    <w:rsid w:val="00D96530"/>
    <w:rsid w:val="00DA3C15"/>
    <w:rsid w:val="00DD44AF"/>
    <w:rsid w:val="00DE2AC3"/>
    <w:rsid w:val="00DE5692"/>
    <w:rsid w:val="00E03C94"/>
    <w:rsid w:val="00E07AF5"/>
    <w:rsid w:val="00E11197"/>
    <w:rsid w:val="00E14E2A"/>
    <w:rsid w:val="00E25893"/>
    <w:rsid w:val="00E26226"/>
    <w:rsid w:val="00E45D05"/>
    <w:rsid w:val="00E55816"/>
    <w:rsid w:val="00E55AEF"/>
    <w:rsid w:val="00E84ED7"/>
    <w:rsid w:val="00E917FD"/>
    <w:rsid w:val="00E976C1"/>
    <w:rsid w:val="00EA12E5"/>
    <w:rsid w:val="00EB55C6"/>
    <w:rsid w:val="00EF2B09"/>
    <w:rsid w:val="00F02766"/>
    <w:rsid w:val="00F05BD4"/>
    <w:rsid w:val="00F6155B"/>
    <w:rsid w:val="00F65C19"/>
    <w:rsid w:val="00F7356B"/>
    <w:rsid w:val="00F776DF"/>
    <w:rsid w:val="00F840C7"/>
    <w:rsid w:val="00FA1E3E"/>
    <w:rsid w:val="00FB6826"/>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styleId="Hyperlink">
    <w:name w:val="Hyperlink"/>
    <w:rsid w:val="003E3D3C"/>
    <w:rPr>
      <w:color w:val="0000FF"/>
      <w:u w:val="single"/>
    </w:rPr>
  </w:style>
  <w:style w:type="paragraph" w:customStyle="1" w:styleId="headingb0">
    <w:name w:val="heading_b"/>
    <w:basedOn w:val="Heading3"/>
    <w:next w:val="Normal"/>
    <w:rsid w:val="003E3D3C"/>
    <w:pPr>
      <w:tabs>
        <w:tab w:val="clear" w:pos="1871"/>
        <w:tab w:val="clear" w:pos="2268"/>
        <w:tab w:val="left" w:pos="794"/>
        <w:tab w:val="left" w:pos="2127"/>
        <w:tab w:val="left" w:pos="2410"/>
        <w:tab w:val="left" w:pos="2921"/>
        <w:tab w:val="left" w:pos="3261"/>
      </w:tabs>
      <w:spacing w:before="160"/>
      <w:ind w:left="0" w:firstLine="0"/>
      <w:outlineLvl w:val="9"/>
    </w:pPr>
    <w:rPr>
      <w:rFonts w:ascii="Calibri" w:eastAsia="Times New Roman" w:hAnsi="Calibri"/>
      <w:lang w:val="fr-FR"/>
    </w:rPr>
  </w:style>
  <w:style w:type="character" w:styleId="FollowedHyperlink">
    <w:name w:val="FollowedHyperlink"/>
    <w:basedOn w:val="DefaultParagraphFont"/>
    <w:semiHidden/>
    <w:unhideWhenUsed/>
    <w:rsid w:val="00D92C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T13-SG03-R-0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T13-SG03-R-002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03-R-0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md/T13-SG03-R-0017"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A058AD"/>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E6C0-1D6C-42F8-9A04-0759574B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520</Words>
  <Characters>3474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Telecommunication Standardization Assembly</dc:subject>
  <dc:creator>Gozel, Elsa</dc:creator>
  <dc:description>Template used by DPM and CPI for the WTSA-16</dc:description>
  <cp:lastModifiedBy>Murphy, Margaret</cp:lastModifiedBy>
  <cp:revision>6</cp:revision>
  <cp:lastPrinted>2016-10-12T11:55:00Z</cp:lastPrinted>
  <dcterms:created xsi:type="dcterms:W3CDTF">2016-10-13T09:57:00Z</dcterms:created>
  <dcterms:modified xsi:type="dcterms:W3CDTF">2016-10-17T13:20:00Z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