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Tr="00530525">
        <w:trPr>
          <w:cantSplit/>
        </w:trPr>
        <w:tc>
          <w:tcPr>
            <w:tcW w:w="1382" w:type="dxa"/>
            <w:vAlign w:val="center"/>
          </w:tcPr>
          <w:p w:rsidR="00CF1E9D" w:rsidRPr="00566A5B" w:rsidRDefault="00CF1E9D" w:rsidP="001C4641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9F63E2" w:rsidRDefault="001D581B" w:rsidP="001C4641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Assemblée mondiale de normalisation </w:t>
            </w:r>
            <w:r w:rsidR="00C26BA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br/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des télécommunications 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(</w:t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AMNT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-16)</w:t>
            </w:r>
            <w:r w:rsidR="00DB1EDA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 </w:t>
            </w:r>
            <w:r w:rsidR="00CF1E9D" w:rsidRPr="009F63E2"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  <w:br/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Hammamet, 25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ct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obre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-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3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n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ov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embre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CF1E9D" w:rsidRDefault="00CF1E9D" w:rsidP="001C4641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Default="00595780" w:rsidP="001C4641">
            <w:pPr>
              <w:spacing w:before="0"/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Default="00595780" w:rsidP="001C4641">
            <w:pPr>
              <w:spacing w:before="0"/>
            </w:pP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Default="00595780" w:rsidP="001C4641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2074EC" w:rsidRDefault="00595780" w:rsidP="001C4641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26BA2" w:rsidTr="00530525">
        <w:trPr>
          <w:cantSplit/>
        </w:trPr>
        <w:tc>
          <w:tcPr>
            <w:tcW w:w="6804" w:type="dxa"/>
            <w:gridSpan w:val="2"/>
          </w:tcPr>
          <w:p w:rsidR="00C26BA2" w:rsidRDefault="00C26BA2" w:rsidP="001C4641">
            <w:pPr>
              <w:spacing w:before="0"/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2A6F8F" w:rsidRDefault="00C26BA2" w:rsidP="001C4641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28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43</w:t>
            </w:r>
            <w:r w:rsidRPr="00D6112A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1C4641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1C4641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9 octobre 2016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1C4641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1C4641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0032AD" w:rsidTr="00530525">
        <w:trPr>
          <w:cantSplit/>
        </w:trPr>
        <w:tc>
          <w:tcPr>
            <w:tcW w:w="9811" w:type="dxa"/>
            <w:gridSpan w:val="4"/>
          </w:tcPr>
          <w:p w:rsidR="000032AD" w:rsidRPr="002074EC" w:rsidRDefault="000032AD" w:rsidP="001C4641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95780" w:rsidTr="00530525">
        <w:trPr>
          <w:cantSplit/>
        </w:trPr>
        <w:tc>
          <w:tcPr>
            <w:tcW w:w="9811" w:type="dxa"/>
            <w:gridSpan w:val="4"/>
          </w:tcPr>
          <w:p w:rsidR="00595780" w:rsidRDefault="00C26BA2" w:rsidP="001C4641">
            <w:pPr>
              <w:pStyle w:val="Source"/>
            </w:pPr>
            <w:r w:rsidRPr="002A6F8F">
              <w:rPr>
                <w:lang w:val="en-US"/>
              </w:rPr>
              <w:t>Administrations des Etats arabes</w:t>
            </w:r>
          </w:p>
        </w:tc>
      </w:tr>
      <w:tr w:rsidR="00595780" w:rsidRPr="001C4641" w:rsidTr="00530525">
        <w:trPr>
          <w:cantSplit/>
        </w:trPr>
        <w:tc>
          <w:tcPr>
            <w:tcW w:w="9811" w:type="dxa"/>
            <w:gridSpan w:val="4"/>
          </w:tcPr>
          <w:p w:rsidR="00595780" w:rsidRPr="00B45AF6" w:rsidRDefault="00364D00" w:rsidP="001C4641">
            <w:pPr>
              <w:pStyle w:val="Title1"/>
              <w:rPr>
                <w:lang w:val="fr-CH"/>
              </w:rPr>
            </w:pPr>
            <w:r w:rsidRPr="00364D00">
              <w:rPr>
                <w:lang w:val="fr-CH"/>
              </w:rPr>
              <w:t xml:space="preserve">projet de nouvelle résolution [arb-6] </w:t>
            </w:r>
            <w:r w:rsidR="00B45AF6">
              <w:rPr>
                <w:lang w:val="fr-CH"/>
              </w:rPr>
              <w:t xml:space="preserve">– </w:t>
            </w:r>
            <w:r>
              <w:rPr>
                <w:lang w:val="fr-CH"/>
              </w:rPr>
              <w:t>renforce</w:t>
            </w:r>
            <w:r w:rsidR="009143B2">
              <w:rPr>
                <w:lang w:val="fr-CH"/>
              </w:rPr>
              <w:t>MENT</w:t>
            </w:r>
            <w:r>
              <w:rPr>
                <w:lang w:val="fr-CH"/>
              </w:rPr>
              <w:t xml:space="preserve"> </w:t>
            </w:r>
            <w:r w:rsidR="009143B2">
              <w:rPr>
                <w:lang w:val="fr-CH"/>
              </w:rPr>
              <w:t>DU</w:t>
            </w:r>
            <w:r>
              <w:rPr>
                <w:lang w:val="fr-CH"/>
              </w:rPr>
              <w:t xml:space="preserve"> r</w:t>
            </w:r>
            <w:r w:rsidR="00B45AF6">
              <w:rPr>
                <w:lang w:val="fr-CH"/>
              </w:rPr>
              <w:t xml:space="preserve">ôle </w:t>
            </w:r>
            <w:r w:rsidR="00DC31AD">
              <w:rPr>
                <w:lang w:val="fr-CH"/>
              </w:rPr>
              <w:t>DE</w:t>
            </w:r>
            <w:r>
              <w:rPr>
                <w:lang w:val="fr-CH"/>
              </w:rPr>
              <w:t xml:space="preserve"> l'uit</w:t>
            </w:r>
            <w:r>
              <w:rPr>
                <w:lang w:val="fr-CH"/>
              </w:rPr>
              <w:noBreakHyphen/>
              <w:t xml:space="preserve">T </w:t>
            </w:r>
            <w:r w:rsidR="00B45AF6">
              <w:rPr>
                <w:lang w:val="fr-CH"/>
              </w:rPr>
              <w:t xml:space="preserve">pour garantir </w:t>
            </w:r>
            <w:r>
              <w:rPr>
                <w:lang w:val="fr-CH"/>
              </w:rPr>
              <w:t xml:space="preserve">la confidentialité des </w:t>
            </w:r>
            <w:r w:rsidR="001C4641">
              <w:rPr>
                <w:lang w:val="fr-CH"/>
              </w:rPr>
              <w:br/>
            </w:r>
            <w:r>
              <w:rPr>
                <w:lang w:val="fr-CH"/>
              </w:rPr>
              <w:t>données et</w:t>
            </w:r>
            <w:r w:rsidR="00B45AF6">
              <w:rPr>
                <w:lang w:val="fr-CH"/>
              </w:rPr>
              <w:t xml:space="preserve"> instaurer</w:t>
            </w:r>
            <w:r>
              <w:rPr>
                <w:lang w:val="fr-CH"/>
              </w:rPr>
              <w:t xml:space="preserve"> la confiance dans </w:t>
            </w:r>
            <w:r w:rsidR="001C4641">
              <w:rPr>
                <w:lang w:val="fr-CH"/>
              </w:rPr>
              <w:br/>
            </w:r>
            <w:r>
              <w:rPr>
                <w:lang w:val="fr-CH"/>
              </w:rPr>
              <w:t>les infrastructures et les services tic</w:t>
            </w:r>
          </w:p>
        </w:tc>
      </w:tr>
      <w:tr w:rsidR="00595780" w:rsidRPr="001C4641" w:rsidTr="00530525">
        <w:trPr>
          <w:cantSplit/>
        </w:trPr>
        <w:tc>
          <w:tcPr>
            <w:tcW w:w="9811" w:type="dxa"/>
            <w:gridSpan w:val="4"/>
          </w:tcPr>
          <w:p w:rsidR="00595780" w:rsidRPr="00B45AF6" w:rsidRDefault="00595780" w:rsidP="001C4641">
            <w:pPr>
              <w:pStyle w:val="Title2"/>
              <w:spacing w:before="0"/>
              <w:rPr>
                <w:lang w:val="fr-CH"/>
              </w:rPr>
            </w:pPr>
          </w:p>
        </w:tc>
      </w:tr>
      <w:tr w:rsidR="00C26BA2" w:rsidRPr="001C4641" w:rsidTr="00530525">
        <w:trPr>
          <w:cantSplit/>
        </w:trPr>
        <w:tc>
          <w:tcPr>
            <w:tcW w:w="9811" w:type="dxa"/>
            <w:gridSpan w:val="4"/>
          </w:tcPr>
          <w:p w:rsidR="00C26BA2" w:rsidRPr="00B45AF6" w:rsidRDefault="00C26BA2" w:rsidP="001C4641">
            <w:pPr>
              <w:pStyle w:val="Agendaitem"/>
              <w:rPr>
                <w:lang w:val="fr-CH"/>
              </w:rPr>
            </w:pPr>
          </w:p>
        </w:tc>
      </w:tr>
    </w:tbl>
    <w:p w:rsidR="00E11197" w:rsidRPr="00B45AF6" w:rsidRDefault="00E11197" w:rsidP="001C4641">
      <w:pPr>
        <w:rPr>
          <w:lang w:val="fr-CH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1C4641" w:rsidTr="00193AD1">
        <w:trPr>
          <w:cantSplit/>
        </w:trPr>
        <w:tc>
          <w:tcPr>
            <w:tcW w:w="1951" w:type="dxa"/>
          </w:tcPr>
          <w:p w:rsidR="00E11197" w:rsidRPr="008778EB" w:rsidRDefault="00E11197" w:rsidP="001C4641">
            <w:pPr>
              <w:rPr>
                <w:lang w:val="fr-CH"/>
              </w:rPr>
            </w:pPr>
            <w:r w:rsidRPr="008778EB">
              <w:rPr>
                <w:b/>
                <w:bCs/>
                <w:lang w:val="fr-CH"/>
              </w:rPr>
              <w:t>Résumé:</w:t>
            </w:r>
          </w:p>
        </w:tc>
        <w:sdt>
          <w:sdtPr>
            <w:rPr>
              <w:rFonts w:eastAsia="Times New Roman"/>
              <w:color w:val="000000" w:themeColor="text1"/>
              <w:lang w:val="fr-FR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E11197" w:rsidRPr="00CB6158" w:rsidRDefault="00E979F5" w:rsidP="001C4641">
                <w:pPr>
                  <w:rPr>
                    <w:color w:val="000000" w:themeColor="text1"/>
                    <w:lang w:val="fr-FR"/>
                  </w:rPr>
                </w:pPr>
                <w:r w:rsidRPr="00CB6158">
                  <w:rPr>
                    <w:rFonts w:eastAsia="Times New Roman"/>
                    <w:color w:val="000000" w:themeColor="text1"/>
                    <w:lang w:val="fr-FR"/>
                  </w:rPr>
                  <w:t xml:space="preserve">L'objet de la présente contribution est de soumettre à l'Assemblée mondiale de normalisation des télécommunications </w:t>
                </w:r>
                <w:r w:rsidR="00762E16">
                  <w:rPr>
                    <w:rFonts w:eastAsia="Times New Roman"/>
                    <w:color w:val="000000" w:themeColor="text1"/>
                    <w:lang w:val="fr-FR"/>
                  </w:rPr>
                  <w:t xml:space="preserve">de 2016 </w:t>
                </w:r>
                <w:r w:rsidRPr="00CB6158">
                  <w:rPr>
                    <w:rFonts w:eastAsia="Times New Roman"/>
                    <w:color w:val="000000" w:themeColor="text1"/>
                    <w:lang w:val="fr-FR"/>
                  </w:rPr>
                  <w:t xml:space="preserve">(AMNT-16) une proposition commune des Etats arabes concernant un </w:t>
                </w:r>
                <w:r w:rsidR="00CB6158" w:rsidRPr="00CB6158">
                  <w:rPr>
                    <w:rFonts w:eastAsia="Times New Roman"/>
                    <w:color w:val="000000" w:themeColor="text1"/>
                    <w:lang w:val="fr-FR"/>
                  </w:rPr>
                  <w:t>projet</w:t>
                </w:r>
                <w:r w:rsidRPr="00CB6158">
                  <w:rPr>
                    <w:rFonts w:eastAsia="Times New Roman"/>
                    <w:color w:val="000000" w:themeColor="text1"/>
                    <w:lang w:val="fr-FR"/>
                  </w:rPr>
                  <w:t xml:space="preserve"> de nouvelle Résolution sur le renforcement du rôle </w:t>
                </w:r>
                <w:r w:rsidR="006D47B2">
                  <w:rPr>
                    <w:rFonts w:eastAsia="Times New Roman"/>
                    <w:color w:val="000000" w:themeColor="text1"/>
                    <w:lang w:val="fr-FR"/>
                  </w:rPr>
                  <w:t>de</w:t>
                </w:r>
                <w:r w:rsidRPr="00CB6158">
                  <w:rPr>
                    <w:rFonts w:eastAsia="Times New Roman"/>
                    <w:color w:val="000000" w:themeColor="text1"/>
                    <w:lang w:val="fr-FR"/>
                  </w:rPr>
                  <w:t xml:space="preserve"> l'UIT-T pour garantir la confidentialité des données et l</w:t>
                </w:r>
                <w:r w:rsidR="00CB6158" w:rsidRPr="00CB6158">
                  <w:rPr>
                    <w:rFonts w:eastAsia="Times New Roman"/>
                    <w:color w:val="000000" w:themeColor="text1"/>
                    <w:lang w:val="fr-FR"/>
                  </w:rPr>
                  <w:t>a confiance dans les infrastruc</w:t>
                </w:r>
                <w:r w:rsidRPr="00CB6158">
                  <w:rPr>
                    <w:rFonts w:eastAsia="Times New Roman"/>
                    <w:color w:val="000000" w:themeColor="text1"/>
                    <w:lang w:val="fr-FR"/>
                  </w:rPr>
                  <w:t>t</w:t>
                </w:r>
                <w:r w:rsidR="00CB6158" w:rsidRPr="00CB6158">
                  <w:rPr>
                    <w:rFonts w:eastAsia="Times New Roman"/>
                    <w:color w:val="000000" w:themeColor="text1"/>
                    <w:lang w:val="fr-FR"/>
                  </w:rPr>
                  <w:t>u</w:t>
                </w:r>
                <w:r w:rsidRPr="00CB6158">
                  <w:rPr>
                    <w:rFonts w:eastAsia="Times New Roman"/>
                    <w:color w:val="000000" w:themeColor="text1"/>
                    <w:lang w:val="fr-FR"/>
                  </w:rPr>
                  <w:t>res et les services TIC.</w:t>
                </w:r>
              </w:p>
            </w:tc>
          </w:sdtContent>
        </w:sdt>
      </w:tr>
    </w:tbl>
    <w:p w:rsidR="00F776DF" w:rsidRPr="00E979F5" w:rsidRDefault="00F776DF" w:rsidP="001C464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</w:p>
    <w:p w:rsidR="00F776DF" w:rsidRPr="00E979F5" w:rsidRDefault="00F776DF" w:rsidP="001C464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E979F5">
        <w:rPr>
          <w:lang w:val="fr-CH"/>
        </w:rPr>
        <w:br w:type="page"/>
      </w:r>
    </w:p>
    <w:p w:rsidR="00B25F3B" w:rsidRPr="00B25F3B" w:rsidRDefault="00B25F3B" w:rsidP="001C4641">
      <w:pPr>
        <w:pStyle w:val="Proposal"/>
        <w:rPr>
          <w:lang w:val="fr-CH"/>
        </w:rPr>
      </w:pPr>
      <w:r w:rsidRPr="00B25F3B">
        <w:rPr>
          <w:lang w:val="fr-CH"/>
        </w:rPr>
        <w:lastRenderedPageBreak/>
        <w:t>ADD</w:t>
      </w:r>
      <w:r w:rsidRPr="00B25F3B">
        <w:rPr>
          <w:lang w:val="fr-CH"/>
        </w:rPr>
        <w:tab/>
        <w:t>ARB/43A28/1</w:t>
      </w:r>
    </w:p>
    <w:p w:rsidR="00B25F3B" w:rsidRPr="00B25F3B" w:rsidRDefault="00821248" w:rsidP="001C4641">
      <w:pPr>
        <w:pStyle w:val="ResNo"/>
        <w:rPr>
          <w:lang w:val="fr-CH"/>
        </w:rPr>
      </w:pPr>
      <w:r>
        <w:rPr>
          <w:lang w:val="fr-CH"/>
        </w:rPr>
        <w:t>PROJET DE NOUVELLE RÉ</w:t>
      </w:r>
      <w:r w:rsidR="00B25F3B" w:rsidRPr="00B25F3B">
        <w:rPr>
          <w:lang w:val="fr-CH"/>
        </w:rPr>
        <w:t>SOLUTION [ARB-</w:t>
      </w:r>
      <w:r w:rsidR="00E979F5">
        <w:rPr>
          <w:lang w:val="fr-CH"/>
        </w:rPr>
        <w:t>6</w:t>
      </w:r>
      <w:r w:rsidR="00B25F3B" w:rsidRPr="00B25F3B">
        <w:rPr>
          <w:lang w:val="fr-CH"/>
        </w:rPr>
        <w:t>]</w:t>
      </w:r>
    </w:p>
    <w:p w:rsidR="00D505AF" w:rsidRPr="00D505AF" w:rsidRDefault="00D505AF" w:rsidP="001C4641">
      <w:pPr>
        <w:pStyle w:val="Restitle"/>
        <w:rPr>
          <w:lang w:val="fr-CH"/>
        </w:rPr>
      </w:pPr>
      <w:r w:rsidRPr="00D505AF">
        <w:rPr>
          <w:lang w:val="fr-CH"/>
        </w:rPr>
        <w:t>Renforce</w:t>
      </w:r>
      <w:r w:rsidR="009143B2">
        <w:rPr>
          <w:lang w:val="fr-CH"/>
        </w:rPr>
        <w:t>ment</w:t>
      </w:r>
      <w:r w:rsidRPr="00D505AF">
        <w:rPr>
          <w:lang w:val="fr-CH"/>
        </w:rPr>
        <w:t xml:space="preserve"> </w:t>
      </w:r>
      <w:r w:rsidR="009143B2">
        <w:rPr>
          <w:lang w:val="fr-CH"/>
        </w:rPr>
        <w:t>du</w:t>
      </w:r>
      <w:r w:rsidRPr="00D505AF">
        <w:rPr>
          <w:lang w:val="fr-CH"/>
        </w:rPr>
        <w:t xml:space="preserve"> r</w:t>
      </w:r>
      <w:r w:rsidRPr="00D505AF">
        <w:rPr>
          <w:lang w:val="fr-CH"/>
        </w:rPr>
        <w:t>ô</w:t>
      </w:r>
      <w:r w:rsidRPr="00D505AF">
        <w:rPr>
          <w:lang w:val="fr-CH"/>
        </w:rPr>
        <w:t xml:space="preserve">le </w:t>
      </w:r>
      <w:r w:rsidR="009143B2">
        <w:rPr>
          <w:lang w:val="fr-CH"/>
        </w:rPr>
        <w:t>du Secteur de la normalisation des t</w:t>
      </w:r>
      <w:r w:rsidR="009143B2">
        <w:rPr>
          <w:lang w:val="fr-CH"/>
        </w:rPr>
        <w:t>é</w:t>
      </w:r>
      <w:r w:rsidR="009143B2">
        <w:rPr>
          <w:lang w:val="fr-CH"/>
        </w:rPr>
        <w:t>l</w:t>
      </w:r>
      <w:r w:rsidR="009143B2">
        <w:rPr>
          <w:lang w:val="fr-CH"/>
        </w:rPr>
        <w:t>é</w:t>
      </w:r>
      <w:r w:rsidR="009143B2">
        <w:rPr>
          <w:lang w:val="fr-CH"/>
        </w:rPr>
        <w:t>communications de l'UIT</w:t>
      </w:r>
      <w:r w:rsidRPr="00D505AF">
        <w:rPr>
          <w:lang w:val="fr-CH"/>
        </w:rPr>
        <w:t xml:space="preserve"> </w:t>
      </w:r>
      <w:r>
        <w:rPr>
          <w:lang w:val="fr-CH"/>
        </w:rPr>
        <w:t>pour garantir la confidentialit</w:t>
      </w:r>
      <w:r>
        <w:rPr>
          <w:lang w:val="fr-CH"/>
        </w:rPr>
        <w:t>é</w:t>
      </w:r>
      <w:r>
        <w:rPr>
          <w:lang w:val="fr-CH"/>
        </w:rPr>
        <w:t xml:space="preserve"> des donn</w:t>
      </w:r>
      <w:r>
        <w:rPr>
          <w:lang w:val="fr-CH"/>
        </w:rPr>
        <w:t>é</w:t>
      </w:r>
      <w:r>
        <w:rPr>
          <w:lang w:val="fr-CH"/>
        </w:rPr>
        <w:t xml:space="preserve">es et la confiance dans les infrastructures et les services </w:t>
      </w:r>
      <w:r w:rsidR="009143B2">
        <w:rPr>
          <w:lang w:val="fr-CH"/>
        </w:rPr>
        <w:t xml:space="preserve">de technologies de l'information et </w:t>
      </w:r>
      <w:r w:rsidR="00762E16">
        <w:rPr>
          <w:lang w:val="fr-CH"/>
        </w:rPr>
        <w:br/>
      </w:r>
      <w:r w:rsidR="009143B2">
        <w:rPr>
          <w:lang w:val="fr-CH"/>
        </w:rPr>
        <w:t>de la communication</w:t>
      </w:r>
    </w:p>
    <w:p w:rsidR="00DE6B56" w:rsidRDefault="00DE6B56" w:rsidP="001C4641">
      <w:pPr>
        <w:pStyle w:val="Resref"/>
      </w:pPr>
      <w:r>
        <w:t>(Hammamet, 2016)</w:t>
      </w:r>
    </w:p>
    <w:p w:rsidR="00DE6B56" w:rsidRPr="0039623A" w:rsidRDefault="0039623A" w:rsidP="001C4641">
      <w:pPr>
        <w:pStyle w:val="Normalaftertitle"/>
        <w:rPr>
          <w:lang w:val="fr-CH"/>
        </w:rPr>
      </w:pPr>
      <w:r w:rsidRPr="0039623A">
        <w:rPr>
          <w:lang w:val="fr-CH"/>
        </w:rPr>
        <w:t>L'Assemblée mondiale de normalisation des télécommunications</w:t>
      </w:r>
      <w:r w:rsidR="00DE6B56" w:rsidRPr="0039623A">
        <w:rPr>
          <w:lang w:val="fr-CH"/>
        </w:rPr>
        <w:t xml:space="preserve"> (Hammamet, 2016),</w:t>
      </w:r>
    </w:p>
    <w:p w:rsidR="0039623A" w:rsidRPr="00667EB5" w:rsidRDefault="00D505AF" w:rsidP="001C4641">
      <w:pPr>
        <w:pStyle w:val="Call"/>
        <w:rPr>
          <w:lang w:val="fr-CH"/>
        </w:rPr>
      </w:pPr>
      <w:r>
        <w:rPr>
          <w:lang w:val="fr-CH"/>
        </w:rPr>
        <w:t>rappelant</w:t>
      </w:r>
    </w:p>
    <w:p w:rsidR="0039623A" w:rsidRPr="00A411B1" w:rsidRDefault="0039623A" w:rsidP="001C4641">
      <w:pPr>
        <w:rPr>
          <w:lang w:val="fr-CH"/>
        </w:rPr>
      </w:pPr>
      <w:r w:rsidRPr="00A411B1">
        <w:rPr>
          <w:i/>
          <w:iCs/>
          <w:lang w:val="fr-CH"/>
        </w:rPr>
        <w:t>a)</w:t>
      </w:r>
      <w:r w:rsidRPr="00A411B1">
        <w:rPr>
          <w:lang w:val="fr-CH"/>
        </w:rPr>
        <w:tab/>
      </w:r>
      <w:r w:rsidR="00A411B1" w:rsidRPr="00A411B1">
        <w:rPr>
          <w:lang w:val="fr-CH"/>
        </w:rPr>
        <w:t>la Résolution 68/167 de l'Assemblée générale des Nations Unies</w:t>
      </w:r>
      <w:r w:rsidR="00D505AF">
        <w:rPr>
          <w:lang w:val="fr-CH"/>
        </w:rPr>
        <w:t>,</w:t>
      </w:r>
      <w:r w:rsidR="00A411B1" w:rsidRPr="00A411B1">
        <w:rPr>
          <w:lang w:val="fr-CH"/>
        </w:rPr>
        <w:t xml:space="preserve"> intitulée "Le droit à la vie privée à l'ère du numérique";</w:t>
      </w:r>
    </w:p>
    <w:p w:rsidR="0039623A" w:rsidRPr="00EE5C1D" w:rsidRDefault="0039623A" w:rsidP="001C4641">
      <w:pPr>
        <w:rPr>
          <w:lang w:val="fr-CH"/>
        </w:rPr>
      </w:pPr>
      <w:r w:rsidRPr="00A411B1">
        <w:rPr>
          <w:i/>
          <w:iCs/>
          <w:lang w:val="fr-CH"/>
        </w:rPr>
        <w:t>b)</w:t>
      </w:r>
      <w:r w:rsidRPr="00A411B1">
        <w:rPr>
          <w:lang w:val="fr-CH"/>
        </w:rPr>
        <w:tab/>
      </w:r>
      <w:bookmarkStart w:id="0" w:name="_Toc407016224"/>
      <w:r w:rsidR="00D505AF">
        <w:rPr>
          <w:lang w:val="fr-CH"/>
        </w:rPr>
        <w:t xml:space="preserve">la </w:t>
      </w:r>
      <w:r w:rsidR="00A411B1">
        <w:rPr>
          <w:lang w:val="fr-CH"/>
        </w:rPr>
        <w:t>Résolution</w:t>
      </w:r>
      <w:r w:rsidR="00A411B1" w:rsidRPr="00A411B1">
        <w:rPr>
          <w:lang w:val="fr-CH"/>
        </w:rPr>
        <w:t xml:space="preserve"> </w:t>
      </w:r>
      <w:r w:rsidR="00A411B1" w:rsidRPr="00A411B1">
        <w:rPr>
          <w:rStyle w:val="href"/>
          <w:lang w:val="fr-CH"/>
        </w:rPr>
        <w:t xml:space="preserve">130 </w:t>
      </w:r>
      <w:r w:rsidR="00EE5C1D">
        <w:rPr>
          <w:lang w:val="fr-CH"/>
        </w:rPr>
        <w:t>(Rév</w:t>
      </w:r>
      <w:r w:rsidR="00A411B1" w:rsidRPr="00A411B1">
        <w:rPr>
          <w:lang w:val="fr-CH"/>
        </w:rPr>
        <w:t>. Busan, 2014)</w:t>
      </w:r>
      <w:bookmarkEnd w:id="0"/>
      <w:r w:rsidR="00EE5C1D">
        <w:rPr>
          <w:lang w:val="fr-CH"/>
        </w:rPr>
        <w:t xml:space="preserve"> de l</w:t>
      </w:r>
      <w:r w:rsidR="00A411B1" w:rsidRPr="00A411B1">
        <w:rPr>
          <w:lang w:val="fr-CH"/>
        </w:rPr>
        <w:t>a Conférence de plénipotentiaires</w:t>
      </w:r>
      <w:r w:rsidR="009143B2">
        <w:rPr>
          <w:lang w:val="fr-CH"/>
        </w:rPr>
        <w:t xml:space="preserve"> sur le renforcement du rôle de</w:t>
      </w:r>
      <w:r w:rsidR="00D505AF">
        <w:rPr>
          <w:lang w:val="fr-CH"/>
        </w:rPr>
        <w:t xml:space="preserve"> l'UIT</w:t>
      </w:r>
      <w:r w:rsidR="00A411B1" w:rsidRPr="00A411B1">
        <w:rPr>
          <w:lang w:val="fr-CH"/>
        </w:rPr>
        <w:t xml:space="preserve"> </w:t>
      </w:r>
      <w:bookmarkStart w:id="1" w:name="_Toc165351506"/>
      <w:bookmarkStart w:id="2" w:name="_Toc407016225"/>
      <w:r w:rsidR="00EE5C1D" w:rsidRPr="00EE5C1D">
        <w:rPr>
          <w:lang w:val="fr-CH"/>
        </w:rPr>
        <w:t>dans l'instauration de la confiance et de la sécurité dans l'utilisation des technologies de l'information et de la communication</w:t>
      </w:r>
      <w:bookmarkEnd w:id="1"/>
      <w:bookmarkEnd w:id="2"/>
      <w:r w:rsidR="00762E16">
        <w:rPr>
          <w:lang w:val="fr-CH"/>
        </w:rPr>
        <w:t xml:space="preserve"> (TIC)</w:t>
      </w:r>
      <w:r w:rsidR="009143B2">
        <w:rPr>
          <w:lang w:val="fr-CH"/>
        </w:rPr>
        <w:t>;</w:t>
      </w:r>
    </w:p>
    <w:p w:rsidR="00DD2599" w:rsidRPr="008B732A" w:rsidRDefault="00000C1C" w:rsidP="001C4641">
      <w:pPr>
        <w:rPr>
          <w:lang w:val="fr-CH"/>
        </w:rPr>
      </w:pPr>
      <w:r>
        <w:rPr>
          <w:i/>
          <w:iCs/>
          <w:lang w:val="fr-CH"/>
        </w:rPr>
        <w:t>c</w:t>
      </w:r>
      <w:r w:rsidR="0039623A" w:rsidRPr="008B732A">
        <w:rPr>
          <w:i/>
          <w:iCs/>
          <w:lang w:val="fr-CH"/>
        </w:rPr>
        <w:t>)</w:t>
      </w:r>
      <w:r w:rsidR="00DD2599" w:rsidRPr="008B732A">
        <w:rPr>
          <w:lang w:val="fr-CH"/>
        </w:rPr>
        <w:tab/>
      </w:r>
      <w:r w:rsidR="003D3249">
        <w:rPr>
          <w:lang w:val="fr-CH"/>
        </w:rPr>
        <w:t xml:space="preserve">la </w:t>
      </w:r>
      <w:r w:rsidR="00DD2599" w:rsidRPr="008B732A">
        <w:rPr>
          <w:lang w:val="fr-CH"/>
        </w:rPr>
        <w:t>Ré</w:t>
      </w:r>
      <w:r w:rsidR="0039623A" w:rsidRPr="008B732A">
        <w:rPr>
          <w:lang w:val="fr-CH"/>
        </w:rPr>
        <w:t>solution 174 (</w:t>
      </w:r>
      <w:r w:rsidR="00DD2599" w:rsidRPr="008B732A">
        <w:rPr>
          <w:lang w:val="fr-CH"/>
        </w:rPr>
        <w:t>Ré</w:t>
      </w:r>
      <w:r w:rsidR="008B732A">
        <w:rPr>
          <w:lang w:val="fr-CH"/>
        </w:rPr>
        <w:t>v. Busan, 2014) de l</w:t>
      </w:r>
      <w:r w:rsidR="008B732A" w:rsidRPr="008B732A">
        <w:rPr>
          <w:lang w:val="fr-CH"/>
        </w:rPr>
        <w:t xml:space="preserve">a Conférence de plénipotentiaires </w:t>
      </w:r>
      <w:r w:rsidR="003D3249">
        <w:rPr>
          <w:lang w:val="fr-CH"/>
        </w:rPr>
        <w:t>sur le</w:t>
      </w:r>
      <w:r w:rsidR="008B732A">
        <w:rPr>
          <w:lang w:val="fr-CH"/>
        </w:rPr>
        <w:t xml:space="preserve"> </w:t>
      </w:r>
      <w:bookmarkStart w:id="3" w:name="_Toc407016269"/>
      <w:r w:rsidR="008B732A">
        <w:rPr>
          <w:lang w:val="fr-CH"/>
        </w:rPr>
        <w:t>r</w:t>
      </w:r>
      <w:r w:rsidR="008B732A" w:rsidRPr="008B732A">
        <w:rPr>
          <w:lang w:val="fr-CH"/>
        </w:rPr>
        <w:t>ôle de l'UIT concernant les questions de politiques publiques internationales ayant trait aux risques d'utilisation des technologies de l'information et de la communication à des fins illicites</w:t>
      </w:r>
      <w:bookmarkEnd w:id="3"/>
      <w:r w:rsidR="00762E16">
        <w:rPr>
          <w:lang w:val="fr-CH"/>
        </w:rPr>
        <w:t>;</w:t>
      </w:r>
    </w:p>
    <w:p w:rsidR="008B732A" w:rsidRPr="008B732A" w:rsidRDefault="008B732A" w:rsidP="001C4641">
      <w:pPr>
        <w:rPr>
          <w:lang w:val="fr-CH"/>
        </w:rPr>
      </w:pPr>
      <w:r w:rsidRPr="008B732A">
        <w:rPr>
          <w:i/>
          <w:iCs/>
          <w:lang w:val="fr-CH"/>
        </w:rPr>
        <w:t>d)</w:t>
      </w:r>
      <w:r w:rsidR="003D3249">
        <w:rPr>
          <w:lang w:val="fr-CH"/>
        </w:rPr>
        <w:tab/>
      </w:r>
      <w:r w:rsidR="009143B2">
        <w:rPr>
          <w:lang w:val="fr-CH"/>
        </w:rPr>
        <w:t xml:space="preserve">le </w:t>
      </w:r>
      <w:r w:rsidR="00140EAC">
        <w:rPr>
          <w:lang w:val="fr-CH"/>
        </w:rPr>
        <w:t>R</w:t>
      </w:r>
      <w:r w:rsidR="009143B2">
        <w:rPr>
          <w:lang w:val="fr-CH"/>
        </w:rPr>
        <w:t>apport</w:t>
      </w:r>
      <w:r w:rsidR="00622829">
        <w:rPr>
          <w:lang w:val="fr-CH"/>
        </w:rPr>
        <w:t xml:space="preserve"> </w:t>
      </w:r>
      <w:r w:rsidR="003D3249">
        <w:rPr>
          <w:lang w:val="fr-CH"/>
        </w:rPr>
        <w:t>de l'édition 2015 de l</w:t>
      </w:r>
      <w:r w:rsidR="006D47B2">
        <w:rPr>
          <w:lang w:val="fr-CH"/>
        </w:rPr>
        <w:t>a C</w:t>
      </w:r>
      <w:r w:rsidRPr="008B732A">
        <w:rPr>
          <w:lang w:val="fr-CH"/>
        </w:rPr>
        <w:t xml:space="preserve">onférence </w:t>
      </w:r>
      <w:r w:rsidR="009143B2">
        <w:rPr>
          <w:lang w:val="fr-CH"/>
        </w:rPr>
        <w:t>multidisciplinaire</w:t>
      </w:r>
      <w:r w:rsidRPr="008B732A">
        <w:rPr>
          <w:lang w:val="fr-CH"/>
        </w:rPr>
        <w:t xml:space="preserve"> </w:t>
      </w:r>
      <w:r w:rsidR="009143B2">
        <w:rPr>
          <w:lang w:val="fr-CH"/>
        </w:rPr>
        <w:t>"</w:t>
      </w:r>
      <w:r w:rsidRPr="008B732A">
        <w:rPr>
          <w:lang w:val="fr-CH"/>
        </w:rPr>
        <w:t>Kaléidoscope</w:t>
      </w:r>
      <w:r w:rsidR="009143B2">
        <w:rPr>
          <w:lang w:val="fr-CH"/>
        </w:rPr>
        <w:t>"</w:t>
      </w:r>
      <w:r w:rsidRPr="008B732A">
        <w:rPr>
          <w:lang w:val="fr-CH"/>
        </w:rPr>
        <w:t xml:space="preserve"> de l'UIT sur</w:t>
      </w:r>
      <w:r w:rsidR="009143B2">
        <w:rPr>
          <w:lang w:val="fr-CH"/>
        </w:rPr>
        <w:t xml:space="preserve"> le thème </w:t>
      </w:r>
      <w:r w:rsidRPr="008B732A">
        <w:rPr>
          <w:lang w:val="fr-CH"/>
        </w:rPr>
        <w:t>"La confiance dans la société de l'information",</w:t>
      </w:r>
    </w:p>
    <w:p w:rsidR="0039623A" w:rsidRPr="009143B2" w:rsidRDefault="009143B2" w:rsidP="001C4641">
      <w:pPr>
        <w:pStyle w:val="Call"/>
        <w:rPr>
          <w:lang w:val="fr-FR"/>
        </w:rPr>
      </w:pPr>
      <w:r w:rsidRPr="009143B2">
        <w:rPr>
          <w:lang w:val="fr-FR"/>
        </w:rPr>
        <w:t>reconnaissant</w:t>
      </w:r>
    </w:p>
    <w:p w:rsidR="00CB5142" w:rsidRPr="00CB5142" w:rsidRDefault="0039623A" w:rsidP="001C4641">
      <w:pPr>
        <w:rPr>
          <w:lang w:val="fr-FR"/>
        </w:rPr>
      </w:pPr>
      <w:r w:rsidRPr="00CB5142">
        <w:rPr>
          <w:i/>
          <w:iCs/>
          <w:lang w:val="fr-CH"/>
        </w:rPr>
        <w:t>a)</w:t>
      </w:r>
      <w:r w:rsidRPr="00CB5142">
        <w:rPr>
          <w:lang w:val="fr-CH"/>
        </w:rPr>
        <w:tab/>
      </w:r>
      <w:r w:rsidR="00CB5142" w:rsidRPr="00CB5142">
        <w:rPr>
          <w:lang w:val="fr-FR"/>
        </w:rPr>
        <w:t xml:space="preserve">que la confiance est un élément essentiel </w:t>
      </w:r>
      <w:r w:rsidR="00CB5142">
        <w:rPr>
          <w:lang w:val="fr-FR"/>
        </w:rPr>
        <w:t xml:space="preserve">pour mettre en place des TIC, </w:t>
      </w:r>
      <w:r w:rsidR="009143B2">
        <w:rPr>
          <w:lang w:val="fr-FR"/>
        </w:rPr>
        <w:t>d'autant plus</w:t>
      </w:r>
      <w:r w:rsidR="00CB5142">
        <w:rPr>
          <w:lang w:val="fr-FR"/>
        </w:rPr>
        <w:t xml:space="preserve"> que toutes les formes d'activité sociale et économique dépendent des TIC et que le</w:t>
      </w:r>
      <w:r w:rsidR="009143B2">
        <w:rPr>
          <w:lang w:val="fr-FR"/>
        </w:rPr>
        <w:t>s réseaux futurs devront permettre la fourniture</w:t>
      </w:r>
      <w:r w:rsidR="00CB5142">
        <w:rPr>
          <w:lang w:val="fr-FR"/>
        </w:rPr>
        <w:t xml:space="preserve"> </w:t>
      </w:r>
      <w:r w:rsidR="009143B2">
        <w:rPr>
          <w:lang w:val="fr-FR"/>
        </w:rPr>
        <w:t xml:space="preserve">d'un </w:t>
      </w:r>
      <w:r w:rsidR="00CB5142">
        <w:rPr>
          <w:lang w:val="fr-FR"/>
        </w:rPr>
        <w:t xml:space="preserve">volume </w:t>
      </w:r>
      <w:r w:rsidR="009143B2">
        <w:rPr>
          <w:lang w:val="fr-FR"/>
        </w:rPr>
        <w:t xml:space="preserve">considérable </w:t>
      </w:r>
      <w:r w:rsidR="00CB5142">
        <w:rPr>
          <w:lang w:val="fr-FR"/>
        </w:rPr>
        <w:t>d'applications, de données et de services TIC, en raison de la multiplication des dispositifs et objets connectés;</w:t>
      </w:r>
    </w:p>
    <w:p w:rsidR="00CB5142" w:rsidRPr="00CB5142" w:rsidRDefault="0039623A" w:rsidP="001C4641">
      <w:pPr>
        <w:rPr>
          <w:lang w:val="fr-FR"/>
        </w:rPr>
      </w:pPr>
      <w:r w:rsidRPr="00CB5142">
        <w:rPr>
          <w:i/>
          <w:iCs/>
          <w:lang w:val="fr-FR"/>
        </w:rPr>
        <w:t>b)</w:t>
      </w:r>
      <w:r w:rsidRPr="00CB5142">
        <w:rPr>
          <w:lang w:val="fr-FR"/>
        </w:rPr>
        <w:tab/>
      </w:r>
      <w:r w:rsidR="00CB5142" w:rsidRPr="00CB5142">
        <w:rPr>
          <w:lang w:val="fr-FR"/>
        </w:rPr>
        <w:t xml:space="preserve">que les consommateurs </w:t>
      </w:r>
      <w:r w:rsidR="00CB5142">
        <w:rPr>
          <w:lang w:val="fr-FR"/>
        </w:rPr>
        <w:t xml:space="preserve">doivent avoir suffisamment confiance dans les technologies pour </w:t>
      </w:r>
      <w:r w:rsidR="009143B2">
        <w:rPr>
          <w:lang w:val="fr-FR"/>
        </w:rPr>
        <w:t>pouvoir tirer pleinement parti de</w:t>
      </w:r>
      <w:r w:rsidR="00CB5142">
        <w:rPr>
          <w:lang w:val="fr-FR"/>
        </w:rPr>
        <w:t xml:space="preserve"> l'Internet des objets</w:t>
      </w:r>
      <w:r w:rsidR="00762E16">
        <w:rPr>
          <w:lang w:val="fr-FR"/>
        </w:rPr>
        <w:t xml:space="preserve"> (IoT)</w:t>
      </w:r>
      <w:r w:rsidR="00CB5142">
        <w:rPr>
          <w:lang w:val="fr-FR"/>
        </w:rPr>
        <w:t>;</w:t>
      </w:r>
    </w:p>
    <w:p w:rsidR="009B081F" w:rsidRPr="009B081F" w:rsidRDefault="0039623A" w:rsidP="001C4641">
      <w:pPr>
        <w:rPr>
          <w:lang w:val="fr-CH"/>
        </w:rPr>
      </w:pPr>
      <w:r w:rsidRPr="009B081F">
        <w:rPr>
          <w:i/>
          <w:iCs/>
          <w:lang w:val="fr-CH"/>
        </w:rPr>
        <w:t>c)</w:t>
      </w:r>
      <w:r w:rsidRPr="009B081F">
        <w:rPr>
          <w:lang w:val="fr-CH"/>
        </w:rPr>
        <w:tab/>
      </w:r>
      <w:r w:rsidR="009B081F" w:rsidRPr="009B081F">
        <w:rPr>
          <w:lang w:val="fr-CH"/>
        </w:rPr>
        <w:t xml:space="preserve">que la multiplication des dispositifs hertziens </w:t>
      </w:r>
      <w:r w:rsidR="009B081F">
        <w:rPr>
          <w:lang w:val="fr-CH"/>
        </w:rPr>
        <w:t>ubiquitaires devrait aggraver le problème de la confidentialité</w:t>
      </w:r>
      <w:r w:rsidR="00000484">
        <w:rPr>
          <w:lang w:val="fr-CH"/>
        </w:rPr>
        <w:t xml:space="preserve"> des données</w:t>
      </w:r>
      <w:r w:rsidR="009B081F">
        <w:rPr>
          <w:lang w:val="fr-CH"/>
        </w:rPr>
        <w:t xml:space="preserve">, en raison de la conception actuelle des protocoles de la couche liaison et de la couche inférieure, qui </w:t>
      </w:r>
      <w:r w:rsidR="00000484">
        <w:rPr>
          <w:lang w:val="fr-CH"/>
        </w:rPr>
        <w:t>donne</w:t>
      </w:r>
      <w:r w:rsidR="00C32089">
        <w:rPr>
          <w:lang w:val="fr-CH"/>
        </w:rPr>
        <w:t xml:space="preserve">nt généralement </w:t>
      </w:r>
      <w:r w:rsidR="009B081F">
        <w:rPr>
          <w:lang w:val="fr-CH"/>
        </w:rPr>
        <w:t xml:space="preserve">des informations telles que des noms </w:t>
      </w:r>
      <w:r w:rsidR="006D47B2">
        <w:rPr>
          <w:lang w:val="fr-CH"/>
        </w:rPr>
        <w:t>et</w:t>
      </w:r>
      <w:r w:rsidR="00000484">
        <w:rPr>
          <w:lang w:val="fr-CH"/>
        </w:rPr>
        <w:t xml:space="preserve"> </w:t>
      </w:r>
      <w:r w:rsidR="009B081F">
        <w:rPr>
          <w:lang w:val="fr-CH"/>
        </w:rPr>
        <w:t>identifiants implicites p</w:t>
      </w:r>
      <w:r w:rsidR="00000484">
        <w:rPr>
          <w:lang w:val="fr-CH"/>
        </w:rPr>
        <w:t>o</w:t>
      </w:r>
      <w:r w:rsidR="009B081F">
        <w:rPr>
          <w:lang w:val="fr-CH"/>
        </w:rPr>
        <w:t>uv</w:t>
      </w:r>
      <w:r w:rsidR="00000484">
        <w:rPr>
          <w:lang w:val="fr-CH"/>
        </w:rPr>
        <w:t>a</w:t>
      </w:r>
      <w:r w:rsidR="009B081F">
        <w:rPr>
          <w:lang w:val="fr-CH"/>
        </w:rPr>
        <w:t>nt révéler l'identité des utilisateurs;</w:t>
      </w:r>
    </w:p>
    <w:p w:rsidR="00C32089" w:rsidRPr="00C32089" w:rsidRDefault="0039623A" w:rsidP="001C4641">
      <w:pPr>
        <w:rPr>
          <w:lang w:val="fr-CH"/>
        </w:rPr>
      </w:pPr>
      <w:r w:rsidRPr="00C32089">
        <w:rPr>
          <w:i/>
          <w:iCs/>
          <w:lang w:val="fr-CH"/>
        </w:rPr>
        <w:t>d)</w:t>
      </w:r>
      <w:r w:rsidRPr="00C32089">
        <w:rPr>
          <w:lang w:val="fr-CH"/>
        </w:rPr>
        <w:tab/>
      </w:r>
      <w:r w:rsidR="00C32089" w:rsidRPr="00C32089">
        <w:rPr>
          <w:lang w:val="fr-CH"/>
        </w:rPr>
        <w:t xml:space="preserve">que les mégadonnées et </w:t>
      </w:r>
      <w:r w:rsidR="00000484">
        <w:rPr>
          <w:lang w:val="fr-CH"/>
        </w:rPr>
        <w:t>les techniques d</w:t>
      </w:r>
      <w:r w:rsidR="00C32089" w:rsidRPr="00C32089">
        <w:rPr>
          <w:lang w:val="fr-CH"/>
        </w:rPr>
        <w:t xml:space="preserve">'analyse des mégadonnées </w:t>
      </w:r>
      <w:r w:rsidR="00000484">
        <w:rPr>
          <w:lang w:val="fr-CH"/>
        </w:rPr>
        <w:t xml:space="preserve">ouvrent des perspectives nouvelles et devraient apporter de nouveaux avantages </w:t>
      </w:r>
      <w:r w:rsidR="00D66BE1">
        <w:rPr>
          <w:lang w:val="fr-CH"/>
        </w:rPr>
        <w:t>dans de nombreux domaines (</w:t>
      </w:r>
      <w:r w:rsidR="00000484">
        <w:rPr>
          <w:lang w:val="fr-CH"/>
        </w:rPr>
        <w:t>avancé</w:t>
      </w:r>
      <w:r w:rsidR="00D66BE1">
        <w:rPr>
          <w:lang w:val="fr-CH"/>
        </w:rPr>
        <w:t>es médicales</w:t>
      </w:r>
      <w:r w:rsidR="00000484">
        <w:rPr>
          <w:lang w:val="fr-CH"/>
        </w:rPr>
        <w:t>,</w:t>
      </w:r>
      <w:r w:rsidR="00D66BE1">
        <w:rPr>
          <w:lang w:val="fr-CH"/>
        </w:rPr>
        <w:t xml:space="preserve"> </w:t>
      </w:r>
      <w:r w:rsidR="00000484">
        <w:rPr>
          <w:lang w:val="fr-CH"/>
        </w:rPr>
        <w:t xml:space="preserve">découvertes </w:t>
      </w:r>
      <w:r w:rsidR="00D66BE1">
        <w:rPr>
          <w:lang w:val="fr-CH"/>
        </w:rPr>
        <w:t xml:space="preserve">scientifiques, économie, prévision des catastrophes, etc.), mais </w:t>
      </w:r>
      <w:r w:rsidR="00F473FB">
        <w:rPr>
          <w:lang w:val="fr-CH"/>
        </w:rPr>
        <w:t xml:space="preserve">font peser des menaces sur la </w:t>
      </w:r>
      <w:r w:rsidR="00AC3B2A">
        <w:rPr>
          <w:lang w:val="fr-CH"/>
        </w:rPr>
        <w:t xml:space="preserve">protection de la </w:t>
      </w:r>
      <w:r w:rsidR="00F473FB">
        <w:rPr>
          <w:lang w:val="fr-CH"/>
        </w:rPr>
        <w:t xml:space="preserve">vie privée </w:t>
      </w:r>
      <w:r w:rsidR="00AC3B2A">
        <w:rPr>
          <w:lang w:val="fr-CH"/>
        </w:rPr>
        <w:t xml:space="preserve">et des données </w:t>
      </w:r>
      <w:r w:rsidR="00F473FB">
        <w:rPr>
          <w:lang w:val="fr-CH"/>
        </w:rPr>
        <w:t>personne</w:t>
      </w:r>
      <w:r w:rsidR="00000484">
        <w:rPr>
          <w:lang w:val="fr-CH"/>
        </w:rPr>
        <w:t>lle</w:t>
      </w:r>
      <w:r w:rsidR="00F473FB">
        <w:rPr>
          <w:lang w:val="fr-CH"/>
        </w:rPr>
        <w:t>s;</w:t>
      </w:r>
    </w:p>
    <w:p w:rsidR="00962CDE" w:rsidRPr="00962CDE" w:rsidRDefault="0039623A" w:rsidP="001C4641">
      <w:pPr>
        <w:rPr>
          <w:lang w:val="fr-CH"/>
        </w:rPr>
      </w:pPr>
      <w:r w:rsidRPr="00962CDE">
        <w:rPr>
          <w:i/>
          <w:iCs/>
          <w:lang w:val="fr-CH"/>
        </w:rPr>
        <w:t>e)</w:t>
      </w:r>
      <w:r w:rsidRPr="00962CDE">
        <w:rPr>
          <w:lang w:val="fr-CH"/>
        </w:rPr>
        <w:tab/>
      </w:r>
      <w:r w:rsidR="00962CDE" w:rsidRPr="00962CDE">
        <w:rPr>
          <w:lang w:val="fr-CH"/>
        </w:rPr>
        <w:t xml:space="preserve">que la collecte et l'analyse de données à très grande échelle à partir de capteurs et de dispositifs dans les espaces physiques </w:t>
      </w:r>
      <w:r w:rsidR="00962CDE">
        <w:rPr>
          <w:lang w:val="fr-CH"/>
        </w:rPr>
        <w:t xml:space="preserve">posent des problèmes </w:t>
      </w:r>
      <w:r w:rsidR="00000484">
        <w:rPr>
          <w:lang w:val="fr-CH"/>
        </w:rPr>
        <w:t>délicats</w:t>
      </w:r>
      <w:r w:rsidR="00962CDE">
        <w:rPr>
          <w:lang w:val="fr-CH"/>
        </w:rPr>
        <w:t xml:space="preserve">, </w:t>
      </w:r>
      <w:r w:rsidR="00000484">
        <w:rPr>
          <w:lang w:val="fr-CH"/>
        </w:rPr>
        <w:t>qu'il s'agisse</w:t>
      </w:r>
      <w:r w:rsidR="00962CDE">
        <w:rPr>
          <w:lang w:val="fr-CH"/>
        </w:rPr>
        <w:t xml:space="preserve"> des </w:t>
      </w:r>
      <w:r w:rsidR="00000484">
        <w:rPr>
          <w:lang w:val="fr-CH"/>
        </w:rPr>
        <w:t>menaces liées</w:t>
      </w:r>
      <w:r w:rsidR="004442AA">
        <w:rPr>
          <w:lang w:val="fr-CH"/>
        </w:rPr>
        <w:t xml:space="preserve"> </w:t>
      </w:r>
      <w:r w:rsidR="00000484">
        <w:rPr>
          <w:lang w:val="fr-CH"/>
        </w:rPr>
        <w:t xml:space="preserve">aux </w:t>
      </w:r>
      <w:r w:rsidR="00962CDE">
        <w:rPr>
          <w:lang w:val="fr-CH"/>
        </w:rPr>
        <w:t>utilisation</w:t>
      </w:r>
      <w:r w:rsidR="00000484">
        <w:rPr>
          <w:lang w:val="fr-CH"/>
        </w:rPr>
        <w:t>s</w:t>
      </w:r>
      <w:r w:rsidR="00962CDE">
        <w:rPr>
          <w:lang w:val="fr-CH"/>
        </w:rPr>
        <w:t xml:space="preserve"> </w:t>
      </w:r>
      <w:r w:rsidR="004442AA">
        <w:rPr>
          <w:lang w:val="fr-CH"/>
        </w:rPr>
        <w:t>imprévue</w:t>
      </w:r>
      <w:r w:rsidR="00000484">
        <w:rPr>
          <w:lang w:val="fr-CH"/>
        </w:rPr>
        <w:t>s</w:t>
      </w:r>
      <w:r w:rsidR="00962CDE">
        <w:rPr>
          <w:lang w:val="fr-CH"/>
        </w:rPr>
        <w:t xml:space="preserve"> </w:t>
      </w:r>
      <w:r w:rsidR="004442AA">
        <w:rPr>
          <w:lang w:val="fr-CH"/>
        </w:rPr>
        <w:t xml:space="preserve">des données des consommateurs </w:t>
      </w:r>
      <w:r w:rsidR="00000484">
        <w:rPr>
          <w:lang w:val="fr-CH"/>
        </w:rPr>
        <w:t>ou du risque</w:t>
      </w:r>
      <w:r w:rsidR="00DB1EDA">
        <w:rPr>
          <w:lang w:val="fr-CH"/>
        </w:rPr>
        <w:t xml:space="preserve"> de </w:t>
      </w:r>
      <w:r w:rsidR="004442AA">
        <w:rPr>
          <w:lang w:val="fr-CH"/>
        </w:rPr>
        <w:t xml:space="preserve">discrimination </w:t>
      </w:r>
      <w:r w:rsidR="00620FFE">
        <w:rPr>
          <w:lang w:val="fr-CH"/>
        </w:rPr>
        <w:t>qu</w:t>
      </w:r>
      <w:r w:rsidR="00DB1EDA">
        <w:rPr>
          <w:lang w:val="fr-CH"/>
        </w:rPr>
        <w:t>e</w:t>
      </w:r>
      <w:r w:rsidR="00620FFE">
        <w:rPr>
          <w:lang w:val="fr-CH"/>
        </w:rPr>
        <w:t xml:space="preserve"> p</w:t>
      </w:r>
      <w:r w:rsidR="00F51993">
        <w:rPr>
          <w:lang w:val="fr-CH"/>
        </w:rPr>
        <w:t>ourrai</w:t>
      </w:r>
      <w:r w:rsidR="006D47B2">
        <w:rPr>
          <w:lang w:val="fr-CH"/>
        </w:rPr>
        <w:t>en</w:t>
      </w:r>
      <w:r w:rsidR="00F51993">
        <w:rPr>
          <w:lang w:val="fr-CH"/>
        </w:rPr>
        <w:t xml:space="preserve">t </w:t>
      </w:r>
      <w:r w:rsidR="00000484">
        <w:rPr>
          <w:lang w:val="fr-CH"/>
        </w:rPr>
        <w:t xml:space="preserve">entraîner </w:t>
      </w:r>
      <w:r w:rsidR="004442AA">
        <w:rPr>
          <w:lang w:val="fr-CH"/>
        </w:rPr>
        <w:t xml:space="preserve">l'analyse des données et </w:t>
      </w:r>
      <w:r w:rsidR="00F51993">
        <w:rPr>
          <w:lang w:val="fr-CH"/>
        </w:rPr>
        <w:t xml:space="preserve">les renseignements </w:t>
      </w:r>
      <w:r w:rsidR="00000484">
        <w:rPr>
          <w:lang w:val="fr-CH"/>
        </w:rPr>
        <w:t>obtenu</w:t>
      </w:r>
      <w:r w:rsidR="00F51993">
        <w:rPr>
          <w:lang w:val="fr-CH"/>
        </w:rPr>
        <w:t xml:space="preserve">s sur </w:t>
      </w:r>
      <w:r w:rsidR="004442AA">
        <w:rPr>
          <w:lang w:val="fr-CH"/>
        </w:rPr>
        <w:t>les déplacements, les centres d'intérêt et les activités d'une personne;</w:t>
      </w:r>
    </w:p>
    <w:p w:rsidR="00F51993" w:rsidRPr="00F51993" w:rsidRDefault="0039623A" w:rsidP="001C4641">
      <w:pPr>
        <w:rPr>
          <w:lang w:val="fr-CH"/>
        </w:rPr>
      </w:pPr>
      <w:r w:rsidRPr="00F51993">
        <w:rPr>
          <w:i/>
          <w:iCs/>
          <w:lang w:val="fr-CH"/>
        </w:rPr>
        <w:lastRenderedPageBreak/>
        <w:t>f)</w:t>
      </w:r>
      <w:r w:rsidRPr="00F51993">
        <w:rPr>
          <w:lang w:val="fr-CH"/>
        </w:rPr>
        <w:tab/>
      </w:r>
      <w:r w:rsidR="00F51993" w:rsidRPr="00F51993">
        <w:rPr>
          <w:lang w:val="fr-CH"/>
        </w:rPr>
        <w:t xml:space="preserve">l'importance des principes de </w:t>
      </w:r>
      <w:r w:rsidR="00000484">
        <w:rPr>
          <w:lang w:val="fr-CH"/>
        </w:rPr>
        <w:t>confidentialité dès la conception</w:t>
      </w:r>
      <w:r w:rsidR="00F51993">
        <w:rPr>
          <w:lang w:val="fr-CH"/>
        </w:rPr>
        <w:t xml:space="preserve"> (PbD) en tant que cadre </w:t>
      </w:r>
      <w:r w:rsidR="00000484">
        <w:rPr>
          <w:lang w:val="fr-CH"/>
        </w:rPr>
        <w:t>pour</w:t>
      </w:r>
      <w:r w:rsidR="00F51993">
        <w:rPr>
          <w:lang w:val="fr-CH"/>
        </w:rPr>
        <w:t xml:space="preserve"> garantir le contr</w:t>
      </w:r>
      <w:r w:rsidR="00000484">
        <w:rPr>
          <w:lang w:val="fr-CH"/>
        </w:rPr>
        <w:t>ôle par l'</w:t>
      </w:r>
      <w:r w:rsidR="00F51993">
        <w:rPr>
          <w:lang w:val="fr-CH"/>
        </w:rPr>
        <w:t>utilisateur, améliorer la transparence et instaurer la confiance;</w:t>
      </w:r>
    </w:p>
    <w:p w:rsidR="0039623A" w:rsidRPr="00DE5CED" w:rsidRDefault="0039623A" w:rsidP="001C4641">
      <w:pPr>
        <w:rPr>
          <w:lang w:val="fr-CH"/>
        </w:rPr>
      </w:pPr>
      <w:r w:rsidRPr="007115C2">
        <w:rPr>
          <w:i/>
          <w:iCs/>
          <w:lang w:val="fr-CH"/>
        </w:rPr>
        <w:t>g)</w:t>
      </w:r>
      <w:r w:rsidRPr="007115C2">
        <w:rPr>
          <w:lang w:val="fr-CH"/>
        </w:rPr>
        <w:tab/>
      </w:r>
      <w:r w:rsidR="00DE5CED" w:rsidRPr="00DE5CED">
        <w:rPr>
          <w:lang w:val="fr-CH"/>
        </w:rPr>
        <w:t xml:space="preserve">le </w:t>
      </w:r>
      <w:r w:rsidR="00000484">
        <w:rPr>
          <w:lang w:val="fr-CH"/>
        </w:rPr>
        <w:t>paragraphe "</w:t>
      </w:r>
      <w:r w:rsidR="00000484" w:rsidRPr="00140EAC">
        <w:rPr>
          <w:i/>
          <w:iCs/>
          <w:lang w:val="fr-CH"/>
        </w:rPr>
        <w:t>décide</w:t>
      </w:r>
      <w:r w:rsidR="00000484">
        <w:rPr>
          <w:lang w:val="fr-CH"/>
        </w:rPr>
        <w:t xml:space="preserve">" </w:t>
      </w:r>
      <w:r w:rsidR="00DE5CED" w:rsidRPr="00DE5CED">
        <w:rPr>
          <w:lang w:val="fr-CH"/>
        </w:rPr>
        <w:t>de la Résolution 130 (Rév.</w:t>
      </w:r>
      <w:r w:rsidR="00DE5CED">
        <w:rPr>
          <w:lang w:val="fr-CH"/>
        </w:rPr>
        <w:t xml:space="preserve"> </w:t>
      </w:r>
      <w:r w:rsidR="00DE5CED" w:rsidRPr="00DE5CED">
        <w:rPr>
          <w:lang w:val="fr-CH"/>
        </w:rPr>
        <w:t xml:space="preserve">Busan, 2014) sur le renforcement du rôle de l'UIT dans l'instauration de la confiance et de la sécurité dans l'utilisation des technologies de l'information et de la communication, et l'instruction </w:t>
      </w:r>
      <w:r w:rsidR="00000484">
        <w:rPr>
          <w:lang w:val="fr-CH"/>
        </w:rPr>
        <w:t xml:space="preserve">donnée au Directeur du TSB </w:t>
      </w:r>
      <w:r w:rsidR="00DE5CED" w:rsidRPr="00DE5CED">
        <w:rPr>
          <w:lang w:val="fr-CH"/>
        </w:rPr>
        <w:t xml:space="preserve">d'intensifier les travaux hautement prioritaires menés au sein des </w:t>
      </w:r>
      <w:r w:rsidR="00762E16">
        <w:rPr>
          <w:lang w:val="fr-CH"/>
        </w:rPr>
        <w:t>commissions d'études de l'UIT-T,</w:t>
      </w:r>
    </w:p>
    <w:p w:rsidR="0039623A" w:rsidRPr="00DE5CED" w:rsidRDefault="00DE5CED" w:rsidP="001C4641">
      <w:pPr>
        <w:pStyle w:val="Call"/>
        <w:rPr>
          <w:lang w:val="fr-FR"/>
        </w:rPr>
      </w:pPr>
      <w:r w:rsidRPr="00DE5CED">
        <w:rPr>
          <w:lang w:val="fr-FR"/>
        </w:rPr>
        <w:t>reconnaissant en outre</w:t>
      </w:r>
    </w:p>
    <w:p w:rsidR="00DE5CED" w:rsidRPr="00DE5CED" w:rsidRDefault="0039623A" w:rsidP="001C4641">
      <w:pPr>
        <w:rPr>
          <w:lang w:val="fr-CH"/>
        </w:rPr>
      </w:pPr>
      <w:r w:rsidRPr="00DE5CED">
        <w:rPr>
          <w:i/>
          <w:iCs/>
          <w:lang w:val="fr-CH"/>
        </w:rPr>
        <w:t>a)</w:t>
      </w:r>
      <w:r w:rsidRPr="00DE5CED">
        <w:rPr>
          <w:lang w:val="fr-CH"/>
        </w:rPr>
        <w:tab/>
      </w:r>
      <w:r w:rsidR="00DE5CED" w:rsidRPr="00DE5CED">
        <w:rPr>
          <w:lang w:val="fr-CH"/>
        </w:rPr>
        <w:t>que la Recommandation UIT</w:t>
      </w:r>
      <w:r w:rsidR="00DE5CED" w:rsidRPr="00DE5CED">
        <w:rPr>
          <w:lang w:val="fr-CH"/>
        </w:rPr>
        <w:noBreakHyphen/>
        <w:t>T X.1255, qui e</w:t>
      </w:r>
      <w:r w:rsidR="00762E16">
        <w:rPr>
          <w:lang w:val="fr-CH"/>
        </w:rPr>
        <w:t>st basée sur l'a</w:t>
      </w:r>
      <w:r w:rsidR="00DE5CED" w:rsidRPr="00DE5CED">
        <w:rPr>
          <w:lang w:val="fr-CH"/>
        </w:rPr>
        <w:t xml:space="preserve">rchitecture des objets numériques (DOA), définit un cadre </w:t>
      </w:r>
      <w:r w:rsidR="006E3C9D">
        <w:rPr>
          <w:lang w:val="fr-CH"/>
        </w:rPr>
        <w:t>sur les modalités selon les</w:t>
      </w:r>
      <w:r w:rsidR="00DE5CED">
        <w:rPr>
          <w:lang w:val="fr-CH"/>
        </w:rPr>
        <w:t>quelle</w:t>
      </w:r>
      <w:r w:rsidR="006E3C9D">
        <w:rPr>
          <w:lang w:val="fr-CH"/>
        </w:rPr>
        <w:t>s</w:t>
      </w:r>
      <w:r w:rsidR="00DE5CED">
        <w:rPr>
          <w:lang w:val="fr-CH"/>
        </w:rPr>
        <w:t xml:space="preserve"> une identité de confiance peut être établie puis validée </w:t>
      </w:r>
      <w:r w:rsidR="00A92186">
        <w:rPr>
          <w:lang w:val="fr-CH"/>
        </w:rPr>
        <w:t xml:space="preserve">dans </w:t>
      </w:r>
      <w:r w:rsidR="00000484">
        <w:rPr>
          <w:lang w:val="fr-CH"/>
        </w:rPr>
        <w:t>les</w:t>
      </w:r>
      <w:r w:rsidR="00A92186">
        <w:rPr>
          <w:lang w:val="fr-CH"/>
        </w:rPr>
        <w:t xml:space="preserve"> communications de réseau</w:t>
      </w:r>
      <w:r w:rsidR="00DE5CED">
        <w:rPr>
          <w:lang w:val="fr-CH"/>
        </w:rPr>
        <w:t xml:space="preserve"> en temps réel;</w:t>
      </w:r>
    </w:p>
    <w:p w:rsidR="006E3C9D" w:rsidRPr="006E3C9D" w:rsidRDefault="0039623A" w:rsidP="001C4641">
      <w:pPr>
        <w:rPr>
          <w:lang w:val="fr-CH"/>
        </w:rPr>
      </w:pPr>
      <w:r w:rsidRPr="006E3C9D">
        <w:rPr>
          <w:i/>
          <w:iCs/>
          <w:lang w:val="fr-CH"/>
        </w:rPr>
        <w:t>b)</w:t>
      </w:r>
      <w:r w:rsidRPr="006E3C9D">
        <w:rPr>
          <w:lang w:val="fr-CH"/>
        </w:rPr>
        <w:tab/>
      </w:r>
      <w:r w:rsidR="006E3C9D" w:rsidRPr="006E3C9D">
        <w:rPr>
          <w:lang w:val="fr-CH"/>
        </w:rPr>
        <w:t xml:space="preserve">que le système </w:t>
      </w:r>
      <w:r w:rsidR="00000484">
        <w:rPr>
          <w:lang w:val="fr-CH"/>
        </w:rPr>
        <w:t>"</w:t>
      </w:r>
      <w:r w:rsidR="006E3C9D" w:rsidRPr="006E3C9D">
        <w:rPr>
          <w:lang w:val="fr-CH"/>
        </w:rPr>
        <w:t>Handle</w:t>
      </w:r>
      <w:r w:rsidR="00000484">
        <w:rPr>
          <w:lang w:val="fr-CH"/>
        </w:rPr>
        <w:t>"</w:t>
      </w:r>
      <w:r w:rsidR="006E3C9D" w:rsidRPr="006E3C9D">
        <w:rPr>
          <w:lang w:val="fr-CH"/>
        </w:rPr>
        <w:t xml:space="preserve">, </w:t>
      </w:r>
      <w:r w:rsidR="006E3C9D">
        <w:rPr>
          <w:lang w:val="fr-CH"/>
        </w:rPr>
        <w:t>qui est une composante de l'architecture DOA, offre un service d'identification sécurisé, qui est pourvu de mécanismes intégrés destinés à protéger l'intégrité du service et la confidentialité des données;</w:t>
      </w:r>
    </w:p>
    <w:p w:rsidR="006E3C9D" w:rsidRPr="006E3C9D" w:rsidRDefault="0039623A" w:rsidP="001C4641">
      <w:pPr>
        <w:rPr>
          <w:lang w:val="fr-CH"/>
        </w:rPr>
      </w:pPr>
      <w:r w:rsidRPr="006E3C9D">
        <w:rPr>
          <w:i/>
          <w:iCs/>
          <w:lang w:val="fr-CH"/>
        </w:rPr>
        <w:t>c)</w:t>
      </w:r>
      <w:r w:rsidRPr="006E3C9D">
        <w:rPr>
          <w:lang w:val="fr-CH"/>
        </w:rPr>
        <w:tab/>
      </w:r>
      <w:r w:rsidR="006E3C9D" w:rsidRPr="006E3C9D">
        <w:rPr>
          <w:lang w:val="fr-CH"/>
        </w:rPr>
        <w:t xml:space="preserve">que le mémorandum d'accord conclu entre l'UIT et la Fondation DONA prévoit que </w:t>
      </w:r>
      <w:r w:rsidR="00000484">
        <w:rPr>
          <w:lang w:val="fr-CH"/>
        </w:rPr>
        <w:t>cette Fondation</w:t>
      </w:r>
      <w:r w:rsidR="006E3C9D" w:rsidRPr="006E3C9D">
        <w:rPr>
          <w:lang w:val="fr-CH"/>
        </w:rPr>
        <w:t xml:space="preserve"> collabore avec l'UIT et d'autres organisations </w:t>
      </w:r>
      <w:r w:rsidR="00B46F14">
        <w:rPr>
          <w:lang w:val="fr-CH"/>
        </w:rPr>
        <w:t xml:space="preserve">pour mener des </w:t>
      </w:r>
      <w:r w:rsidR="00000484">
        <w:rPr>
          <w:lang w:val="fr-CH"/>
        </w:rPr>
        <w:t>activité</w:t>
      </w:r>
      <w:r w:rsidR="00B46F14">
        <w:rPr>
          <w:lang w:val="fr-CH"/>
        </w:rPr>
        <w:t>s de sensibilisation, notamment en vue de répondre aux besoins définis des pays en développement,</w:t>
      </w:r>
    </w:p>
    <w:p w:rsidR="0039623A" w:rsidRPr="00000C1C" w:rsidRDefault="00B46F14" w:rsidP="001C4641">
      <w:pPr>
        <w:pStyle w:val="Call"/>
        <w:rPr>
          <w:lang w:val="fr-CH"/>
        </w:rPr>
      </w:pPr>
      <w:r>
        <w:rPr>
          <w:lang w:val="fr-CH"/>
        </w:rPr>
        <w:t>consciente</w:t>
      </w:r>
      <w:r w:rsidR="00000484">
        <w:rPr>
          <w:lang w:val="fr-CH"/>
        </w:rPr>
        <w:t xml:space="preserve"> de ce que</w:t>
      </w:r>
    </w:p>
    <w:p w:rsidR="0039623A" w:rsidRPr="007115C2" w:rsidRDefault="0039623A" w:rsidP="001C4641">
      <w:pPr>
        <w:rPr>
          <w:lang w:val="fr-CH"/>
        </w:rPr>
      </w:pPr>
      <w:r w:rsidRPr="007115C2">
        <w:rPr>
          <w:i/>
          <w:iCs/>
          <w:lang w:val="fr-CH"/>
        </w:rPr>
        <w:t>a)</w:t>
      </w:r>
      <w:r w:rsidRPr="007115C2">
        <w:rPr>
          <w:lang w:val="fr-CH"/>
        </w:rPr>
        <w:tab/>
      </w:r>
      <w:r w:rsidR="007115C2" w:rsidRPr="007115C2">
        <w:rPr>
          <w:lang w:val="fr-CH"/>
        </w:rPr>
        <w:t xml:space="preserve">l'UIT et d'autres organisations internationales examinent actuellement, dans le cadre de diverses activités, des questions liées à l'instauration de la confiance et de la sécurité dans l'utilisation des TIC, notamment la stabilité, ainsi que des mesures visant à </w:t>
      </w:r>
      <w:r w:rsidR="00000484">
        <w:rPr>
          <w:lang w:val="fr-CH"/>
        </w:rPr>
        <w:t>lutter contre</w:t>
      </w:r>
      <w:r w:rsidR="007115C2" w:rsidRPr="007115C2">
        <w:rPr>
          <w:lang w:val="fr-CH"/>
        </w:rPr>
        <w:t xml:space="preserve"> le spam, les logiciels malveillants, etc., et à protéger les données personnelles et la confidentialité</w:t>
      </w:r>
      <w:r w:rsidRPr="007115C2">
        <w:rPr>
          <w:lang w:val="fr-CH"/>
        </w:rPr>
        <w:t>;</w:t>
      </w:r>
    </w:p>
    <w:p w:rsidR="00B46F14" w:rsidRPr="00B46F14" w:rsidRDefault="0039623A" w:rsidP="001C4641">
      <w:pPr>
        <w:rPr>
          <w:lang w:val="fr-CH"/>
        </w:rPr>
      </w:pPr>
      <w:r w:rsidRPr="00B46F14">
        <w:rPr>
          <w:i/>
          <w:iCs/>
          <w:lang w:val="fr-CH"/>
        </w:rPr>
        <w:t>b)</w:t>
      </w:r>
      <w:r w:rsidRPr="00B46F14">
        <w:rPr>
          <w:lang w:val="fr-CH"/>
        </w:rPr>
        <w:tab/>
      </w:r>
      <w:r w:rsidR="00B46F14" w:rsidRPr="00B46F14">
        <w:rPr>
          <w:lang w:val="fr-CH"/>
        </w:rPr>
        <w:t>la Commission d'études 17 de l'UIT</w:t>
      </w:r>
      <w:r w:rsidR="00B46F14" w:rsidRPr="00B46F14">
        <w:rPr>
          <w:lang w:val="fr-CH"/>
        </w:rPr>
        <w:noBreakHyphen/>
        <w:t xml:space="preserve">T </w:t>
      </w:r>
      <w:r w:rsidR="00000484">
        <w:rPr>
          <w:lang w:val="fr-CH"/>
        </w:rPr>
        <w:t>poursuit ses</w:t>
      </w:r>
      <w:r w:rsidR="00B46F14" w:rsidRPr="00B46F14">
        <w:rPr>
          <w:lang w:val="fr-CH"/>
        </w:rPr>
        <w:t xml:space="preserve"> études sur la </w:t>
      </w:r>
      <w:r w:rsidR="00000484">
        <w:rPr>
          <w:lang w:val="fr-CH"/>
        </w:rPr>
        <w:t>confidentialité, en plus</w:t>
      </w:r>
      <w:r w:rsidR="00B46F14" w:rsidRPr="00B46F14">
        <w:rPr>
          <w:lang w:val="fr-CH"/>
        </w:rPr>
        <w:t xml:space="preserve"> de</w:t>
      </w:r>
      <w:r w:rsidR="00B46F14">
        <w:rPr>
          <w:lang w:val="fr-CH"/>
        </w:rPr>
        <w:t xml:space="preserve"> </w:t>
      </w:r>
      <w:r w:rsidR="00000484">
        <w:rPr>
          <w:lang w:val="fr-CH"/>
        </w:rPr>
        <w:t>l'élaboration du</w:t>
      </w:r>
      <w:r w:rsidR="00B46F14">
        <w:rPr>
          <w:lang w:val="fr-CH"/>
        </w:rPr>
        <w:t xml:space="preserve"> rap</w:t>
      </w:r>
      <w:bookmarkStart w:id="4" w:name="_GoBack"/>
      <w:bookmarkEnd w:id="4"/>
      <w:r w:rsidR="00B46F14">
        <w:rPr>
          <w:lang w:val="fr-CH"/>
        </w:rPr>
        <w:t>port de</w:t>
      </w:r>
      <w:r w:rsidR="00B46F14" w:rsidRPr="00B46F14">
        <w:rPr>
          <w:lang w:val="fr-CH"/>
        </w:rPr>
        <w:t xml:space="preserve"> veille technologique </w:t>
      </w:r>
      <w:r w:rsidR="00B46F14">
        <w:rPr>
          <w:lang w:val="fr-CH"/>
        </w:rPr>
        <w:t>intitulé "Confidentialité et informatique dans le nuage" (2012);</w:t>
      </w:r>
    </w:p>
    <w:p w:rsidR="00B46F14" w:rsidRPr="00B46F14" w:rsidRDefault="0039623A" w:rsidP="001C4641">
      <w:pPr>
        <w:rPr>
          <w:lang w:val="fr-CH"/>
        </w:rPr>
      </w:pPr>
      <w:r w:rsidRPr="00B46F14">
        <w:rPr>
          <w:i/>
          <w:iCs/>
          <w:lang w:val="fr-CH"/>
        </w:rPr>
        <w:t>c)</w:t>
      </w:r>
      <w:r w:rsidRPr="00B46F14">
        <w:rPr>
          <w:lang w:val="fr-CH"/>
        </w:rPr>
        <w:tab/>
      </w:r>
      <w:r w:rsidR="00B46F14" w:rsidRPr="00B46F14">
        <w:rPr>
          <w:lang w:val="fr-CH"/>
        </w:rPr>
        <w:t xml:space="preserve">la Commission d'études 20 </w:t>
      </w:r>
      <w:r w:rsidR="00B46F14">
        <w:rPr>
          <w:lang w:val="fr-CH"/>
        </w:rPr>
        <w:t>de l'UIT</w:t>
      </w:r>
      <w:r w:rsidR="00B46F14">
        <w:rPr>
          <w:lang w:val="fr-CH"/>
        </w:rPr>
        <w:noBreakHyphen/>
        <w:t xml:space="preserve">T </w:t>
      </w:r>
      <w:r w:rsidR="00000484">
        <w:rPr>
          <w:lang w:val="fr-CH"/>
        </w:rPr>
        <w:t>poursuit ses études</w:t>
      </w:r>
      <w:r w:rsidR="00B46F14">
        <w:rPr>
          <w:lang w:val="fr-CH"/>
        </w:rPr>
        <w:t xml:space="preserve"> sur la </w:t>
      </w:r>
      <w:r w:rsidR="00000484">
        <w:rPr>
          <w:lang w:val="fr-CH"/>
        </w:rPr>
        <w:t>confidentialité</w:t>
      </w:r>
      <w:r w:rsidR="00B46F14">
        <w:rPr>
          <w:lang w:val="fr-CH"/>
        </w:rPr>
        <w:t xml:space="preserve"> dans l'optique de l'Internet des objets et des villes et communautés intelligentes,</w:t>
      </w:r>
    </w:p>
    <w:p w:rsidR="0039623A" w:rsidRPr="003C2A19" w:rsidRDefault="00000C1C" w:rsidP="001C4641">
      <w:pPr>
        <w:pStyle w:val="Call"/>
        <w:rPr>
          <w:lang w:val="fr-CH"/>
        </w:rPr>
      </w:pPr>
      <w:r w:rsidRPr="003C2A19">
        <w:rPr>
          <w:lang w:val="fr-CH"/>
        </w:rPr>
        <w:t>consid</w:t>
      </w:r>
      <w:r w:rsidR="00000484">
        <w:rPr>
          <w:lang w:val="fr-CH"/>
        </w:rPr>
        <w:t>érant</w:t>
      </w:r>
      <w:r w:rsidRPr="003C2A19">
        <w:rPr>
          <w:lang w:val="fr-CH"/>
        </w:rPr>
        <w:tab/>
      </w:r>
    </w:p>
    <w:p w:rsidR="00B46F14" w:rsidRPr="003C2A19" w:rsidRDefault="0039623A" w:rsidP="001C4641">
      <w:pPr>
        <w:rPr>
          <w:lang w:val="fr-CH"/>
        </w:rPr>
      </w:pPr>
      <w:r w:rsidRPr="003C2A19">
        <w:rPr>
          <w:i/>
          <w:iCs/>
          <w:lang w:val="fr-CH"/>
        </w:rPr>
        <w:t>a)</w:t>
      </w:r>
      <w:r w:rsidRPr="003C2A19">
        <w:rPr>
          <w:lang w:val="fr-CH"/>
        </w:rPr>
        <w:tab/>
      </w:r>
      <w:r w:rsidR="003C2A19" w:rsidRPr="003C2A19">
        <w:rPr>
          <w:lang w:val="fr-CH"/>
        </w:rPr>
        <w:t>que l'UIT</w:t>
      </w:r>
      <w:r w:rsidR="003C2A19" w:rsidRPr="003C2A19">
        <w:rPr>
          <w:lang w:val="fr-CH"/>
        </w:rPr>
        <w:noBreakHyphen/>
        <w:t xml:space="preserve">T a déjà </w:t>
      </w:r>
      <w:r w:rsidR="00000484">
        <w:rPr>
          <w:lang w:val="fr-CH"/>
        </w:rPr>
        <w:t>entrepris</w:t>
      </w:r>
      <w:r w:rsidR="003C2A19" w:rsidRPr="003C2A19">
        <w:rPr>
          <w:lang w:val="fr-CH"/>
        </w:rPr>
        <w:t xml:space="preserve"> des travaux </w:t>
      </w:r>
      <w:r w:rsidR="003C2A19">
        <w:rPr>
          <w:lang w:val="fr-CH"/>
        </w:rPr>
        <w:t>sur l'instauration de la confiance dans le cadre de la Commission d'études 13 et a établi un rapport technique intitulé "</w:t>
      </w:r>
      <w:r w:rsidR="003C2A19" w:rsidRPr="003C2A19">
        <w:rPr>
          <w:rFonts w:cs="Segoe UI"/>
          <w:color w:val="000000"/>
          <w:lang w:val="fr-CH"/>
        </w:rPr>
        <w:t>Assurer la confiance pour les infrastructures et les services TIC de demain</w:t>
      </w:r>
      <w:r w:rsidR="003C2A19">
        <w:rPr>
          <w:rFonts w:cs="Segoe UI"/>
          <w:color w:val="000000"/>
          <w:lang w:val="fr-CH"/>
        </w:rPr>
        <w:t xml:space="preserve">" (avril 2016), </w:t>
      </w:r>
      <w:r w:rsidR="00000484">
        <w:rPr>
          <w:rFonts w:cs="Segoe UI"/>
          <w:color w:val="000000"/>
          <w:lang w:val="fr-CH"/>
        </w:rPr>
        <w:t xml:space="preserve">travaux </w:t>
      </w:r>
      <w:r w:rsidR="00BF3F5B">
        <w:rPr>
          <w:rFonts w:cs="Segoe UI"/>
          <w:color w:val="000000"/>
          <w:lang w:val="fr-CH"/>
        </w:rPr>
        <w:t xml:space="preserve">qui </w:t>
      </w:r>
      <w:r w:rsidR="00000484">
        <w:rPr>
          <w:rFonts w:cs="Segoe UI"/>
          <w:color w:val="000000"/>
          <w:lang w:val="fr-CH"/>
        </w:rPr>
        <w:t xml:space="preserve">viennent </w:t>
      </w:r>
      <w:r w:rsidR="00BF3F5B">
        <w:rPr>
          <w:rFonts w:cs="Segoe UI"/>
          <w:color w:val="000000"/>
          <w:lang w:val="fr-CH"/>
        </w:rPr>
        <w:t>s'ajoute</w:t>
      </w:r>
      <w:r w:rsidR="00000484">
        <w:rPr>
          <w:rFonts w:cs="Segoe UI"/>
          <w:color w:val="000000"/>
          <w:lang w:val="fr-CH"/>
        </w:rPr>
        <w:t>r</w:t>
      </w:r>
      <w:r w:rsidR="00BF3F5B">
        <w:rPr>
          <w:rFonts w:cs="Segoe UI"/>
          <w:color w:val="000000"/>
          <w:lang w:val="fr-CH"/>
        </w:rPr>
        <w:t xml:space="preserve"> </w:t>
      </w:r>
      <w:r w:rsidR="00000484">
        <w:rPr>
          <w:rFonts w:cs="Segoe UI"/>
          <w:color w:val="000000"/>
          <w:lang w:val="fr-CH"/>
        </w:rPr>
        <w:t>à ceux</w:t>
      </w:r>
      <w:r w:rsidR="00BF3F5B">
        <w:rPr>
          <w:rFonts w:cs="Segoe UI"/>
          <w:color w:val="000000"/>
          <w:lang w:val="fr-CH"/>
        </w:rPr>
        <w:t xml:space="preserve"> </w:t>
      </w:r>
      <w:r w:rsidR="00762E16">
        <w:rPr>
          <w:rFonts w:cs="Segoe UI"/>
          <w:color w:val="000000"/>
          <w:lang w:val="fr-CH"/>
        </w:rPr>
        <w:t>que mène</w:t>
      </w:r>
      <w:r w:rsidR="00000484">
        <w:rPr>
          <w:rFonts w:cs="Segoe UI"/>
          <w:color w:val="000000"/>
          <w:lang w:val="fr-CH"/>
        </w:rPr>
        <w:t xml:space="preserve"> </w:t>
      </w:r>
      <w:r w:rsidR="00BF3F5B">
        <w:rPr>
          <w:rFonts w:cs="Segoe UI"/>
          <w:color w:val="000000"/>
          <w:lang w:val="fr-CH"/>
        </w:rPr>
        <w:t xml:space="preserve">actuellement </w:t>
      </w:r>
      <w:r w:rsidR="00000484">
        <w:rPr>
          <w:rFonts w:cs="Segoe UI"/>
          <w:color w:val="000000"/>
          <w:lang w:val="fr-CH"/>
        </w:rPr>
        <w:t>cette</w:t>
      </w:r>
      <w:r w:rsidR="003C2A19">
        <w:rPr>
          <w:rFonts w:cs="Segoe UI"/>
          <w:color w:val="000000"/>
          <w:lang w:val="fr-CH"/>
        </w:rPr>
        <w:t xml:space="preserve"> Commission d'études </w:t>
      </w:r>
      <w:r w:rsidR="00000484">
        <w:rPr>
          <w:rFonts w:cs="Segoe UI"/>
          <w:color w:val="000000"/>
          <w:lang w:val="fr-CH"/>
        </w:rPr>
        <w:t>s</w:t>
      </w:r>
      <w:r w:rsidR="003C2A19">
        <w:rPr>
          <w:rFonts w:cs="Segoe UI"/>
          <w:color w:val="000000"/>
          <w:lang w:val="fr-CH"/>
        </w:rPr>
        <w:t xml:space="preserve">ur la confiance pour les </w:t>
      </w:r>
      <w:r w:rsidR="00000484">
        <w:rPr>
          <w:rFonts w:cs="Segoe UI"/>
          <w:color w:val="000000"/>
          <w:lang w:val="fr-CH"/>
        </w:rPr>
        <w:t xml:space="preserve">échanges </w:t>
      </w:r>
      <w:r w:rsidR="003C2A19">
        <w:rPr>
          <w:rFonts w:cs="Segoe UI"/>
          <w:color w:val="000000"/>
          <w:lang w:val="fr-CH"/>
        </w:rPr>
        <w:t xml:space="preserve">inter-nuages et sur les exigences et les solutions techniques </w:t>
      </w:r>
      <w:r w:rsidR="00BF3F5B">
        <w:rPr>
          <w:rFonts w:cs="Segoe UI"/>
          <w:color w:val="000000"/>
          <w:lang w:val="fr-CH"/>
        </w:rPr>
        <w:t>pour l'instauration de la confiance dans les infrastructures et les services TIC;</w:t>
      </w:r>
    </w:p>
    <w:p w:rsidR="00BF3F5B" w:rsidRPr="00BF3F5B" w:rsidRDefault="0039623A" w:rsidP="001C4641">
      <w:pPr>
        <w:rPr>
          <w:lang w:val="fr-CH"/>
        </w:rPr>
      </w:pPr>
      <w:r w:rsidRPr="00BF3F5B">
        <w:rPr>
          <w:i/>
          <w:iCs/>
          <w:lang w:val="fr-CH"/>
        </w:rPr>
        <w:t>b)</w:t>
      </w:r>
      <w:r w:rsidRPr="00BF3F5B">
        <w:rPr>
          <w:lang w:val="fr-CH"/>
        </w:rPr>
        <w:tab/>
      </w:r>
      <w:r w:rsidR="00BF3F5B" w:rsidRPr="00BF3F5B">
        <w:rPr>
          <w:lang w:val="fr-CH"/>
        </w:rPr>
        <w:t>que l'UIT</w:t>
      </w:r>
      <w:r w:rsidR="00BF3F5B">
        <w:rPr>
          <w:lang w:val="fr-CH"/>
        </w:rPr>
        <w:noBreakHyphen/>
        <w:t>T</w:t>
      </w:r>
      <w:r w:rsidR="00BF3F5B" w:rsidRPr="00BF3F5B">
        <w:rPr>
          <w:lang w:val="fr-CH"/>
        </w:rPr>
        <w:t xml:space="preserve"> a organisé, en 2015 et 2016, deux ateliers sur </w:t>
      </w:r>
      <w:r w:rsidR="00BF3F5B">
        <w:rPr>
          <w:lang w:val="fr-CH"/>
        </w:rPr>
        <w:t>le thème "</w:t>
      </w:r>
      <w:r w:rsidR="00BF3F5B" w:rsidRPr="00BF3F5B">
        <w:rPr>
          <w:lang w:val="fr-CH"/>
        </w:rPr>
        <w:t>Infrastructure future de confiance et de savoir</w:t>
      </w:r>
      <w:r w:rsidR="00BF3F5B">
        <w:rPr>
          <w:lang w:val="fr-CH"/>
        </w:rPr>
        <w:t>" (</w:t>
      </w:r>
      <w:r w:rsidR="00140EAC">
        <w:rPr>
          <w:lang w:val="fr-CH"/>
        </w:rPr>
        <w:t>P</w:t>
      </w:r>
      <w:r w:rsidR="00BF3F5B">
        <w:rPr>
          <w:lang w:val="fr-CH"/>
        </w:rPr>
        <w:t>hase</w:t>
      </w:r>
      <w:r w:rsidR="00000484">
        <w:rPr>
          <w:lang w:val="fr-CH"/>
        </w:rPr>
        <w:t>s 1</w:t>
      </w:r>
      <w:r w:rsidR="00BF3F5B">
        <w:rPr>
          <w:lang w:val="fr-CH"/>
        </w:rPr>
        <w:t xml:space="preserve"> et 2), qui ont </w:t>
      </w:r>
      <w:r w:rsidR="00000484">
        <w:rPr>
          <w:lang w:val="fr-CH"/>
        </w:rPr>
        <w:t>servi de cadre à l'examen des</w:t>
      </w:r>
      <w:r w:rsidR="00BF3F5B">
        <w:rPr>
          <w:lang w:val="fr-CH"/>
        </w:rPr>
        <w:t xml:space="preserve"> </w:t>
      </w:r>
      <w:r w:rsidR="00000484">
        <w:rPr>
          <w:lang w:val="fr-CH"/>
        </w:rPr>
        <w:t xml:space="preserve">futurs </w:t>
      </w:r>
      <w:r w:rsidR="00BF3F5B">
        <w:rPr>
          <w:lang w:val="fr-CH"/>
        </w:rPr>
        <w:t>services TIC et</w:t>
      </w:r>
      <w:r w:rsidR="00000484">
        <w:rPr>
          <w:lang w:val="fr-CH"/>
        </w:rPr>
        <w:t xml:space="preserve"> de</w:t>
      </w:r>
      <w:r w:rsidR="00BF3F5B">
        <w:rPr>
          <w:lang w:val="fr-CH"/>
        </w:rPr>
        <w:t xml:space="preserve"> l</w:t>
      </w:r>
      <w:r w:rsidR="00000484">
        <w:rPr>
          <w:lang w:val="fr-CH"/>
        </w:rPr>
        <w:t xml:space="preserve">a future </w:t>
      </w:r>
      <w:r w:rsidR="00BF3F5B">
        <w:rPr>
          <w:lang w:val="fr-CH"/>
        </w:rPr>
        <w:t>infrastructure de l'information issus de la convergence;</w:t>
      </w:r>
    </w:p>
    <w:p w:rsidR="00BF3F5B" w:rsidRPr="00BF3F5B" w:rsidRDefault="0039623A" w:rsidP="001C4641">
      <w:pPr>
        <w:rPr>
          <w:lang w:val="fr-CH"/>
        </w:rPr>
      </w:pPr>
      <w:r w:rsidRPr="00BF3F5B">
        <w:rPr>
          <w:i/>
          <w:iCs/>
          <w:lang w:val="fr-CH"/>
        </w:rPr>
        <w:t>c)</w:t>
      </w:r>
      <w:r w:rsidRPr="00BF3F5B">
        <w:rPr>
          <w:lang w:val="fr-CH"/>
        </w:rPr>
        <w:tab/>
      </w:r>
      <w:r w:rsidR="00BF3F5B" w:rsidRPr="00BF3F5B">
        <w:rPr>
          <w:lang w:val="fr-CH"/>
        </w:rPr>
        <w:t xml:space="preserve">que lors de la </w:t>
      </w:r>
      <w:r w:rsidR="00000484">
        <w:rPr>
          <w:lang w:val="fr-CH"/>
        </w:rPr>
        <w:t xml:space="preserve">7ème </w:t>
      </w:r>
      <w:r w:rsidR="00BF3F5B" w:rsidRPr="00BF3F5B">
        <w:rPr>
          <w:lang w:val="fr-CH"/>
        </w:rPr>
        <w:t>réunion des directeurs techniques</w:t>
      </w:r>
      <w:r w:rsidR="00000484">
        <w:rPr>
          <w:lang w:val="fr-CH"/>
        </w:rPr>
        <w:t>,</w:t>
      </w:r>
      <w:r w:rsidR="00BF3F5B" w:rsidRPr="00BF3F5B">
        <w:rPr>
          <w:lang w:val="fr-CH"/>
        </w:rPr>
        <w:t xml:space="preserve"> </w:t>
      </w:r>
      <w:r w:rsidR="00BF3F5B">
        <w:rPr>
          <w:lang w:val="fr-CH"/>
        </w:rPr>
        <w:t xml:space="preserve">tenue à Budapest en 2015, </w:t>
      </w:r>
      <w:r w:rsidR="00000484">
        <w:rPr>
          <w:lang w:val="fr-CH"/>
        </w:rPr>
        <w:t>il a été</w:t>
      </w:r>
      <w:r w:rsidR="00BF3F5B">
        <w:rPr>
          <w:lang w:val="fr-CH"/>
        </w:rPr>
        <w:t xml:space="preserve"> souligné qu</w:t>
      </w:r>
      <w:r w:rsidR="00000484">
        <w:rPr>
          <w:lang w:val="fr-CH"/>
        </w:rPr>
        <w:t>e</w:t>
      </w:r>
      <w:r w:rsidR="00BF3F5B">
        <w:rPr>
          <w:lang w:val="fr-CH"/>
        </w:rPr>
        <w:t xml:space="preserve"> la confiance </w:t>
      </w:r>
      <w:r w:rsidR="00000484">
        <w:rPr>
          <w:lang w:val="fr-CH"/>
        </w:rPr>
        <w:t xml:space="preserve">devait être considérée </w:t>
      </w:r>
      <w:r w:rsidR="00BF3F5B">
        <w:rPr>
          <w:lang w:val="fr-CH"/>
        </w:rPr>
        <w:t xml:space="preserve">comme un </w:t>
      </w:r>
      <w:r w:rsidR="00000484">
        <w:rPr>
          <w:lang w:val="fr-CH"/>
        </w:rPr>
        <w:t>élément</w:t>
      </w:r>
      <w:r w:rsidR="00BF3F5B">
        <w:rPr>
          <w:lang w:val="fr-CH"/>
        </w:rPr>
        <w:t xml:space="preserve"> essentiel</w:t>
      </w:r>
      <w:r w:rsidR="00000484">
        <w:rPr>
          <w:lang w:val="fr-CH"/>
        </w:rPr>
        <w:t xml:space="preserve"> </w:t>
      </w:r>
      <w:r w:rsidR="00BF3F5B">
        <w:rPr>
          <w:lang w:val="fr-CH"/>
        </w:rPr>
        <w:t xml:space="preserve">des principes fondamentaux de conception de </w:t>
      </w:r>
      <w:r w:rsidR="00340AC9">
        <w:rPr>
          <w:lang w:val="fr-CH"/>
        </w:rPr>
        <w:t>l'</w:t>
      </w:r>
      <w:r w:rsidR="00BF3F5B">
        <w:rPr>
          <w:lang w:val="fr-CH"/>
        </w:rPr>
        <w:t>infrastructure des TIC</w:t>
      </w:r>
      <w:r w:rsidR="00340AC9">
        <w:rPr>
          <w:lang w:val="fr-CH"/>
        </w:rPr>
        <w:t xml:space="preserve"> de demain</w:t>
      </w:r>
      <w:r w:rsidR="00762E16">
        <w:rPr>
          <w:lang w:val="fr-CH"/>
        </w:rPr>
        <w:t>,</w:t>
      </w:r>
    </w:p>
    <w:p w:rsidR="0039623A" w:rsidRPr="00BF3F5B" w:rsidRDefault="00BF3F5B" w:rsidP="001C4641">
      <w:pPr>
        <w:pStyle w:val="Call"/>
        <w:rPr>
          <w:lang w:val="fr-FR"/>
        </w:rPr>
      </w:pPr>
      <w:r>
        <w:rPr>
          <w:lang w:val="fr-FR"/>
        </w:rPr>
        <w:t>décide</w:t>
      </w:r>
    </w:p>
    <w:p w:rsidR="00BF3F5B" w:rsidRPr="003A5D4B" w:rsidRDefault="0039623A" w:rsidP="001C4641">
      <w:pPr>
        <w:rPr>
          <w:lang w:val="fr-CH"/>
        </w:rPr>
      </w:pPr>
      <w:r w:rsidRPr="003A5D4B">
        <w:rPr>
          <w:lang w:val="fr-CH"/>
        </w:rPr>
        <w:t>1</w:t>
      </w:r>
      <w:r w:rsidRPr="003A5D4B">
        <w:rPr>
          <w:lang w:val="fr-CH"/>
        </w:rPr>
        <w:tab/>
      </w:r>
      <w:r w:rsidR="00AE19FA" w:rsidRPr="003A5D4B">
        <w:rPr>
          <w:lang w:val="fr-CH"/>
        </w:rPr>
        <w:t>de</w:t>
      </w:r>
      <w:r w:rsidR="003A5D4B" w:rsidRPr="003A5D4B">
        <w:rPr>
          <w:lang w:val="fr-CH"/>
        </w:rPr>
        <w:t xml:space="preserve"> considérer la confidentialité des données et la confiance dans les infrastructures et </w:t>
      </w:r>
      <w:r w:rsidR="00340AC9">
        <w:rPr>
          <w:lang w:val="fr-CH"/>
        </w:rPr>
        <w:t xml:space="preserve">les </w:t>
      </w:r>
      <w:r w:rsidR="003A5D4B" w:rsidRPr="003A5D4B">
        <w:rPr>
          <w:lang w:val="fr-CH"/>
        </w:rPr>
        <w:t>services TIC</w:t>
      </w:r>
      <w:r w:rsidR="003A5D4B">
        <w:rPr>
          <w:lang w:val="fr-CH"/>
        </w:rPr>
        <w:t xml:space="preserve"> comme </w:t>
      </w:r>
      <w:r w:rsidR="00340AC9">
        <w:rPr>
          <w:lang w:val="fr-CH"/>
        </w:rPr>
        <w:t>des</w:t>
      </w:r>
      <w:r w:rsidR="003A5D4B">
        <w:rPr>
          <w:lang w:val="fr-CH"/>
        </w:rPr>
        <w:t xml:space="preserve"> sujet</w:t>
      </w:r>
      <w:r w:rsidR="00340AC9">
        <w:rPr>
          <w:lang w:val="fr-CH"/>
        </w:rPr>
        <w:t>s</w:t>
      </w:r>
      <w:r w:rsidR="003A5D4B">
        <w:rPr>
          <w:lang w:val="fr-CH"/>
        </w:rPr>
        <w:t xml:space="preserve"> hautement prioritaire</w:t>
      </w:r>
      <w:r w:rsidR="00340AC9">
        <w:rPr>
          <w:lang w:val="fr-CH"/>
        </w:rPr>
        <w:t>s</w:t>
      </w:r>
      <w:r w:rsidR="003A5D4B">
        <w:rPr>
          <w:lang w:val="fr-CH"/>
        </w:rPr>
        <w:t xml:space="preserve"> pour la période d'études 2017-2020, </w:t>
      </w:r>
      <w:r w:rsidR="003A5D4B">
        <w:rPr>
          <w:lang w:val="fr-CH"/>
        </w:rPr>
        <w:lastRenderedPageBreak/>
        <w:t>principalement dans les domaines des réseaux pilotés par logiciel (SDN), de l'IoT et des villes intelligentes;</w:t>
      </w:r>
    </w:p>
    <w:p w:rsidR="003A5D4B" w:rsidRPr="003A5D4B" w:rsidRDefault="0039623A" w:rsidP="001C4641">
      <w:pPr>
        <w:rPr>
          <w:lang w:val="fr-CH"/>
        </w:rPr>
      </w:pPr>
      <w:r w:rsidRPr="003A5D4B">
        <w:rPr>
          <w:lang w:val="fr-CH"/>
        </w:rPr>
        <w:t>2</w:t>
      </w:r>
      <w:r w:rsidRPr="003A5D4B">
        <w:rPr>
          <w:lang w:val="fr-CH"/>
        </w:rPr>
        <w:tab/>
      </w:r>
      <w:r w:rsidR="003A5D4B" w:rsidRPr="003A5D4B">
        <w:rPr>
          <w:lang w:val="fr-CH"/>
        </w:rPr>
        <w:t>de charger les commissions d'études de l'UIT</w:t>
      </w:r>
      <w:r w:rsidR="003A5D4B" w:rsidRPr="003A5D4B">
        <w:rPr>
          <w:lang w:val="fr-CH"/>
        </w:rPr>
        <w:noBreakHyphen/>
        <w:t>T, en parti</w:t>
      </w:r>
      <w:r w:rsidR="003A5D4B">
        <w:rPr>
          <w:lang w:val="fr-CH"/>
        </w:rPr>
        <w:t>culier les Commissions d'études </w:t>
      </w:r>
      <w:r w:rsidR="003A5D4B" w:rsidRPr="003A5D4B">
        <w:rPr>
          <w:lang w:val="fr-CH"/>
        </w:rPr>
        <w:t xml:space="preserve">3, 13, 17 et 20, </w:t>
      </w:r>
      <w:r w:rsidR="003A5D4B">
        <w:rPr>
          <w:lang w:val="fr-CH"/>
        </w:rPr>
        <w:t xml:space="preserve">d'accélérer l'élaboration de Recommandations, de documents techniques, de manuels et autres publications </w:t>
      </w:r>
      <w:r w:rsidR="006D47B2">
        <w:rPr>
          <w:lang w:val="fr-CH"/>
        </w:rPr>
        <w:t>pour donner suite au</w:t>
      </w:r>
      <w:r w:rsidR="003A5D4B">
        <w:rPr>
          <w:lang w:val="fr-CH"/>
        </w:rPr>
        <w:t xml:space="preserve"> point 1 du </w:t>
      </w:r>
      <w:r w:rsidR="003A5D4B" w:rsidRPr="003A5D4B">
        <w:rPr>
          <w:i/>
          <w:iCs/>
          <w:lang w:val="fr-CH"/>
        </w:rPr>
        <w:t>décide</w:t>
      </w:r>
      <w:r w:rsidR="003A5D4B">
        <w:rPr>
          <w:lang w:val="fr-CH"/>
        </w:rPr>
        <w:t xml:space="preserve"> ci-dessus, </w:t>
      </w:r>
      <w:r w:rsidR="006D47B2">
        <w:rPr>
          <w:lang w:val="fr-CH"/>
        </w:rPr>
        <w:t>en vue</w:t>
      </w:r>
      <w:r w:rsidR="003A5D4B">
        <w:rPr>
          <w:lang w:val="fr-CH"/>
        </w:rPr>
        <w:t xml:space="preserve"> de mettre en oeuvre le principe de </w:t>
      </w:r>
      <w:r w:rsidR="00340AC9">
        <w:rPr>
          <w:lang w:val="fr-CH"/>
        </w:rPr>
        <w:t>confidentialité dès la conception</w:t>
      </w:r>
      <w:r w:rsidR="003A5D4B">
        <w:rPr>
          <w:lang w:val="fr-CH"/>
        </w:rPr>
        <w:t>;</w:t>
      </w:r>
    </w:p>
    <w:p w:rsidR="00580101" w:rsidRPr="00580101" w:rsidRDefault="0039623A" w:rsidP="001C4641">
      <w:pPr>
        <w:rPr>
          <w:lang w:val="fr-CH"/>
        </w:rPr>
      </w:pPr>
      <w:r w:rsidRPr="00580101">
        <w:rPr>
          <w:lang w:val="fr-CH"/>
        </w:rPr>
        <w:t>3</w:t>
      </w:r>
      <w:r w:rsidRPr="00580101">
        <w:rPr>
          <w:lang w:val="fr-CH"/>
        </w:rPr>
        <w:tab/>
      </w:r>
      <w:r w:rsidR="00580101" w:rsidRPr="00580101">
        <w:rPr>
          <w:lang w:val="fr-CH"/>
        </w:rPr>
        <w:t>que l'UIT-T, dans sa sphère d'acti</w:t>
      </w:r>
      <w:r w:rsidR="00340AC9">
        <w:rPr>
          <w:lang w:val="fr-CH"/>
        </w:rPr>
        <w:t>vité</w:t>
      </w:r>
      <w:r w:rsidR="00580101" w:rsidRPr="00580101">
        <w:rPr>
          <w:lang w:val="fr-CH"/>
        </w:rPr>
        <w:t xml:space="preserve"> et d'influence, doit continuer à sensibiliser</w:t>
      </w:r>
      <w:r w:rsidR="00762E16">
        <w:rPr>
          <w:lang w:val="fr-CH"/>
        </w:rPr>
        <w:t xml:space="preserve"> à</w:t>
      </w:r>
      <w:r w:rsidR="00580101" w:rsidRPr="00580101">
        <w:rPr>
          <w:lang w:val="fr-CH"/>
        </w:rPr>
        <w:t xml:space="preserve"> </w:t>
      </w:r>
      <w:r w:rsidR="00340AC9">
        <w:rPr>
          <w:lang w:val="fr-CH"/>
        </w:rPr>
        <w:t xml:space="preserve">la nécessité </w:t>
      </w:r>
      <w:r w:rsidR="00580101" w:rsidRPr="00580101">
        <w:rPr>
          <w:lang w:val="fr-CH"/>
        </w:rPr>
        <w:t xml:space="preserve">de </w:t>
      </w:r>
      <w:r w:rsidR="00580101">
        <w:rPr>
          <w:lang w:val="fr-CH"/>
        </w:rPr>
        <w:t xml:space="preserve">garantir la confidentialité des données et </w:t>
      </w:r>
      <w:r w:rsidR="00340AC9">
        <w:rPr>
          <w:lang w:val="fr-CH"/>
        </w:rPr>
        <w:t>de faire en sorte que</w:t>
      </w:r>
      <w:r w:rsidR="00580101">
        <w:rPr>
          <w:lang w:val="fr-CH"/>
        </w:rPr>
        <w:t xml:space="preserve"> les infrastructures et </w:t>
      </w:r>
      <w:r w:rsidR="00340AC9">
        <w:rPr>
          <w:lang w:val="fr-CH"/>
        </w:rPr>
        <w:t xml:space="preserve">les </w:t>
      </w:r>
      <w:r w:rsidR="00580101">
        <w:rPr>
          <w:lang w:val="fr-CH"/>
        </w:rPr>
        <w:t>services TIC</w:t>
      </w:r>
      <w:r w:rsidR="00340AC9">
        <w:rPr>
          <w:lang w:val="fr-CH"/>
        </w:rPr>
        <w:t xml:space="preserve"> soient fiables</w:t>
      </w:r>
      <w:r w:rsidR="00580101">
        <w:rPr>
          <w:lang w:val="fr-CH"/>
        </w:rPr>
        <w:t xml:space="preserve">, </w:t>
      </w:r>
      <w:r w:rsidR="00580101" w:rsidRPr="00580101">
        <w:rPr>
          <w:lang w:val="fr-CH"/>
        </w:rPr>
        <w:t>et à promouvoir la coopération entre les organisations interna</w:t>
      </w:r>
      <w:r w:rsidR="00340AC9">
        <w:rPr>
          <w:lang w:val="fr-CH"/>
        </w:rPr>
        <w:t>tionales et régionales compétent</w:t>
      </w:r>
      <w:r w:rsidR="00580101" w:rsidRPr="00580101">
        <w:rPr>
          <w:lang w:val="fr-CH"/>
        </w:rPr>
        <w:t>es</w:t>
      </w:r>
      <w:r w:rsidR="00340AC9">
        <w:rPr>
          <w:lang w:val="fr-CH"/>
        </w:rPr>
        <w:t>,</w:t>
      </w:r>
      <w:r w:rsidR="00580101" w:rsidRPr="00580101">
        <w:rPr>
          <w:lang w:val="fr-CH"/>
        </w:rPr>
        <w:t xml:space="preserve"> afin </w:t>
      </w:r>
      <w:r w:rsidR="00340AC9">
        <w:rPr>
          <w:lang w:val="fr-CH"/>
        </w:rPr>
        <w:t>d'améliorer</w:t>
      </w:r>
      <w:r w:rsidR="00580101" w:rsidRPr="00580101">
        <w:rPr>
          <w:lang w:val="fr-CH"/>
        </w:rPr>
        <w:t xml:space="preserve"> l'échange d'informations techniques dans le</w:t>
      </w:r>
      <w:r w:rsidR="00340AC9">
        <w:rPr>
          <w:lang w:val="fr-CH"/>
        </w:rPr>
        <w:t>s</w:t>
      </w:r>
      <w:r w:rsidR="00580101" w:rsidRPr="00580101">
        <w:rPr>
          <w:lang w:val="fr-CH"/>
        </w:rPr>
        <w:t xml:space="preserve"> domaine</w:t>
      </w:r>
      <w:r w:rsidR="00340AC9">
        <w:rPr>
          <w:lang w:val="fr-CH"/>
        </w:rPr>
        <w:t>s</w:t>
      </w:r>
      <w:r w:rsidR="00580101" w:rsidRPr="00580101">
        <w:rPr>
          <w:lang w:val="fr-CH"/>
        </w:rPr>
        <w:t xml:space="preserve"> de la </w:t>
      </w:r>
      <w:r w:rsidR="00340AC9">
        <w:rPr>
          <w:lang w:val="fr-CH"/>
        </w:rPr>
        <w:t>confidentialité et de la confiance</w:t>
      </w:r>
      <w:r w:rsidR="00DE2FF5">
        <w:rPr>
          <w:lang w:val="fr-CH"/>
        </w:rPr>
        <w:t>;</w:t>
      </w:r>
    </w:p>
    <w:p w:rsidR="00DE2FF5" w:rsidRPr="00DE2FF5" w:rsidRDefault="0039623A" w:rsidP="001C4641">
      <w:pPr>
        <w:rPr>
          <w:lang w:val="fr-CH"/>
        </w:rPr>
      </w:pPr>
      <w:r w:rsidRPr="00DE2FF5">
        <w:rPr>
          <w:lang w:val="fr-CH"/>
        </w:rPr>
        <w:t>4</w:t>
      </w:r>
      <w:r w:rsidRPr="00DE2FF5">
        <w:rPr>
          <w:lang w:val="fr-CH"/>
        </w:rPr>
        <w:tab/>
      </w:r>
      <w:r w:rsidR="00DE2FF5" w:rsidRPr="00DE2FF5">
        <w:rPr>
          <w:lang w:val="fr-CH"/>
        </w:rPr>
        <w:t>que l'UIT</w:t>
      </w:r>
      <w:r w:rsidR="00DE2FF5" w:rsidRPr="00DE2FF5">
        <w:rPr>
          <w:lang w:val="fr-CH"/>
        </w:rPr>
        <w:noBreakHyphen/>
        <w:t xml:space="preserve">T </w:t>
      </w:r>
      <w:r w:rsidR="00340AC9">
        <w:rPr>
          <w:lang w:val="fr-CH"/>
        </w:rPr>
        <w:t>devra</w:t>
      </w:r>
      <w:r w:rsidR="00DE2FF5" w:rsidRPr="00DE2FF5">
        <w:rPr>
          <w:lang w:val="fr-CH"/>
        </w:rPr>
        <w:t xml:space="preserve"> travailler en </w:t>
      </w:r>
      <w:r w:rsidR="00340AC9">
        <w:rPr>
          <w:lang w:val="fr-CH"/>
        </w:rPr>
        <w:t xml:space="preserve">étroite </w:t>
      </w:r>
      <w:r w:rsidR="00DE2FF5" w:rsidRPr="00DE2FF5">
        <w:rPr>
          <w:lang w:val="fr-CH"/>
        </w:rPr>
        <w:t>collaborat</w:t>
      </w:r>
      <w:r w:rsidR="00DE2FF5">
        <w:rPr>
          <w:lang w:val="fr-CH"/>
        </w:rPr>
        <w:t>ion avec l'UIT</w:t>
      </w:r>
      <w:r w:rsidR="00DE2FF5">
        <w:rPr>
          <w:lang w:val="fr-CH"/>
        </w:rPr>
        <w:noBreakHyphen/>
        <w:t xml:space="preserve">D, conformément à l'objectif de </w:t>
      </w:r>
      <w:r w:rsidR="00340AC9">
        <w:rPr>
          <w:lang w:val="fr-CH"/>
        </w:rPr>
        <w:t xml:space="preserve">ce Secteur </w:t>
      </w:r>
      <w:r w:rsidR="00DE2FF5">
        <w:rPr>
          <w:lang w:val="fr-CH"/>
        </w:rPr>
        <w:t>consist</w:t>
      </w:r>
      <w:r w:rsidR="006D47B2">
        <w:rPr>
          <w:lang w:val="fr-CH"/>
        </w:rPr>
        <w:t>ant</w:t>
      </w:r>
      <w:r w:rsidR="00DE2FF5">
        <w:rPr>
          <w:lang w:val="fr-CH"/>
        </w:rPr>
        <w:t xml:space="preserve"> à améliorer la confiance et la sécurité dans l'utilisation des télécommunications/TIC, comme indiqué dans le Plan stratégique de l'Union pour la période 2016</w:t>
      </w:r>
      <w:r w:rsidR="00DE2FF5">
        <w:rPr>
          <w:lang w:val="fr-CH"/>
        </w:rPr>
        <w:noBreakHyphen/>
        <w:t>2019;</w:t>
      </w:r>
    </w:p>
    <w:p w:rsidR="00DE2FF5" w:rsidRPr="00DE2FF5" w:rsidRDefault="0039623A" w:rsidP="001C4641">
      <w:pPr>
        <w:rPr>
          <w:lang w:val="fr-CH"/>
        </w:rPr>
      </w:pPr>
      <w:r w:rsidRPr="00DE2FF5">
        <w:rPr>
          <w:lang w:val="fr-CH"/>
        </w:rPr>
        <w:t>5</w:t>
      </w:r>
      <w:r w:rsidRPr="00DE2FF5">
        <w:rPr>
          <w:lang w:val="fr-CH"/>
        </w:rPr>
        <w:tab/>
      </w:r>
      <w:r w:rsidR="00DE2FF5" w:rsidRPr="00DE2FF5">
        <w:rPr>
          <w:lang w:val="fr-CH"/>
        </w:rPr>
        <w:t>de charger la Commission d'études 20 de l'UIT</w:t>
      </w:r>
      <w:r w:rsidR="00DE2FF5" w:rsidRPr="00DE2FF5">
        <w:rPr>
          <w:lang w:val="fr-CH"/>
        </w:rPr>
        <w:noBreakHyphen/>
        <w:t>T</w:t>
      </w:r>
      <w:r w:rsidR="00DE2FF5">
        <w:rPr>
          <w:lang w:val="fr-CH"/>
        </w:rPr>
        <w:t xml:space="preserve"> de </w:t>
      </w:r>
      <w:r w:rsidR="00340AC9">
        <w:rPr>
          <w:lang w:val="fr-CH"/>
        </w:rPr>
        <w:t>remanier</w:t>
      </w:r>
      <w:r w:rsidR="00DE2FF5">
        <w:rPr>
          <w:lang w:val="fr-CH"/>
        </w:rPr>
        <w:t xml:space="preserve"> sa structure,</w:t>
      </w:r>
      <w:r w:rsidR="00C96782">
        <w:rPr>
          <w:lang w:val="fr-CH"/>
        </w:rPr>
        <w:t xml:space="preserve"> afin d'</w:t>
      </w:r>
      <w:r w:rsidR="00340AC9">
        <w:rPr>
          <w:lang w:val="fr-CH"/>
        </w:rPr>
        <w:t>intensifie</w:t>
      </w:r>
      <w:r w:rsidR="00C96782">
        <w:rPr>
          <w:lang w:val="fr-CH"/>
        </w:rPr>
        <w:t xml:space="preserve">r </w:t>
      </w:r>
      <w:r w:rsidR="00DE2FF5">
        <w:rPr>
          <w:lang w:val="fr-CH"/>
        </w:rPr>
        <w:t>et d'accélérer les travaux sur la confidentialité des données et la confiance, conformément à la présente Résolution,</w:t>
      </w:r>
    </w:p>
    <w:p w:rsidR="0039623A" w:rsidRPr="00C96782" w:rsidRDefault="00C96782" w:rsidP="001C4641">
      <w:pPr>
        <w:pStyle w:val="Call"/>
        <w:rPr>
          <w:lang w:val="fr-CH"/>
        </w:rPr>
      </w:pPr>
      <w:r w:rsidRPr="00C96782">
        <w:rPr>
          <w:lang w:val="fr-CH"/>
        </w:rPr>
        <w:t>charge le Directeur du Bureau de la normalisation</w:t>
      </w:r>
      <w:r w:rsidR="0039623A" w:rsidRPr="00C96782">
        <w:rPr>
          <w:lang w:val="fr-CH"/>
        </w:rPr>
        <w:t xml:space="preserve"> </w:t>
      </w:r>
      <w:r>
        <w:rPr>
          <w:lang w:val="fr-CH"/>
        </w:rPr>
        <w:t>des télécommunications</w:t>
      </w:r>
    </w:p>
    <w:p w:rsidR="00C96782" w:rsidRPr="00C96782" w:rsidRDefault="0039623A" w:rsidP="001C4641">
      <w:pPr>
        <w:rPr>
          <w:lang w:val="fr-CH"/>
        </w:rPr>
      </w:pPr>
      <w:r w:rsidRPr="00C96782">
        <w:rPr>
          <w:lang w:val="fr-CH"/>
        </w:rPr>
        <w:t>1</w:t>
      </w:r>
      <w:r w:rsidRPr="00C96782">
        <w:rPr>
          <w:lang w:val="fr-CH"/>
        </w:rPr>
        <w:tab/>
      </w:r>
      <w:r w:rsidR="00C96782" w:rsidRPr="00C96782">
        <w:rPr>
          <w:lang w:val="fr-CH"/>
        </w:rPr>
        <w:t xml:space="preserve">d'envisager, chaque fois que cela est possible, </w:t>
      </w:r>
      <w:r w:rsidR="00340AC9">
        <w:rPr>
          <w:lang w:val="fr-CH"/>
        </w:rPr>
        <w:t xml:space="preserve">d'organiser </w:t>
      </w:r>
      <w:r w:rsidR="00C96782">
        <w:rPr>
          <w:lang w:val="fr-CH"/>
        </w:rPr>
        <w:t xml:space="preserve">des ateliers </w:t>
      </w:r>
      <w:r w:rsidR="00340AC9">
        <w:rPr>
          <w:lang w:val="fr-CH"/>
        </w:rPr>
        <w:t>sur les questions lié</w:t>
      </w:r>
      <w:r w:rsidR="00C96782">
        <w:rPr>
          <w:lang w:val="fr-CH"/>
        </w:rPr>
        <w:t xml:space="preserve">es à la </w:t>
      </w:r>
      <w:r w:rsidR="00340AC9">
        <w:rPr>
          <w:lang w:val="fr-CH"/>
        </w:rPr>
        <w:t>confidentialité</w:t>
      </w:r>
      <w:r w:rsidR="00C96782">
        <w:rPr>
          <w:lang w:val="fr-CH"/>
        </w:rPr>
        <w:t xml:space="preserve"> </w:t>
      </w:r>
      <w:r w:rsidR="00340AC9">
        <w:rPr>
          <w:lang w:val="fr-CH"/>
        </w:rPr>
        <w:t>et à</w:t>
      </w:r>
      <w:r w:rsidR="00C96782">
        <w:rPr>
          <w:lang w:val="fr-CH"/>
        </w:rPr>
        <w:t xml:space="preserve"> la confiance</w:t>
      </w:r>
      <w:r w:rsidR="00340AC9">
        <w:rPr>
          <w:lang w:val="fr-CH"/>
        </w:rPr>
        <w:t xml:space="preserve"> dans les infrastructures et les services TIC</w:t>
      </w:r>
      <w:r w:rsidR="00C96782">
        <w:rPr>
          <w:lang w:val="fr-CH"/>
        </w:rPr>
        <w:t>;</w:t>
      </w:r>
    </w:p>
    <w:p w:rsidR="00C96782" w:rsidRPr="00C96782" w:rsidRDefault="0039623A" w:rsidP="001C4641">
      <w:pPr>
        <w:rPr>
          <w:lang w:val="fr-FR"/>
        </w:rPr>
      </w:pPr>
      <w:r w:rsidRPr="00C96782">
        <w:rPr>
          <w:lang w:val="fr-FR"/>
        </w:rPr>
        <w:t>2</w:t>
      </w:r>
      <w:r w:rsidRPr="00C96782">
        <w:rPr>
          <w:lang w:val="fr-FR"/>
        </w:rPr>
        <w:tab/>
      </w:r>
      <w:r w:rsidR="00C96782" w:rsidRPr="00C96782">
        <w:rPr>
          <w:lang w:val="fr-FR"/>
        </w:rPr>
        <w:t xml:space="preserve">de coopérer avec le </w:t>
      </w:r>
      <w:r w:rsidR="00C96782">
        <w:rPr>
          <w:lang w:val="fr-FR"/>
        </w:rPr>
        <w:t xml:space="preserve">BDT sur toute question ayant trait à la </w:t>
      </w:r>
      <w:r w:rsidR="00340AC9">
        <w:rPr>
          <w:lang w:val="fr-FR"/>
        </w:rPr>
        <w:t>confidentialité</w:t>
      </w:r>
      <w:r w:rsidR="00C96782">
        <w:rPr>
          <w:lang w:val="fr-FR"/>
        </w:rPr>
        <w:t xml:space="preserve"> ou à la confiance,</w:t>
      </w:r>
    </w:p>
    <w:p w:rsidR="00C96782" w:rsidRPr="00C96782" w:rsidRDefault="00C96782" w:rsidP="001C4641">
      <w:pPr>
        <w:pStyle w:val="Call"/>
        <w:rPr>
          <w:lang w:val="fr-CH"/>
        </w:rPr>
      </w:pPr>
      <w:r w:rsidRPr="00C96782">
        <w:rPr>
          <w:lang w:val="fr-CH"/>
        </w:rPr>
        <w:t>charge le Directeur du Bureau de la normalisation des télécommunication</w:t>
      </w:r>
      <w:r>
        <w:rPr>
          <w:lang w:val="fr-CH"/>
        </w:rPr>
        <w:t>s</w:t>
      </w:r>
      <w:r w:rsidRPr="00C96782">
        <w:rPr>
          <w:lang w:val="fr-CH"/>
        </w:rPr>
        <w:t xml:space="preserve">, en </w:t>
      </w:r>
      <w:r w:rsidR="00340AC9" w:rsidRPr="00C96782">
        <w:rPr>
          <w:lang w:val="fr-CH"/>
        </w:rPr>
        <w:t xml:space="preserve">étroite </w:t>
      </w:r>
      <w:r w:rsidRPr="00C96782">
        <w:rPr>
          <w:lang w:val="fr-CH"/>
        </w:rPr>
        <w:t>collaboration avec le Directeur du Bureau de développement des télécommunications</w:t>
      </w:r>
    </w:p>
    <w:p w:rsidR="00C96782" w:rsidRPr="00C96782" w:rsidRDefault="00C96782" w:rsidP="001C4641">
      <w:pPr>
        <w:rPr>
          <w:lang w:val="fr-CH"/>
        </w:rPr>
      </w:pPr>
      <w:r>
        <w:rPr>
          <w:lang w:val="fr-CH"/>
        </w:rPr>
        <w:t>d'aider les Etats Membres, en</w:t>
      </w:r>
      <w:r w:rsidRPr="00C96782">
        <w:rPr>
          <w:lang w:val="fr-CH"/>
        </w:rPr>
        <w:t xml:space="preserve"> particulier les pays en</w:t>
      </w:r>
      <w:r>
        <w:rPr>
          <w:lang w:val="fr-CH"/>
        </w:rPr>
        <w:t xml:space="preserve"> </w:t>
      </w:r>
      <w:r w:rsidRPr="00C96782">
        <w:rPr>
          <w:lang w:val="fr-CH"/>
        </w:rPr>
        <w:t xml:space="preserve">développement, </w:t>
      </w:r>
      <w:r>
        <w:rPr>
          <w:lang w:val="fr-CH"/>
        </w:rPr>
        <w:t xml:space="preserve">à faire face aux problèmes qu'ils rencontrent en ce qui concerne la </w:t>
      </w:r>
      <w:r w:rsidR="00BD4698">
        <w:rPr>
          <w:lang w:val="fr-CH"/>
        </w:rPr>
        <w:t xml:space="preserve">confidentialité </w:t>
      </w:r>
      <w:r>
        <w:rPr>
          <w:lang w:val="fr-CH"/>
        </w:rPr>
        <w:t xml:space="preserve">et la confiance, </w:t>
      </w:r>
      <w:r w:rsidR="006D47B2">
        <w:rPr>
          <w:lang w:val="fr-CH"/>
        </w:rPr>
        <w:t>au moyen</w:t>
      </w:r>
      <w:r w:rsidR="00340AC9">
        <w:rPr>
          <w:lang w:val="fr-CH"/>
        </w:rPr>
        <w:t xml:space="preserve"> d'échanges</w:t>
      </w:r>
      <w:r w:rsidR="00BD4698">
        <w:rPr>
          <w:lang w:val="fr-CH"/>
        </w:rPr>
        <w:t xml:space="preserve"> d'informations au niveau régional </w:t>
      </w:r>
      <w:r w:rsidR="006D47B2">
        <w:rPr>
          <w:lang w:val="fr-CH"/>
        </w:rPr>
        <w:t>ou</w:t>
      </w:r>
      <w:r w:rsidR="00BD4698">
        <w:rPr>
          <w:lang w:val="fr-CH"/>
        </w:rPr>
        <w:t xml:space="preserve"> mondial,</w:t>
      </w:r>
    </w:p>
    <w:p w:rsidR="0039623A" w:rsidRPr="00C96782" w:rsidRDefault="00C96782" w:rsidP="001C4641">
      <w:pPr>
        <w:pStyle w:val="Call"/>
        <w:rPr>
          <w:lang w:val="fr-FR"/>
        </w:rPr>
      </w:pPr>
      <w:r w:rsidRPr="00C96782">
        <w:rPr>
          <w:lang w:val="fr-FR"/>
        </w:rPr>
        <w:t>invite les Etats Membres</w:t>
      </w:r>
    </w:p>
    <w:p w:rsidR="00BD4698" w:rsidRPr="00BD4698" w:rsidRDefault="0039623A" w:rsidP="001C4641">
      <w:pPr>
        <w:rPr>
          <w:lang w:val="fr-CH"/>
        </w:rPr>
      </w:pPr>
      <w:r w:rsidRPr="00BD4698">
        <w:rPr>
          <w:lang w:val="fr-CH"/>
        </w:rPr>
        <w:t>1</w:t>
      </w:r>
      <w:r w:rsidRPr="00BD4698">
        <w:rPr>
          <w:lang w:val="fr-CH"/>
        </w:rPr>
        <w:tab/>
      </w:r>
      <w:r w:rsidR="00BD4698" w:rsidRPr="00BD4698">
        <w:rPr>
          <w:lang w:val="fr-CH"/>
        </w:rPr>
        <w:t xml:space="preserve">à </w:t>
      </w:r>
      <w:r w:rsidR="00BD4698">
        <w:rPr>
          <w:lang w:val="fr-CH"/>
        </w:rPr>
        <w:t>appliquer</w:t>
      </w:r>
      <w:r w:rsidR="00BD4698" w:rsidRPr="00BD4698">
        <w:rPr>
          <w:lang w:val="fr-CH"/>
        </w:rPr>
        <w:t xml:space="preserve"> les mesures réglementaires nécessaires </w:t>
      </w:r>
      <w:r w:rsidR="00BD4698">
        <w:rPr>
          <w:lang w:val="fr-CH"/>
        </w:rPr>
        <w:t>pour garantir la confidentialité et la confiance;</w:t>
      </w:r>
    </w:p>
    <w:p w:rsidR="00BD4698" w:rsidRPr="00BD4698" w:rsidRDefault="0039623A" w:rsidP="001C4641">
      <w:pPr>
        <w:rPr>
          <w:lang w:val="fr-CH"/>
        </w:rPr>
      </w:pPr>
      <w:r w:rsidRPr="00BD4698">
        <w:rPr>
          <w:lang w:val="fr-CH"/>
        </w:rPr>
        <w:t>2</w:t>
      </w:r>
      <w:r w:rsidRPr="00BD4698">
        <w:rPr>
          <w:lang w:val="fr-CH"/>
        </w:rPr>
        <w:tab/>
      </w:r>
      <w:r w:rsidR="00BD4698" w:rsidRPr="00BD4698">
        <w:rPr>
          <w:lang w:val="fr-CH"/>
        </w:rPr>
        <w:t xml:space="preserve">à </w:t>
      </w:r>
      <w:r w:rsidR="00BD4698">
        <w:rPr>
          <w:lang w:val="fr-CH"/>
        </w:rPr>
        <w:t>mieux faire connaître</w:t>
      </w:r>
      <w:r w:rsidR="00BD4698" w:rsidRPr="00BD4698">
        <w:rPr>
          <w:lang w:val="fr-CH"/>
        </w:rPr>
        <w:t xml:space="preserve"> ces questions et </w:t>
      </w:r>
      <w:r w:rsidR="00BD4698">
        <w:rPr>
          <w:lang w:val="fr-CH"/>
        </w:rPr>
        <w:t xml:space="preserve">à </w:t>
      </w:r>
      <w:r w:rsidR="00BD4698" w:rsidRPr="00BD4698">
        <w:rPr>
          <w:lang w:val="fr-CH"/>
        </w:rPr>
        <w:t xml:space="preserve">prendre toutes les mesures nécessaires pour garantir la confidentialité des données et </w:t>
      </w:r>
      <w:r w:rsidR="00BD4698">
        <w:rPr>
          <w:lang w:val="fr-CH"/>
        </w:rPr>
        <w:t xml:space="preserve">la </w:t>
      </w:r>
      <w:r w:rsidR="00BD4698" w:rsidRPr="00BD4698">
        <w:rPr>
          <w:lang w:val="fr-CH"/>
        </w:rPr>
        <w:t xml:space="preserve">confiance dans les infrastructures et </w:t>
      </w:r>
      <w:r w:rsidR="00340AC9">
        <w:rPr>
          <w:lang w:val="fr-CH"/>
        </w:rPr>
        <w:t xml:space="preserve">les </w:t>
      </w:r>
      <w:r w:rsidR="00BD4698" w:rsidRPr="00BD4698">
        <w:rPr>
          <w:lang w:val="fr-CH"/>
        </w:rPr>
        <w:t>services TIC, et à coopérer et à échanger des connaissances spécialisées;</w:t>
      </w:r>
    </w:p>
    <w:p w:rsidR="00BD4698" w:rsidRPr="00BD4698" w:rsidRDefault="0039623A" w:rsidP="001C4641">
      <w:pPr>
        <w:rPr>
          <w:lang w:val="fr-CH"/>
        </w:rPr>
      </w:pPr>
      <w:r w:rsidRPr="00BD4698">
        <w:rPr>
          <w:lang w:val="fr-CH"/>
        </w:rPr>
        <w:t>3</w:t>
      </w:r>
      <w:r w:rsidRPr="00BD4698">
        <w:rPr>
          <w:lang w:val="fr-CH"/>
        </w:rPr>
        <w:tab/>
      </w:r>
      <w:r w:rsidR="00BD4698" w:rsidRPr="00BD4698">
        <w:rPr>
          <w:lang w:val="fr-CH"/>
        </w:rPr>
        <w:t xml:space="preserve">à participer activement aux études de l'UIT relatives à </w:t>
      </w:r>
      <w:r w:rsidR="00BD4698">
        <w:rPr>
          <w:lang w:val="fr-CH"/>
        </w:rPr>
        <w:t xml:space="preserve">l'instauration de </w:t>
      </w:r>
      <w:r w:rsidR="00BD4698" w:rsidRPr="00BD4698">
        <w:rPr>
          <w:lang w:val="fr-CH"/>
        </w:rPr>
        <w:t xml:space="preserve">la confiance dans les infrastructures et les services TIC </w:t>
      </w:r>
      <w:r w:rsidR="00BD4698">
        <w:rPr>
          <w:lang w:val="fr-CH"/>
        </w:rPr>
        <w:t>en soumettant des contributions.</w:t>
      </w:r>
    </w:p>
    <w:p w:rsidR="00F455BF" w:rsidRPr="006D47B2" w:rsidRDefault="00F455BF" w:rsidP="001C4641">
      <w:pPr>
        <w:pStyle w:val="Reasons"/>
        <w:rPr>
          <w:lang w:val="fr-CH"/>
        </w:rPr>
      </w:pPr>
    </w:p>
    <w:p w:rsidR="00F455BF" w:rsidRDefault="00F455BF" w:rsidP="001C4641">
      <w:pPr>
        <w:jc w:val="center"/>
      </w:pPr>
      <w:r>
        <w:t>______________</w:t>
      </w:r>
    </w:p>
    <w:sectPr w:rsidR="00F455BF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2" w:rsidRDefault="00345A52">
      <w:r>
        <w:separator/>
      </w:r>
    </w:p>
  </w:endnote>
  <w:endnote w:type="continuationSeparator" w:id="0">
    <w:p w:rsidR="00345A52" w:rsidRDefault="003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526703" w:rsidRDefault="00E45D05">
    <w:pPr>
      <w:ind w:right="360"/>
    </w:pPr>
    <w:r>
      <w:fldChar w:fldCharType="begin"/>
    </w:r>
    <w:r w:rsidRPr="00526703">
      <w:instrText xml:space="preserve"> FILENAME \p  \* MERGEFORMAT </w:instrText>
    </w:r>
    <w:r>
      <w:fldChar w:fldCharType="separate"/>
    </w:r>
    <w:r w:rsidR="00760E77">
      <w:rPr>
        <w:noProof/>
      </w:rPr>
      <w:t>P:\TRAD\F\LING\Manouvrier\AMNT-16\406449.docx</w:t>
    </w:r>
    <w:r>
      <w:fldChar w:fldCharType="end"/>
    </w:r>
    <w:r w:rsidRPr="00526703">
      <w:tab/>
    </w:r>
    <w:r>
      <w:fldChar w:fldCharType="begin"/>
    </w:r>
    <w:r>
      <w:instrText xml:space="preserve"> SAVEDATE \@ DD.MM.YY </w:instrText>
    </w:r>
    <w:r>
      <w:fldChar w:fldCharType="separate"/>
    </w:r>
    <w:r w:rsidR="00140EAC">
      <w:rPr>
        <w:noProof/>
      </w:rPr>
      <w:t>13.10.16</w:t>
    </w:r>
    <w:r>
      <w:fldChar w:fldCharType="end"/>
    </w:r>
    <w:r w:rsidRPr="00526703">
      <w:tab/>
    </w:r>
    <w:r>
      <w:fldChar w:fldCharType="begin"/>
    </w:r>
    <w:r>
      <w:instrText xml:space="preserve"> PRINTDATE \@ DD.MM.YY </w:instrText>
    </w:r>
    <w:r>
      <w:fldChar w:fldCharType="separate"/>
    </w:r>
    <w:r w:rsidR="00760E77">
      <w:rPr>
        <w:noProof/>
      </w:rPr>
      <w:t>12.10.16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2E2E03" w:rsidRDefault="00E45D05" w:rsidP="00526703">
    <w:pPr>
      <w:pStyle w:val="Footer"/>
      <w:rPr>
        <w:lang w:val="fr-CH"/>
      </w:rPr>
    </w:pPr>
    <w:r>
      <w:fldChar w:fldCharType="begin"/>
    </w:r>
    <w:r w:rsidRPr="002E2E03">
      <w:rPr>
        <w:lang w:val="fr-CH"/>
      </w:rPr>
      <w:instrText xml:space="preserve"> FILENAME \p  \* MERGEFORMAT </w:instrText>
    </w:r>
    <w:r>
      <w:fldChar w:fldCharType="separate"/>
    </w:r>
    <w:r w:rsidR="00821248">
      <w:rPr>
        <w:lang w:val="fr-CH"/>
      </w:rPr>
      <w:t>P:\FRA\ITU-T\CONF-T\WTSA16\000\043ADD28F.docx</w:t>
    </w:r>
    <w:r>
      <w:fldChar w:fldCharType="end"/>
    </w:r>
    <w:r w:rsidR="002E2E03" w:rsidRPr="002E2E03">
      <w:rPr>
        <w:lang w:val="fr-CH"/>
      </w:rPr>
      <w:t xml:space="preserve"> (406449)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2E2E03" w:rsidRDefault="00987C1F" w:rsidP="00526703">
    <w:pPr>
      <w:pStyle w:val="Footer"/>
      <w:rPr>
        <w:lang w:val="fr-CH"/>
      </w:rPr>
    </w:pPr>
    <w:r>
      <w:fldChar w:fldCharType="begin"/>
    </w:r>
    <w:r w:rsidRPr="002E2E03">
      <w:rPr>
        <w:lang w:val="fr-CH"/>
      </w:rPr>
      <w:instrText xml:space="preserve"> FILENAME \p  \* MERGEFORMAT </w:instrText>
    </w:r>
    <w:r>
      <w:fldChar w:fldCharType="separate"/>
    </w:r>
    <w:r w:rsidR="00821248">
      <w:rPr>
        <w:lang w:val="fr-CH"/>
      </w:rPr>
      <w:t>P:\FRA\ITU-T\CONF-T\WTSA16\000\043ADD28F.docx</w:t>
    </w:r>
    <w:r>
      <w:fldChar w:fldCharType="end"/>
    </w:r>
    <w:r w:rsidR="002E2E03" w:rsidRPr="002E2E03">
      <w:rPr>
        <w:lang w:val="fr-CH"/>
      </w:rPr>
      <w:t xml:space="preserve"> (406449)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2" w:rsidRDefault="00345A52">
      <w:r>
        <w:rPr>
          <w:b/>
        </w:rPr>
        <w:t>_______________</w:t>
      </w:r>
    </w:p>
  </w:footnote>
  <w:footnote w:type="continuationSeparator" w:id="0">
    <w:p w:rsidR="00345A52" w:rsidRDefault="00345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40EAC">
      <w:rPr>
        <w:noProof/>
      </w:rPr>
      <w:t>4</w:t>
    </w:r>
    <w:r>
      <w:fldChar w:fldCharType="end"/>
    </w:r>
  </w:p>
  <w:p w:rsidR="00987C1F" w:rsidRDefault="00E07AF5" w:rsidP="00987C1F">
    <w:pPr>
      <w:pStyle w:val="Header"/>
    </w:pPr>
    <w:r>
      <w:t>AMNT16</w:t>
    </w:r>
    <w:r w:rsidR="00987C1F">
      <w:t>/43(Add.28)-</w:t>
    </w:r>
    <w:r w:rsidR="00987C1F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F6"/>
    <w:rsid w:val="00000484"/>
    <w:rsid w:val="00000C1C"/>
    <w:rsid w:val="000032AD"/>
    <w:rsid w:val="000041EA"/>
    <w:rsid w:val="00022A29"/>
    <w:rsid w:val="000355FD"/>
    <w:rsid w:val="00051E39"/>
    <w:rsid w:val="00077239"/>
    <w:rsid w:val="00086491"/>
    <w:rsid w:val="00091346"/>
    <w:rsid w:val="0009706C"/>
    <w:rsid w:val="000A14AF"/>
    <w:rsid w:val="000A6B20"/>
    <w:rsid w:val="000F4DB5"/>
    <w:rsid w:val="000F73FF"/>
    <w:rsid w:val="00114CF7"/>
    <w:rsid w:val="00123B68"/>
    <w:rsid w:val="00126F2E"/>
    <w:rsid w:val="00140EAC"/>
    <w:rsid w:val="00146F6F"/>
    <w:rsid w:val="00164C14"/>
    <w:rsid w:val="00187BD9"/>
    <w:rsid w:val="00190B55"/>
    <w:rsid w:val="001978FA"/>
    <w:rsid w:val="001A0F27"/>
    <w:rsid w:val="001C3B5F"/>
    <w:rsid w:val="001C4641"/>
    <w:rsid w:val="001D058F"/>
    <w:rsid w:val="001D581B"/>
    <w:rsid w:val="001D77E9"/>
    <w:rsid w:val="001E1430"/>
    <w:rsid w:val="001E3458"/>
    <w:rsid w:val="002009EA"/>
    <w:rsid w:val="00202CA0"/>
    <w:rsid w:val="00216B6D"/>
    <w:rsid w:val="00250AF4"/>
    <w:rsid w:val="00255D38"/>
    <w:rsid w:val="00271316"/>
    <w:rsid w:val="002B2A75"/>
    <w:rsid w:val="002D58BE"/>
    <w:rsid w:val="002E210D"/>
    <w:rsid w:val="002E2E03"/>
    <w:rsid w:val="003236A6"/>
    <w:rsid w:val="00332C56"/>
    <w:rsid w:val="00340AC9"/>
    <w:rsid w:val="00345A52"/>
    <w:rsid w:val="00364D00"/>
    <w:rsid w:val="00377BD3"/>
    <w:rsid w:val="003832C0"/>
    <w:rsid w:val="00384088"/>
    <w:rsid w:val="0039169B"/>
    <w:rsid w:val="0039623A"/>
    <w:rsid w:val="003A5D4B"/>
    <w:rsid w:val="003A7F8C"/>
    <w:rsid w:val="003B532E"/>
    <w:rsid w:val="003C2A19"/>
    <w:rsid w:val="003D0F8B"/>
    <w:rsid w:val="003D3249"/>
    <w:rsid w:val="004054F5"/>
    <w:rsid w:val="004079B0"/>
    <w:rsid w:val="0041348E"/>
    <w:rsid w:val="00417AD4"/>
    <w:rsid w:val="00444030"/>
    <w:rsid w:val="004442AA"/>
    <w:rsid w:val="004508E2"/>
    <w:rsid w:val="00476533"/>
    <w:rsid w:val="00492075"/>
    <w:rsid w:val="004969AD"/>
    <w:rsid w:val="004A26C4"/>
    <w:rsid w:val="004B13CB"/>
    <w:rsid w:val="004D5D5C"/>
    <w:rsid w:val="004E42A3"/>
    <w:rsid w:val="0050139F"/>
    <w:rsid w:val="00526703"/>
    <w:rsid w:val="00530525"/>
    <w:rsid w:val="0055140B"/>
    <w:rsid w:val="00580101"/>
    <w:rsid w:val="00595780"/>
    <w:rsid w:val="005964AB"/>
    <w:rsid w:val="005C099A"/>
    <w:rsid w:val="005C31A5"/>
    <w:rsid w:val="005E10C9"/>
    <w:rsid w:val="005E61DD"/>
    <w:rsid w:val="006023DF"/>
    <w:rsid w:val="00620FFE"/>
    <w:rsid w:val="00622829"/>
    <w:rsid w:val="00657DE0"/>
    <w:rsid w:val="00667EB5"/>
    <w:rsid w:val="00685313"/>
    <w:rsid w:val="0069092B"/>
    <w:rsid w:val="00692833"/>
    <w:rsid w:val="006A6E9B"/>
    <w:rsid w:val="006B249F"/>
    <w:rsid w:val="006B7C2A"/>
    <w:rsid w:val="006C23DA"/>
    <w:rsid w:val="006D47B2"/>
    <w:rsid w:val="006E013B"/>
    <w:rsid w:val="006E3C9D"/>
    <w:rsid w:val="006E3D45"/>
    <w:rsid w:val="006F580E"/>
    <w:rsid w:val="007115C2"/>
    <w:rsid w:val="007149F9"/>
    <w:rsid w:val="00733A30"/>
    <w:rsid w:val="00745AEE"/>
    <w:rsid w:val="00750F10"/>
    <w:rsid w:val="00760E77"/>
    <w:rsid w:val="00762E16"/>
    <w:rsid w:val="007742CA"/>
    <w:rsid w:val="00790D70"/>
    <w:rsid w:val="007D5320"/>
    <w:rsid w:val="007E26E2"/>
    <w:rsid w:val="008006C5"/>
    <w:rsid w:val="00800972"/>
    <w:rsid w:val="00804475"/>
    <w:rsid w:val="00811633"/>
    <w:rsid w:val="00813B79"/>
    <w:rsid w:val="00821248"/>
    <w:rsid w:val="00864CD2"/>
    <w:rsid w:val="00872FC8"/>
    <w:rsid w:val="008778EB"/>
    <w:rsid w:val="008845D0"/>
    <w:rsid w:val="008A69FB"/>
    <w:rsid w:val="008B1AEA"/>
    <w:rsid w:val="008B43F2"/>
    <w:rsid w:val="008B6CFF"/>
    <w:rsid w:val="008B732A"/>
    <w:rsid w:val="008C27E9"/>
    <w:rsid w:val="008C6BAA"/>
    <w:rsid w:val="009143B2"/>
    <w:rsid w:val="0092425C"/>
    <w:rsid w:val="009274B4"/>
    <w:rsid w:val="00934EA2"/>
    <w:rsid w:val="00940614"/>
    <w:rsid w:val="00944A5C"/>
    <w:rsid w:val="00952A66"/>
    <w:rsid w:val="00957670"/>
    <w:rsid w:val="00962CDE"/>
    <w:rsid w:val="00987C1F"/>
    <w:rsid w:val="009B081F"/>
    <w:rsid w:val="009C3191"/>
    <w:rsid w:val="009C56E5"/>
    <w:rsid w:val="009E38D4"/>
    <w:rsid w:val="009E5FC8"/>
    <w:rsid w:val="009E687A"/>
    <w:rsid w:val="009F63E2"/>
    <w:rsid w:val="00A066F1"/>
    <w:rsid w:val="00A07264"/>
    <w:rsid w:val="00A141AF"/>
    <w:rsid w:val="00A16D29"/>
    <w:rsid w:val="00A30305"/>
    <w:rsid w:val="00A31D2D"/>
    <w:rsid w:val="00A411B1"/>
    <w:rsid w:val="00A4600A"/>
    <w:rsid w:val="00A538A6"/>
    <w:rsid w:val="00A54C25"/>
    <w:rsid w:val="00A710E7"/>
    <w:rsid w:val="00A7372E"/>
    <w:rsid w:val="00A811DC"/>
    <w:rsid w:val="00A90939"/>
    <w:rsid w:val="00A92186"/>
    <w:rsid w:val="00A93B85"/>
    <w:rsid w:val="00A94A88"/>
    <w:rsid w:val="00AA0B18"/>
    <w:rsid w:val="00AA666F"/>
    <w:rsid w:val="00AB5A50"/>
    <w:rsid w:val="00AB7C5F"/>
    <w:rsid w:val="00AC3B2A"/>
    <w:rsid w:val="00AD1032"/>
    <w:rsid w:val="00AE090B"/>
    <w:rsid w:val="00AE19FA"/>
    <w:rsid w:val="00B25F3B"/>
    <w:rsid w:val="00B31EF6"/>
    <w:rsid w:val="00B45AF6"/>
    <w:rsid w:val="00B46F14"/>
    <w:rsid w:val="00B639E9"/>
    <w:rsid w:val="00B817CD"/>
    <w:rsid w:val="00B94AD0"/>
    <w:rsid w:val="00BA5265"/>
    <w:rsid w:val="00BB3A95"/>
    <w:rsid w:val="00BB6D50"/>
    <w:rsid w:val="00BD4698"/>
    <w:rsid w:val="00BF3F5B"/>
    <w:rsid w:val="00C0018F"/>
    <w:rsid w:val="00C16A5A"/>
    <w:rsid w:val="00C20466"/>
    <w:rsid w:val="00C214ED"/>
    <w:rsid w:val="00C234E6"/>
    <w:rsid w:val="00C26BA2"/>
    <w:rsid w:val="00C32089"/>
    <w:rsid w:val="00C324A8"/>
    <w:rsid w:val="00C54517"/>
    <w:rsid w:val="00C64CD8"/>
    <w:rsid w:val="00C96782"/>
    <w:rsid w:val="00C97C68"/>
    <w:rsid w:val="00CA1A47"/>
    <w:rsid w:val="00CB5142"/>
    <w:rsid w:val="00CB6158"/>
    <w:rsid w:val="00CC247A"/>
    <w:rsid w:val="00CE388F"/>
    <w:rsid w:val="00CE5E47"/>
    <w:rsid w:val="00CF020F"/>
    <w:rsid w:val="00CF1E9D"/>
    <w:rsid w:val="00CF2B5B"/>
    <w:rsid w:val="00D14CE0"/>
    <w:rsid w:val="00D505AF"/>
    <w:rsid w:val="00D54009"/>
    <w:rsid w:val="00D5651D"/>
    <w:rsid w:val="00D57A34"/>
    <w:rsid w:val="00D6112A"/>
    <w:rsid w:val="00D66BE1"/>
    <w:rsid w:val="00D74898"/>
    <w:rsid w:val="00D801ED"/>
    <w:rsid w:val="00D936BC"/>
    <w:rsid w:val="00D96530"/>
    <w:rsid w:val="00DA0BE2"/>
    <w:rsid w:val="00DB1EDA"/>
    <w:rsid w:val="00DC31AD"/>
    <w:rsid w:val="00DD2599"/>
    <w:rsid w:val="00DD44AF"/>
    <w:rsid w:val="00DE2AC3"/>
    <w:rsid w:val="00DE2FF5"/>
    <w:rsid w:val="00DE5692"/>
    <w:rsid w:val="00DE5CED"/>
    <w:rsid w:val="00DE6B56"/>
    <w:rsid w:val="00E03C94"/>
    <w:rsid w:val="00E07AF5"/>
    <w:rsid w:val="00E11197"/>
    <w:rsid w:val="00E14E2A"/>
    <w:rsid w:val="00E26226"/>
    <w:rsid w:val="00E45D05"/>
    <w:rsid w:val="00E55816"/>
    <w:rsid w:val="00E55AEF"/>
    <w:rsid w:val="00E84ED7"/>
    <w:rsid w:val="00E917FD"/>
    <w:rsid w:val="00E976C1"/>
    <w:rsid w:val="00E979F5"/>
    <w:rsid w:val="00EA12E5"/>
    <w:rsid w:val="00EB55C6"/>
    <w:rsid w:val="00EE5C1D"/>
    <w:rsid w:val="00EF2B09"/>
    <w:rsid w:val="00F02766"/>
    <w:rsid w:val="00F05BD4"/>
    <w:rsid w:val="00F455BF"/>
    <w:rsid w:val="00F473FB"/>
    <w:rsid w:val="00F51993"/>
    <w:rsid w:val="00F6155B"/>
    <w:rsid w:val="00F65C19"/>
    <w:rsid w:val="00F7356B"/>
    <w:rsid w:val="00F776DF"/>
    <w:rsid w:val="00F840C7"/>
    <w:rsid w:val="00F84D6A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character" w:customStyle="1" w:styleId="href">
    <w:name w:val="href"/>
    <w:basedOn w:val="DefaultParagraphFont"/>
    <w:rsid w:val="00A411B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f965fef-c9cc-4fda-b58f-5a128b0104fb" targetNamespace="http://schemas.microsoft.com/office/2006/metadata/properties" ma:root="true" ma:fieldsID="d41af5c836d734370eb92e7ee5f83852" ns2:_="" ns3:_="">
    <xsd:import namespace="996b2e75-67fd-4955-a3b0-5ab9934cb50b"/>
    <xsd:import namespace="9f965fef-c9cc-4fda-b58f-5a128b0104f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65fef-c9cc-4fda-b58f-5a128b0104f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f965fef-c9cc-4fda-b58f-5a128b0104fb">Documents Proposals Manager (DPM)</DPM_x0020_Author>
    <DPM_x0020_File_x0020_name xmlns="9f965fef-c9cc-4fda-b58f-5a128b0104fb">T13-WTSA.16-C-0043!A28!MSW-F</DPM_x0020_File_x0020_name>
    <DPM_x0020_Version xmlns="9f965fef-c9cc-4fda-b58f-5a128b0104fb">DPM_v2016.10.7.1_prod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f965fef-c9cc-4fda-b58f-5a128b010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9f965fef-c9cc-4fda-b58f-5a128b0104fb"/>
    <ds:schemaRef ds:uri="996b2e75-67fd-4955-a3b0-5ab9934cb50b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9C54DF-CFF5-4514-AFB9-41C2F396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T13-WTSA.16-C-0043!A28!MSW-F</vt:lpstr>
    </vt:vector>
  </TitlesOfParts>
  <Manager>General Secretariat - Pool</Manager>
  <Company>International Telecommunication Union (ITU)</Company>
  <LinksUpToDate>false</LinksUpToDate>
  <CharactersWithSpaces>9772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T13-WTSA.16-C-0043!A28!MSW-F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Gozel, Elsa</cp:lastModifiedBy>
  <cp:revision>6</cp:revision>
  <cp:lastPrinted>2016-10-12T15:43:00Z</cp:lastPrinted>
  <dcterms:created xsi:type="dcterms:W3CDTF">2016-10-13T08:48:00Z</dcterms:created>
  <dcterms:modified xsi:type="dcterms:W3CDTF">2016-10-13T09:06:00Z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