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62AA9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62AA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C62AA9" w:rsidRDefault="0022345D" w:rsidP="00C62AA9">
            <w:pPr>
              <w:pStyle w:val="Adress"/>
              <w:framePr w:hSpace="0" w:wrap="auto" w:xAlign="left" w:yAlign="inline"/>
              <w:rPr>
                <w:rtl/>
              </w:rPr>
            </w:pPr>
            <w:r w:rsidRPr="00C62AA9">
              <w:rPr>
                <w:rtl/>
              </w:rPr>
              <w:t xml:space="preserve">الإضافة </w:t>
            </w:r>
            <w:r w:rsidRPr="00C62AA9">
              <w:t>28</w:t>
            </w:r>
            <w:r w:rsidRPr="00C62AA9">
              <w:br/>
            </w:r>
            <w:r w:rsidRPr="00C62AA9">
              <w:rPr>
                <w:rtl/>
              </w:rPr>
              <w:t xml:space="preserve">للوثيقة </w:t>
            </w:r>
            <w:r w:rsidRPr="00C62AA9">
              <w:t>43-</w:t>
            </w:r>
            <w:r w:rsidR="00C62AA9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62AA9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C62AA9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C62AA9">
              <w:rPr>
                <w:rFonts w:eastAsia="SimSun"/>
              </w:rPr>
              <w:t>9</w:t>
            </w:r>
            <w:r w:rsidRPr="00C62AA9">
              <w:rPr>
                <w:rFonts w:eastAsia="SimSun"/>
                <w:rtl/>
              </w:rPr>
              <w:t xml:space="preserve"> أكتوبر </w:t>
            </w:r>
            <w:r w:rsidRPr="00C62AA9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62AA9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C62AA9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62AA9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386F52" w:rsidP="00A41128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مشروع القرار الجديد</w:t>
            </w:r>
            <w:r w:rsidR="00A41128">
              <w:rPr>
                <w:rFonts w:hint="eastAsia"/>
                <w:rtl/>
              </w:rPr>
              <w:t> </w:t>
            </w:r>
            <w:r>
              <w:t>[ARB-6]</w:t>
            </w:r>
            <w:r>
              <w:rPr>
                <w:rFonts w:hint="cs"/>
                <w:rtl/>
              </w:rPr>
              <w:t xml:space="preserve"> </w:t>
            </w:r>
            <w:r w:rsidR="00BF2CD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F2CDD">
              <w:rPr>
                <w:rFonts w:hint="cs"/>
                <w:rtl/>
              </w:rPr>
              <w:t>تعزيز دور قطاع تقييس الاتصالات بالاتحاد</w:t>
            </w:r>
            <w:r w:rsidR="00A41128">
              <w:rPr>
                <w:rFonts w:hint="eastAsia"/>
                <w:rtl/>
              </w:rPr>
              <w:t> </w:t>
            </w:r>
            <w:r w:rsidR="00BF2CDD">
              <w:rPr>
                <w:rFonts w:hint="cs"/>
                <w:rtl/>
              </w:rPr>
              <w:t xml:space="preserve">الدولي للاتصالات في ضمان </w:t>
            </w:r>
            <w:r w:rsidR="002F30CD">
              <w:rPr>
                <w:rFonts w:hint="cs"/>
                <w:rtl/>
              </w:rPr>
              <w:t>خصوصية</w:t>
            </w:r>
            <w:r w:rsidR="00BF2CDD">
              <w:rPr>
                <w:rFonts w:hint="cs"/>
                <w:rtl/>
              </w:rPr>
              <w:t xml:space="preserve"> البيانات والثقة في</w:t>
            </w:r>
            <w:r w:rsidR="00A41128">
              <w:rPr>
                <w:rFonts w:hint="eastAsia"/>
                <w:rtl/>
              </w:rPr>
              <w:t> </w:t>
            </w:r>
            <w:r w:rsidR="00BF2CDD">
              <w:rPr>
                <w:rFonts w:hint="cs"/>
                <w:rtl/>
              </w:rPr>
              <w:t>البنى</w:t>
            </w:r>
            <w:r w:rsidR="00A41128">
              <w:rPr>
                <w:rFonts w:hint="eastAsia"/>
                <w:rtl/>
              </w:rPr>
              <w:t> </w:t>
            </w:r>
            <w:r w:rsidR="00BF2CDD">
              <w:rPr>
                <w:rFonts w:hint="cs"/>
                <w:rtl/>
              </w:rPr>
              <w:t>التحتية لتكنولوجيا المعلومات والاتصالات وخدماتها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BC6FF1">
        <w:trPr>
          <w:cantSplit/>
          <w:jc w:val="right"/>
        </w:trPr>
        <w:sdt>
          <w:sdtPr>
            <w:rPr>
              <w:spacing w:val="-2"/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BC6FF1" w:rsidRDefault="00475B58" w:rsidP="00BC6FF1">
                <w:pPr>
                  <w:rPr>
                    <w:spacing w:val="-2"/>
                  </w:rPr>
                </w:pPr>
                <w:r w:rsidRPr="00BC6FF1">
                  <w:rPr>
                    <w:rFonts w:hint="cs"/>
                    <w:spacing w:val="-2"/>
                    <w:rtl/>
                  </w:rPr>
                  <w:t>تحتوي هذه المساهمة على مقترح عربي مشترك إلى الجمعية العالمية لتقييس الاتصالات</w:t>
                </w:r>
                <w:r w:rsidR="00BC6FF1">
                  <w:rPr>
                    <w:rFonts w:hint="eastAsia"/>
                    <w:spacing w:val="-2"/>
                    <w:rtl/>
                  </w:rPr>
                  <w:t> </w:t>
                </w:r>
                <w:r w:rsidRPr="00BC6FF1">
                  <w:rPr>
                    <w:spacing w:val="-2"/>
                    <w:lang w:bidi="ar-EG"/>
                  </w:rPr>
                  <w:t>(WTSA-16)</w:t>
                </w:r>
                <w:r w:rsidR="004E69DA" w:rsidRPr="00BC6FF1">
                  <w:rPr>
                    <w:rFonts w:hint="cs"/>
                    <w:spacing w:val="-2"/>
                    <w:rtl/>
                  </w:rPr>
                  <w:t>، يتعلق</w:t>
                </w:r>
                <w:r w:rsidR="00BC6FF1" w:rsidRPr="00BC6FF1">
                  <w:rPr>
                    <w:rFonts w:hint="eastAsia"/>
                    <w:spacing w:val="-2"/>
                    <w:rtl/>
                  </w:rPr>
                  <w:t> </w:t>
                </w:r>
                <w:r w:rsidR="004E69DA" w:rsidRPr="00BC6FF1">
                  <w:rPr>
                    <w:rFonts w:hint="cs"/>
                    <w:spacing w:val="-2"/>
                    <w:rtl/>
                  </w:rPr>
                  <w:t>بمشروع قرار جديد بشأن تعزيز دور قطاع تقييس الاتصالات بالاتحاد الدولي للاتصالات في</w:t>
                </w:r>
                <w:r w:rsidR="00BC6FF1" w:rsidRPr="00BC6FF1">
                  <w:rPr>
                    <w:rFonts w:hint="eastAsia"/>
                    <w:spacing w:val="-2"/>
                    <w:rtl/>
                  </w:rPr>
                  <w:t> </w:t>
                </w:r>
                <w:r w:rsidR="004E69DA" w:rsidRPr="00BC6FF1">
                  <w:rPr>
                    <w:rFonts w:hint="cs"/>
                    <w:spacing w:val="-2"/>
                    <w:rtl/>
                  </w:rPr>
                  <w:t xml:space="preserve">ضمان </w:t>
                </w:r>
                <w:r w:rsidR="002F30CD" w:rsidRPr="00BC6FF1">
                  <w:rPr>
                    <w:rFonts w:hint="cs"/>
                    <w:spacing w:val="-2"/>
                    <w:rtl/>
                  </w:rPr>
                  <w:t>خصوصية</w:t>
                </w:r>
                <w:r w:rsidR="004E69DA" w:rsidRPr="00BC6FF1">
                  <w:rPr>
                    <w:rFonts w:hint="cs"/>
                    <w:spacing w:val="-2"/>
                    <w:rtl/>
                  </w:rPr>
                  <w:t xml:space="preserve"> البيانات والثقة في البنى التحتية لتكنولوجيا المعلومات والاتصالات وخدماتها.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BC6FF1">
              <w:rPr>
                <w:b/>
                <w:bCs/>
              </w:rPr>
              <w:t>:</w:t>
            </w:r>
          </w:p>
        </w:tc>
      </w:tr>
    </w:tbl>
    <w:p w:rsidR="00C82615" w:rsidRDefault="00C82615" w:rsidP="00386F52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946525" w:rsidRDefault="00FD22C9" w:rsidP="00FD22C9">
      <w:pPr>
        <w:pStyle w:val="Proposal"/>
        <w:rPr>
          <w:rFonts w:hint="cs"/>
          <w:rtl/>
        </w:rPr>
      </w:pPr>
      <w:r w:rsidRPr="00FD22C9">
        <w:lastRenderedPageBreak/>
        <w:t>ADD</w:t>
      </w:r>
      <w:r w:rsidRPr="00FD22C9">
        <w:tab/>
        <w:t>ARB/43A28/1</w:t>
      </w:r>
    </w:p>
    <w:p w:rsidR="00386F52" w:rsidRPr="00BC6FF1" w:rsidRDefault="00386F52" w:rsidP="00BC6FF1">
      <w:pPr>
        <w:pStyle w:val="ResNo"/>
        <w:rPr>
          <w:rtl/>
        </w:rPr>
      </w:pPr>
      <w:r w:rsidRPr="00BC6FF1">
        <w:rPr>
          <w:rFonts w:hint="cs"/>
          <w:rtl/>
        </w:rPr>
        <w:t xml:space="preserve">مشروع </w:t>
      </w:r>
      <w:r w:rsidR="00883233" w:rsidRPr="00BC6FF1">
        <w:rPr>
          <w:rFonts w:hint="cs"/>
          <w:rtl/>
        </w:rPr>
        <w:t>ال</w:t>
      </w:r>
      <w:r w:rsidRPr="00BC6FF1">
        <w:rPr>
          <w:rFonts w:hint="cs"/>
          <w:rtl/>
        </w:rPr>
        <w:t xml:space="preserve">قرار </w:t>
      </w:r>
      <w:r w:rsidR="00883233" w:rsidRPr="00BC6FF1">
        <w:rPr>
          <w:rFonts w:hint="cs"/>
          <w:rtl/>
        </w:rPr>
        <w:t>ال</w:t>
      </w:r>
      <w:r w:rsidRPr="00BC6FF1">
        <w:rPr>
          <w:rFonts w:hint="cs"/>
          <w:rtl/>
        </w:rPr>
        <w:t xml:space="preserve">جديد </w:t>
      </w:r>
      <w:r w:rsidRPr="00BC6FF1">
        <w:t>[ARB-6]</w:t>
      </w:r>
    </w:p>
    <w:p w:rsidR="00386F52" w:rsidRPr="00BC6FF1" w:rsidRDefault="00CD55B0" w:rsidP="00BC6FF1">
      <w:pPr>
        <w:pStyle w:val="Restitle"/>
        <w:rPr>
          <w:rtl/>
        </w:rPr>
      </w:pPr>
      <w:r w:rsidRPr="00BC6FF1">
        <w:rPr>
          <w:rFonts w:hint="cs"/>
          <w:rtl/>
        </w:rPr>
        <w:t xml:space="preserve">تعزيز دور قطاع تقييس الاتصالات بالاتحاد الدولي للاتصالات في ضمان </w:t>
      </w:r>
      <w:r w:rsidR="002F30CD" w:rsidRPr="00BC6FF1">
        <w:rPr>
          <w:rFonts w:hint="cs"/>
          <w:rtl/>
        </w:rPr>
        <w:t>خصوصية</w:t>
      </w:r>
      <w:r w:rsidRPr="00BC6FF1">
        <w:rPr>
          <w:rFonts w:hint="cs"/>
          <w:rtl/>
        </w:rPr>
        <w:t xml:space="preserve"> البيانات والثقة في البنى التحتية لتكنولوجيا المعلومات والاتصالات وخدماتها</w:t>
      </w:r>
    </w:p>
    <w:p w:rsidR="00386F52" w:rsidRPr="00AE1745" w:rsidRDefault="00386F52" w:rsidP="00AE1745">
      <w:pPr>
        <w:pStyle w:val="Resref"/>
        <w:rPr>
          <w:rtl/>
        </w:rPr>
      </w:pPr>
      <w:r w:rsidRPr="00AE1745">
        <w:rPr>
          <w:rFonts w:hint="cs"/>
          <w:rtl/>
        </w:rPr>
        <w:t xml:space="preserve">(الحمامات، </w:t>
      </w:r>
      <w:r w:rsidRPr="00AE1745">
        <w:t>2016</w:t>
      </w:r>
      <w:r w:rsidRPr="00AE1745">
        <w:rPr>
          <w:rFonts w:hint="cs"/>
          <w:rtl/>
        </w:rPr>
        <w:t>)</w:t>
      </w:r>
    </w:p>
    <w:p w:rsidR="00386F52" w:rsidRPr="00BC6FF1" w:rsidRDefault="00386F52" w:rsidP="00BC6FF1">
      <w:pPr>
        <w:pStyle w:val="Normalaftertitle"/>
        <w:rPr>
          <w:rtl/>
        </w:rPr>
      </w:pPr>
      <w:r w:rsidRPr="00BC6FF1">
        <w:rPr>
          <w:rFonts w:hint="cs"/>
          <w:rtl/>
        </w:rPr>
        <w:t xml:space="preserve">إن الجمعية العالمية لتقييس الاتصالات (الحمامات، </w:t>
      </w:r>
      <w:r w:rsidRPr="00BC6FF1">
        <w:t>2016</w:t>
      </w:r>
      <w:r w:rsidRPr="00BC6FF1">
        <w:rPr>
          <w:rFonts w:hint="cs"/>
          <w:rtl/>
        </w:rPr>
        <w:t>)،</w:t>
      </w:r>
    </w:p>
    <w:p w:rsidR="00386F52" w:rsidRPr="00BC6FF1" w:rsidRDefault="00883233" w:rsidP="00BC6FF1">
      <w:pPr>
        <w:pStyle w:val="Call"/>
        <w:rPr>
          <w:rtl/>
        </w:rPr>
      </w:pPr>
      <w:r w:rsidRPr="00BC6FF1">
        <w:rPr>
          <w:rFonts w:hint="cs"/>
          <w:rtl/>
        </w:rPr>
        <w:t>إذ ت</w:t>
      </w:r>
      <w:r w:rsidR="00386F52" w:rsidRPr="00BC6FF1">
        <w:rPr>
          <w:rFonts w:hint="cs"/>
          <w:rtl/>
        </w:rPr>
        <w:t>ذكّر</w:t>
      </w:r>
    </w:p>
    <w:p w:rsidR="00386F52" w:rsidRDefault="00386F52" w:rsidP="00A41128">
      <w:pPr>
        <w:rPr>
          <w:rtl/>
          <w:lang w:bidi="ar-EG"/>
        </w:rPr>
      </w:pPr>
      <w:r w:rsidRPr="00C5491C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E84664">
        <w:rPr>
          <w:rFonts w:hint="cs"/>
          <w:rtl/>
          <w:lang w:bidi="ar-EG"/>
        </w:rPr>
        <w:t>بالقرار</w:t>
      </w:r>
      <w:r w:rsidR="00A41128">
        <w:rPr>
          <w:rFonts w:hint="eastAsia"/>
          <w:rtl/>
          <w:lang w:bidi="ar-EG"/>
        </w:rPr>
        <w:t> </w:t>
      </w:r>
      <w:r w:rsidRPr="00E84664">
        <w:rPr>
          <w:lang w:bidi="ar-EG"/>
        </w:rPr>
        <w:t>68/167</w:t>
      </w:r>
      <w:r w:rsidRPr="00E84664">
        <w:rPr>
          <w:rFonts w:hint="cs"/>
          <w:rtl/>
          <w:lang w:bidi="ar-EG"/>
        </w:rPr>
        <w:t xml:space="preserve"> للجمعية</w:t>
      </w:r>
      <w:r w:rsidRPr="00E84664">
        <w:rPr>
          <w:rtl/>
          <w:lang w:bidi="ar-EG"/>
        </w:rPr>
        <w:t xml:space="preserve"> </w:t>
      </w:r>
      <w:r w:rsidRPr="00E84664">
        <w:rPr>
          <w:rFonts w:hint="cs"/>
          <w:rtl/>
          <w:lang w:bidi="ar-EG"/>
        </w:rPr>
        <w:t>العامة للأمم المتحدة، بشأن الحق</w:t>
      </w:r>
      <w:r w:rsidRPr="00E84664">
        <w:rPr>
          <w:rtl/>
          <w:lang w:bidi="ar-EG"/>
        </w:rPr>
        <w:t xml:space="preserve"> في </w:t>
      </w:r>
      <w:r w:rsidRPr="00E84664">
        <w:rPr>
          <w:rFonts w:hint="cs"/>
          <w:rtl/>
          <w:lang w:bidi="ar-EG"/>
        </w:rPr>
        <w:t>الخصوصية</w:t>
      </w:r>
      <w:r w:rsidRPr="00E84664">
        <w:rPr>
          <w:rtl/>
          <w:lang w:bidi="ar-EG"/>
        </w:rPr>
        <w:t xml:space="preserve"> في </w:t>
      </w:r>
      <w:r w:rsidRPr="00E84664">
        <w:rPr>
          <w:rFonts w:hint="cs"/>
          <w:rtl/>
          <w:lang w:bidi="ar-EG"/>
        </w:rPr>
        <w:t>العصر</w:t>
      </w:r>
      <w:r w:rsidRPr="00E84664">
        <w:rPr>
          <w:rtl/>
          <w:lang w:bidi="ar-EG"/>
        </w:rPr>
        <w:t xml:space="preserve"> </w:t>
      </w:r>
      <w:r w:rsidRPr="00E84664">
        <w:rPr>
          <w:rFonts w:hint="cs"/>
          <w:rtl/>
          <w:lang w:bidi="ar-EG"/>
        </w:rPr>
        <w:t>الرقمي؛</w:t>
      </w:r>
    </w:p>
    <w:p w:rsidR="00386F52" w:rsidRDefault="00386F52" w:rsidP="00A41128">
      <w:pPr>
        <w:rPr>
          <w:rtl/>
          <w:lang w:bidi="ar-EG"/>
        </w:rPr>
      </w:pPr>
      <w:r w:rsidRPr="00C5491C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بالقرار</w:t>
      </w:r>
      <w:r w:rsidR="00A41128">
        <w:rPr>
          <w:rFonts w:hint="eastAsia"/>
          <w:rtl/>
          <w:lang w:bidi="ar-EG"/>
        </w:rPr>
        <w:t> </w:t>
      </w:r>
      <w:r>
        <w:rPr>
          <w:lang w:bidi="ar-EG"/>
        </w:rPr>
        <w:t>130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المفوضين، بشأن </w:t>
      </w:r>
      <w:bookmarkStart w:id="0" w:name="_Toc280260285"/>
      <w:bookmarkStart w:id="1" w:name="_Toc408328059"/>
      <w:bookmarkStart w:id="2" w:name="_Toc414526753"/>
      <w:bookmarkStart w:id="3" w:name="_Toc415560173"/>
      <w:r w:rsidRPr="00E84664">
        <w:rPr>
          <w:rFonts w:hint="eastAsia"/>
          <w:rtl/>
          <w:lang w:bidi="ar-EG"/>
        </w:rPr>
        <w:t>تعزيز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دور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الاتحاد</w:t>
      </w:r>
      <w:r w:rsidRPr="00E84664">
        <w:rPr>
          <w:rtl/>
          <w:lang w:bidi="ar-EG"/>
        </w:rPr>
        <w:t xml:space="preserve"> في </w:t>
      </w:r>
      <w:r w:rsidRPr="00E84664">
        <w:rPr>
          <w:rFonts w:hint="eastAsia"/>
          <w:rtl/>
          <w:lang w:bidi="ar-EG"/>
        </w:rPr>
        <w:t>مجال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بناء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الثقة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والأمن</w:t>
      </w:r>
      <w:r>
        <w:rPr>
          <w:rFonts w:hint="cs"/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في</w:t>
      </w:r>
      <w:r w:rsidR="00A41128">
        <w:rPr>
          <w:rFonts w:hint="cs"/>
          <w:rtl/>
          <w:lang w:bidi="ar-EG"/>
        </w:rPr>
        <w:t> </w:t>
      </w:r>
      <w:r w:rsidRPr="00E84664">
        <w:rPr>
          <w:rFonts w:hint="eastAsia"/>
          <w:rtl/>
          <w:lang w:bidi="ar-EG"/>
        </w:rPr>
        <w:t>استخدام</w:t>
      </w:r>
      <w:r w:rsidRPr="00E84664">
        <w:rPr>
          <w:rFonts w:hint="cs"/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تكنولوجيا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المعلومات</w:t>
      </w:r>
      <w:r w:rsidRPr="00E84664">
        <w:rPr>
          <w:rtl/>
          <w:lang w:bidi="ar-EG"/>
        </w:rPr>
        <w:t xml:space="preserve"> </w:t>
      </w:r>
      <w:r w:rsidRPr="00E84664">
        <w:rPr>
          <w:rFonts w:hint="eastAsia"/>
          <w:rtl/>
          <w:lang w:bidi="ar-EG"/>
        </w:rPr>
        <w:t>والاتصالات</w:t>
      </w:r>
      <w:bookmarkEnd w:id="0"/>
      <w:bookmarkEnd w:id="1"/>
      <w:bookmarkEnd w:id="2"/>
      <w:bookmarkEnd w:id="3"/>
      <w:r>
        <w:rPr>
          <w:rFonts w:hint="cs"/>
          <w:rtl/>
          <w:lang w:bidi="ar-EG"/>
        </w:rPr>
        <w:t>؛</w:t>
      </w:r>
    </w:p>
    <w:p w:rsidR="00386F52" w:rsidRDefault="00386F52" w:rsidP="00BC6FF1">
      <w:pPr>
        <w:rPr>
          <w:rtl/>
          <w:lang w:bidi="ar-EG"/>
        </w:rPr>
      </w:pPr>
      <w:r w:rsidRPr="00C5491C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بالقرار </w:t>
      </w:r>
      <w:r>
        <w:rPr>
          <w:lang w:bidi="ar-EG"/>
        </w:rPr>
        <w:t>174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المفوضين، بشأن </w:t>
      </w:r>
      <w:bookmarkStart w:id="4" w:name="_Toc280260345"/>
      <w:bookmarkStart w:id="5" w:name="_Toc408328103"/>
      <w:bookmarkStart w:id="6" w:name="_Toc414526817"/>
      <w:bookmarkStart w:id="7" w:name="_Toc415560237"/>
      <w:r w:rsidRPr="00E84664">
        <w:rPr>
          <w:rtl/>
          <w:lang w:bidi="ar-EG"/>
        </w:rPr>
        <w:t>دور الاتحاد الدولي للاتصالات في قضايا السياسة العامة الدولية</w:t>
      </w:r>
      <w:r>
        <w:rPr>
          <w:rFonts w:hint="cs"/>
          <w:rtl/>
          <w:lang w:bidi="ar-EG"/>
        </w:rPr>
        <w:t xml:space="preserve"> </w:t>
      </w:r>
      <w:r w:rsidRPr="00E84664">
        <w:rPr>
          <w:rtl/>
          <w:lang w:bidi="ar-EG"/>
        </w:rPr>
        <w:t>المتعلقة</w:t>
      </w:r>
      <w:r w:rsidRPr="00E84664">
        <w:rPr>
          <w:rFonts w:hint="cs"/>
          <w:rtl/>
          <w:lang w:bidi="ar-EG"/>
        </w:rPr>
        <w:t xml:space="preserve"> </w:t>
      </w:r>
      <w:r w:rsidRPr="00E84664">
        <w:rPr>
          <w:rtl/>
          <w:lang w:bidi="ar-EG"/>
        </w:rPr>
        <w:t>بمخاطر الاستعمال غير القانوني لتكنولوجيا المعلومات والاتصالات</w:t>
      </w:r>
      <w:bookmarkEnd w:id="4"/>
      <w:bookmarkEnd w:id="5"/>
      <w:bookmarkEnd w:id="6"/>
      <w:bookmarkEnd w:id="7"/>
      <w:r>
        <w:rPr>
          <w:rFonts w:hint="cs"/>
          <w:rtl/>
          <w:lang w:bidi="ar-EG"/>
        </w:rPr>
        <w:t>؛</w:t>
      </w:r>
    </w:p>
    <w:p w:rsidR="00386F52" w:rsidRDefault="00386F52" w:rsidP="00BC6FF1">
      <w:pPr>
        <w:rPr>
          <w:rtl/>
        </w:rPr>
      </w:pPr>
      <w:r w:rsidRPr="00C5491C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CD55B0">
        <w:rPr>
          <w:rFonts w:hint="cs"/>
          <w:rtl/>
          <w:lang w:bidi="ar-EG"/>
        </w:rPr>
        <w:t>بالأعمال ذات الصلة للمؤتمر</w:t>
      </w:r>
      <w:r w:rsidR="00BC6FF1">
        <w:rPr>
          <w:rFonts w:hint="cs"/>
          <w:rtl/>
          <w:lang w:bidi="ar-EG"/>
        </w:rPr>
        <w:t xml:space="preserve"> الأكاديمي </w:t>
      </w:r>
      <w:r w:rsidRPr="00E84664">
        <w:rPr>
          <w:rFonts w:hint="cs"/>
          <w:rtl/>
          <w:lang w:bidi="ar-EG"/>
        </w:rPr>
        <w:t>كاليدوسكوب الاتحاد لعام</w:t>
      </w:r>
      <w:r w:rsidRPr="00E84664">
        <w:rPr>
          <w:rFonts w:hint="eastAsia"/>
          <w:rtl/>
          <w:lang w:bidi="ar-EG"/>
        </w:rPr>
        <w:t> </w:t>
      </w:r>
      <w:r w:rsidRPr="00E84664">
        <w:rPr>
          <w:lang w:bidi="ar-EG"/>
        </w:rPr>
        <w:t>2015</w:t>
      </w:r>
      <w:r w:rsidRPr="00E84664">
        <w:rPr>
          <w:rFonts w:hint="cs"/>
          <w:rtl/>
        </w:rPr>
        <w:t xml:space="preserve"> </w:t>
      </w:r>
      <w:r w:rsidR="00022838">
        <w:rPr>
          <w:rFonts w:hint="cs"/>
          <w:rtl/>
        </w:rPr>
        <w:t>بشأن</w:t>
      </w:r>
      <w:r w:rsidRPr="00E84664">
        <w:rPr>
          <w:rFonts w:hint="cs"/>
          <w:rtl/>
        </w:rPr>
        <w:t xml:space="preserve"> "الثقة </w:t>
      </w:r>
      <w:r w:rsidR="00022838">
        <w:rPr>
          <w:rFonts w:hint="cs"/>
          <w:rtl/>
        </w:rPr>
        <w:t xml:space="preserve">في </w:t>
      </w:r>
      <w:r w:rsidRPr="00E84664">
        <w:rPr>
          <w:rFonts w:hint="cs"/>
          <w:rtl/>
        </w:rPr>
        <w:t>مجتمع المعلومات"</w:t>
      </w:r>
      <w:r>
        <w:rPr>
          <w:rFonts w:hint="cs"/>
          <w:rtl/>
        </w:rPr>
        <w:t>،</w:t>
      </w:r>
    </w:p>
    <w:p w:rsidR="00386F52" w:rsidRPr="00BC6FF1" w:rsidRDefault="00BC6FF1" w:rsidP="00BC6FF1">
      <w:pPr>
        <w:pStyle w:val="Call"/>
        <w:rPr>
          <w:rtl/>
        </w:rPr>
      </w:pPr>
      <w:r>
        <w:rPr>
          <w:rFonts w:hint="cs"/>
          <w:rtl/>
        </w:rPr>
        <w:t>وإذ تأخذ بعين الاعتبار</w:t>
      </w:r>
    </w:p>
    <w:p w:rsidR="00386F52" w:rsidRDefault="00CC4AF5" w:rsidP="00E56425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 xml:space="preserve"> </w:t>
      </w:r>
      <w:r w:rsidR="00386F52" w:rsidRPr="00CC4AF5">
        <w:rPr>
          <w:rFonts w:hint="cs"/>
          <w:i/>
          <w:iCs/>
          <w:rtl/>
          <w:lang w:bidi="ar-EG"/>
        </w:rPr>
        <w:t>أ )</w:t>
      </w:r>
      <w:r w:rsidR="00386F52">
        <w:rPr>
          <w:rFonts w:hint="cs"/>
          <w:rtl/>
          <w:lang w:bidi="ar-EG"/>
        </w:rPr>
        <w:tab/>
      </w:r>
      <w:r w:rsidR="005217C4">
        <w:rPr>
          <w:rFonts w:hint="cs"/>
          <w:rtl/>
          <w:lang w:bidi="ar-EG"/>
        </w:rPr>
        <w:t xml:space="preserve">أن الثقة عنصر أساسي لبناء تكنولوجيا المعلومات والاتصالات خاصة وأن جميع أشكال الأنشطة الاجتماعية والاقتصادية تعتمد على تكنولوجيا المعلومات والاتصالات وأن الشبكات المستقبلية </w:t>
      </w:r>
      <w:r w:rsidR="008B2E34">
        <w:rPr>
          <w:rFonts w:hint="cs"/>
          <w:rtl/>
          <w:lang w:bidi="ar-EG"/>
        </w:rPr>
        <w:t>ستحتاج إلى</w:t>
      </w:r>
      <w:r w:rsidR="005217C4">
        <w:rPr>
          <w:rFonts w:hint="cs"/>
          <w:rtl/>
          <w:lang w:bidi="ar-EG"/>
        </w:rPr>
        <w:t xml:space="preserve"> </w:t>
      </w:r>
      <w:r w:rsidR="008B2E34">
        <w:rPr>
          <w:rFonts w:hint="cs"/>
          <w:rtl/>
          <w:lang w:bidi="ar-EG"/>
        </w:rPr>
        <w:t>دعم</w:t>
      </w:r>
      <w:r w:rsidR="005217C4">
        <w:rPr>
          <w:rFonts w:hint="cs"/>
          <w:rtl/>
          <w:lang w:bidi="ar-EG"/>
        </w:rPr>
        <w:t xml:space="preserve"> حجم </w:t>
      </w:r>
      <w:r w:rsidR="008B2E34">
        <w:rPr>
          <w:rFonts w:hint="cs"/>
          <w:rtl/>
          <w:lang w:bidi="ar-EG"/>
        </w:rPr>
        <w:t>هائل</w:t>
      </w:r>
      <w:r w:rsidR="005217C4">
        <w:rPr>
          <w:rFonts w:hint="cs"/>
          <w:rtl/>
          <w:lang w:bidi="ar-EG"/>
        </w:rPr>
        <w:t xml:space="preserve"> من</w:t>
      </w:r>
      <w:r w:rsidR="00E56425">
        <w:rPr>
          <w:rFonts w:hint="eastAsia"/>
          <w:rtl/>
          <w:lang w:bidi="ar-EG"/>
        </w:rPr>
        <w:t> </w:t>
      </w:r>
      <w:r w:rsidR="005217C4">
        <w:rPr>
          <w:rFonts w:hint="cs"/>
          <w:rtl/>
          <w:lang w:bidi="ar-EG"/>
        </w:rPr>
        <w:t xml:space="preserve">تطبيقات تكنولوجيا المعلومات والاتصالات وبياناتها وخدماتها بسبب </w:t>
      </w:r>
      <w:r w:rsidR="00BC6FF1">
        <w:rPr>
          <w:rFonts w:hint="cs"/>
          <w:rtl/>
          <w:lang w:bidi="ar-EG"/>
        </w:rPr>
        <w:t>تكاثر</w:t>
      </w:r>
      <w:r w:rsidR="005217C4">
        <w:rPr>
          <w:rFonts w:hint="cs"/>
          <w:rtl/>
          <w:lang w:bidi="ar-EG"/>
        </w:rPr>
        <w:t xml:space="preserve"> الأجهزة </w:t>
      </w:r>
      <w:r w:rsidR="00683DF6">
        <w:rPr>
          <w:rFonts w:hint="cs"/>
          <w:rtl/>
          <w:lang w:bidi="ar-EG"/>
        </w:rPr>
        <w:t>والأشياء والأغراض الموصولة</w:t>
      </w:r>
      <w:r w:rsidR="001D703D">
        <w:rPr>
          <w:rFonts w:hint="cs"/>
          <w:rtl/>
          <w:lang w:bidi="ar-EG"/>
        </w:rPr>
        <w:t xml:space="preserve"> شبكياً؛</w:t>
      </w:r>
    </w:p>
    <w:p w:rsidR="00386F52" w:rsidRDefault="00386F52" w:rsidP="00BC6FF1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0C77F2">
        <w:rPr>
          <w:rFonts w:hint="cs"/>
          <w:rtl/>
          <w:lang w:bidi="ar-EG"/>
        </w:rPr>
        <w:t>أن</w:t>
      </w:r>
      <w:r w:rsidR="008A64B8">
        <w:rPr>
          <w:rFonts w:hint="cs"/>
          <w:rtl/>
          <w:lang w:bidi="ar-EG"/>
        </w:rPr>
        <w:t>ه يجب أن يكون</w:t>
      </w:r>
      <w:r w:rsidR="000C77F2">
        <w:rPr>
          <w:rFonts w:hint="cs"/>
          <w:rtl/>
          <w:lang w:bidi="ar-EG"/>
        </w:rPr>
        <w:t xml:space="preserve"> </w:t>
      </w:r>
      <w:r w:rsidR="008A64B8">
        <w:rPr>
          <w:rFonts w:hint="cs"/>
          <w:rtl/>
          <w:lang w:bidi="ar-EG"/>
        </w:rPr>
        <w:t>لدى ا</w:t>
      </w:r>
      <w:r w:rsidR="000C77F2">
        <w:rPr>
          <w:rFonts w:hint="cs"/>
          <w:rtl/>
          <w:lang w:bidi="ar-EG"/>
        </w:rPr>
        <w:t xml:space="preserve">لمستهلكين ثقة كافية </w:t>
      </w:r>
      <w:r w:rsidR="008A64B8">
        <w:rPr>
          <w:rFonts w:hint="cs"/>
          <w:rtl/>
          <w:lang w:bidi="ar-EG"/>
        </w:rPr>
        <w:t>ب</w:t>
      </w:r>
      <w:r w:rsidR="000C77F2">
        <w:rPr>
          <w:rFonts w:hint="cs"/>
          <w:rtl/>
          <w:lang w:bidi="ar-EG"/>
        </w:rPr>
        <w:t xml:space="preserve">التكنولوجيا </w:t>
      </w:r>
      <w:r w:rsidR="008A64B8">
        <w:rPr>
          <w:rFonts w:hint="cs"/>
          <w:rtl/>
          <w:lang w:bidi="ar-EG"/>
        </w:rPr>
        <w:t>بحيث</w:t>
      </w:r>
      <w:r w:rsidR="000C77F2">
        <w:rPr>
          <w:rFonts w:hint="cs"/>
          <w:rtl/>
          <w:lang w:bidi="ar-EG"/>
        </w:rPr>
        <w:t xml:space="preserve"> تتمكن إنترنت الأشياء من تحقيق كامل إمكاناتها؛</w:t>
      </w:r>
    </w:p>
    <w:p w:rsidR="00386F52" w:rsidRDefault="00386F52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510961">
        <w:rPr>
          <w:rFonts w:hint="cs"/>
          <w:rtl/>
          <w:lang w:bidi="ar-EG"/>
        </w:rPr>
        <w:t xml:space="preserve">أن </w:t>
      </w:r>
      <w:r w:rsidR="00BC6FF1">
        <w:rPr>
          <w:rFonts w:hint="cs"/>
          <w:rtl/>
          <w:lang w:bidi="ar-EG"/>
        </w:rPr>
        <w:t>تكاثر</w:t>
      </w:r>
      <w:r w:rsidR="00510961">
        <w:rPr>
          <w:rFonts w:hint="cs"/>
          <w:rtl/>
          <w:lang w:bidi="ar-EG"/>
        </w:rPr>
        <w:t xml:space="preserve"> الأجهزة اللاسلكية في كل مكان من المتوقع أن يؤدي إلى تفاقم مسألة الخصوصية نظراً إ</w:t>
      </w:r>
      <w:r w:rsidR="00AE1745">
        <w:rPr>
          <w:rFonts w:hint="cs"/>
          <w:rtl/>
          <w:lang w:bidi="ar-EG"/>
        </w:rPr>
        <w:t xml:space="preserve">لى التصميم الحالي لبروتوكولات </w:t>
      </w:r>
      <w:r w:rsidR="00510961">
        <w:rPr>
          <w:rFonts w:hint="cs"/>
          <w:rtl/>
          <w:lang w:bidi="ar-EG"/>
        </w:rPr>
        <w:t xml:space="preserve">طبقة الوصلة والطبقة السفلية التي </w:t>
      </w:r>
      <w:r w:rsidR="008D7B65">
        <w:rPr>
          <w:rFonts w:hint="cs"/>
          <w:rtl/>
          <w:lang w:bidi="ar-EG"/>
        </w:rPr>
        <w:t>تعرض</w:t>
      </w:r>
      <w:r w:rsidR="00510961">
        <w:rPr>
          <w:rFonts w:hint="cs"/>
          <w:rtl/>
          <w:lang w:bidi="ar-EG"/>
        </w:rPr>
        <w:t xml:space="preserve"> عادة معلومات كالأسماء ومعرّفات الهوية الضمنية التي يمكن أن تكشف</w:t>
      </w:r>
      <w:r w:rsidR="00A41128">
        <w:rPr>
          <w:rFonts w:hint="eastAsia"/>
          <w:rtl/>
          <w:lang w:bidi="ar-EG"/>
        </w:rPr>
        <w:t> </w:t>
      </w:r>
      <w:r w:rsidR="00510961">
        <w:rPr>
          <w:rFonts w:hint="cs"/>
          <w:rtl/>
          <w:lang w:bidi="ar-EG"/>
        </w:rPr>
        <w:t>عن هوية</w:t>
      </w:r>
      <w:r w:rsidR="00A41128">
        <w:rPr>
          <w:rFonts w:hint="eastAsia"/>
          <w:rtl/>
          <w:lang w:bidi="ar-EG"/>
        </w:rPr>
        <w:t> </w:t>
      </w:r>
      <w:r w:rsidR="00510961">
        <w:rPr>
          <w:rFonts w:hint="cs"/>
          <w:rtl/>
          <w:lang w:bidi="ar-EG"/>
        </w:rPr>
        <w:t>المستعملين</w:t>
      </w:r>
      <w:r w:rsidR="00FB7479">
        <w:rPr>
          <w:rFonts w:hint="cs"/>
          <w:rtl/>
          <w:lang w:bidi="ar-EG"/>
        </w:rPr>
        <w:t>؛</w:t>
      </w:r>
    </w:p>
    <w:p w:rsidR="00386F52" w:rsidRDefault="00386F52" w:rsidP="00BC6FF1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677F85">
        <w:rPr>
          <w:rFonts w:hint="cs"/>
          <w:rtl/>
          <w:lang w:bidi="ar-EG"/>
        </w:rPr>
        <w:t>أن البيانات الضخمة وتحليلات</w:t>
      </w:r>
      <w:r w:rsidR="00BC6FF1">
        <w:rPr>
          <w:rFonts w:hint="cs"/>
          <w:rtl/>
          <w:lang w:bidi="ar-EG"/>
        </w:rPr>
        <w:t>ها</w:t>
      </w:r>
      <w:r w:rsidR="00677F85">
        <w:rPr>
          <w:rFonts w:hint="cs"/>
          <w:rtl/>
          <w:lang w:bidi="ar-EG"/>
        </w:rPr>
        <w:t xml:space="preserve"> تَعِد برؤى وفوائد جديدة في العديد من المجالات (الطبية والاكتشافات العلمية والاقتصاد والتنبؤ بالكوارث وما إلى ذلك) ولكنها تشكل تهديدات على </w:t>
      </w:r>
      <w:r w:rsidR="00BC6FF1">
        <w:rPr>
          <w:rFonts w:hint="cs"/>
          <w:rtl/>
          <w:lang w:bidi="ar-EG"/>
        </w:rPr>
        <w:t xml:space="preserve">خصوصية الأفراد وحماية </w:t>
      </w:r>
      <w:r w:rsidR="00677F85">
        <w:rPr>
          <w:rFonts w:hint="cs"/>
          <w:rtl/>
          <w:lang w:bidi="ar-EG"/>
        </w:rPr>
        <w:t>البيانات؛</w:t>
      </w:r>
    </w:p>
    <w:p w:rsidR="00386F52" w:rsidRDefault="00AE1745" w:rsidP="00A4112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</w:t>
      </w:r>
      <w:r w:rsidR="00386F52" w:rsidRPr="00CC4AF5">
        <w:rPr>
          <w:rFonts w:hint="cs"/>
          <w:i/>
          <w:iCs/>
          <w:rtl/>
          <w:lang w:bidi="ar-EG"/>
        </w:rPr>
        <w:t xml:space="preserve"> )</w:t>
      </w:r>
      <w:r w:rsidR="00386F52">
        <w:rPr>
          <w:rFonts w:hint="cs"/>
          <w:rtl/>
          <w:lang w:bidi="ar-EG"/>
        </w:rPr>
        <w:tab/>
      </w:r>
      <w:r w:rsidR="000C7930">
        <w:rPr>
          <w:rFonts w:hint="cs"/>
          <w:rtl/>
          <w:lang w:bidi="ar-EG"/>
        </w:rPr>
        <w:t>أن الجمع والتحليل على نطاق هائل للبيانات المستمدة من أجهزة الاستشعار والأجهزة في</w:t>
      </w:r>
      <w:r w:rsidR="00A41128">
        <w:rPr>
          <w:rFonts w:hint="eastAsia"/>
          <w:rtl/>
          <w:lang w:bidi="ar-EG"/>
        </w:rPr>
        <w:t> </w:t>
      </w:r>
      <w:r w:rsidR="00BC6FF1">
        <w:rPr>
          <w:rFonts w:hint="cs"/>
          <w:rtl/>
          <w:lang w:bidi="ar-EG"/>
        </w:rPr>
        <w:t>الأماكن المادية ي</w:t>
      </w:r>
      <w:r w:rsidR="000C7930">
        <w:rPr>
          <w:rFonts w:hint="cs"/>
          <w:rtl/>
          <w:lang w:bidi="ar-EG"/>
        </w:rPr>
        <w:t>طرح</w:t>
      </w:r>
      <w:r w:rsidR="00BC6FF1">
        <w:rPr>
          <w:rFonts w:hint="cs"/>
          <w:rtl/>
          <w:lang w:bidi="ar-EG"/>
        </w:rPr>
        <w:t xml:space="preserve"> مسائل شائكة</w:t>
      </w:r>
      <w:r w:rsidR="000C7930">
        <w:rPr>
          <w:rFonts w:hint="cs"/>
          <w:rtl/>
          <w:lang w:bidi="ar-EG"/>
        </w:rPr>
        <w:t xml:space="preserve"> بدءاً من التهديدات </w:t>
      </w:r>
      <w:r w:rsidR="00F15809">
        <w:rPr>
          <w:rFonts w:hint="cs"/>
          <w:rtl/>
          <w:lang w:bidi="ar-EG"/>
        </w:rPr>
        <w:t xml:space="preserve">بالاستخدامات غير المتوقعة لبيانات المستهلك إلى التمييز المحتمل الذي تتيحه تحليلات البيانات والمعلومات </w:t>
      </w:r>
      <w:r w:rsidR="007C4370">
        <w:rPr>
          <w:rFonts w:hint="cs"/>
          <w:rtl/>
          <w:lang w:bidi="ar-EG"/>
        </w:rPr>
        <w:t>المقدمة</w:t>
      </w:r>
      <w:r w:rsidR="00F15809">
        <w:rPr>
          <w:rFonts w:hint="cs"/>
          <w:rtl/>
          <w:lang w:bidi="ar-EG"/>
        </w:rPr>
        <w:t xml:space="preserve"> بشأن تنقل الأشخاص ومصالحهم وأنشطتهم</w:t>
      </w:r>
      <w:r w:rsidR="007300AB">
        <w:rPr>
          <w:rFonts w:hint="cs"/>
          <w:rtl/>
          <w:lang w:bidi="ar-EG"/>
        </w:rPr>
        <w:t>؛</w:t>
      </w:r>
    </w:p>
    <w:p w:rsidR="00A62442" w:rsidRPr="00BD0C78" w:rsidRDefault="00AE1745" w:rsidP="00BD0C78">
      <w:pPr>
        <w:rPr>
          <w:rtl/>
          <w:lang w:bidi="ar-EG"/>
        </w:rPr>
      </w:pPr>
      <w:r w:rsidRPr="00BD0C78">
        <w:rPr>
          <w:rFonts w:hint="cs"/>
          <w:i/>
          <w:iCs/>
          <w:rtl/>
          <w:lang w:bidi="ar-EG"/>
        </w:rPr>
        <w:t xml:space="preserve">و </w:t>
      </w:r>
      <w:r w:rsidR="00A62442" w:rsidRPr="00BD0C78">
        <w:rPr>
          <w:rFonts w:hint="cs"/>
          <w:i/>
          <w:iCs/>
          <w:rtl/>
          <w:lang w:bidi="ar-EG"/>
        </w:rPr>
        <w:t>)</w:t>
      </w:r>
      <w:r w:rsidR="00A62442" w:rsidRPr="00BD0C78">
        <w:rPr>
          <w:rFonts w:hint="cs"/>
          <w:rtl/>
          <w:lang w:bidi="ar-EG"/>
        </w:rPr>
        <w:tab/>
        <w:t>أهمية مبادئ الخصوصية عند التصميم</w:t>
      </w:r>
      <w:r w:rsidR="00A41128" w:rsidRPr="00BD0C78">
        <w:rPr>
          <w:rFonts w:hint="eastAsia"/>
          <w:rtl/>
          <w:lang w:bidi="ar-EG"/>
        </w:rPr>
        <w:t> </w:t>
      </w:r>
      <w:r w:rsidR="00A62442" w:rsidRPr="00BD0C78">
        <w:rPr>
          <w:lang w:bidi="ar-EG"/>
        </w:rPr>
        <w:t>(</w:t>
      </w:r>
      <w:proofErr w:type="spellStart"/>
      <w:r w:rsidR="00A62442" w:rsidRPr="00BD0C78">
        <w:rPr>
          <w:lang w:bidi="ar-EG"/>
        </w:rPr>
        <w:t>PbD</w:t>
      </w:r>
      <w:proofErr w:type="spellEnd"/>
      <w:r w:rsidR="00A62442" w:rsidRPr="00BD0C78">
        <w:rPr>
          <w:lang w:bidi="ar-EG"/>
        </w:rPr>
        <w:t>)</w:t>
      </w:r>
      <w:r w:rsidR="00A62442" w:rsidRPr="00BD0C78">
        <w:rPr>
          <w:rFonts w:hint="cs"/>
          <w:rtl/>
          <w:lang w:bidi="ar-EG"/>
        </w:rPr>
        <w:t xml:space="preserve"> كإطار لضمان التحكم من جانب المستعمل وتعزيز الشفافية وبناء الثقة</w:t>
      </w:r>
      <w:r w:rsidR="00BD0C78">
        <w:rPr>
          <w:rFonts w:hint="eastAsia"/>
          <w:rtl/>
          <w:lang w:bidi="ar-EG"/>
        </w:rPr>
        <w:t> </w:t>
      </w:r>
      <w:r w:rsidR="00A62442" w:rsidRPr="00BD0C78">
        <w:rPr>
          <w:rFonts w:hint="cs"/>
          <w:rtl/>
          <w:lang w:bidi="ar-EG"/>
        </w:rPr>
        <w:t>والأمن؛</w:t>
      </w:r>
    </w:p>
    <w:p w:rsidR="00386F52" w:rsidRDefault="00386F52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  <w:t xml:space="preserve">فقرة </w:t>
      </w:r>
      <w:r w:rsidRPr="009F4EAB">
        <w:rPr>
          <w:rFonts w:hint="cs"/>
          <w:i/>
          <w:iCs/>
          <w:rtl/>
          <w:lang w:bidi="ar-EG"/>
        </w:rPr>
        <w:t>يقرر</w:t>
      </w:r>
      <w:r>
        <w:rPr>
          <w:rFonts w:hint="cs"/>
          <w:rtl/>
          <w:lang w:bidi="ar-EG"/>
        </w:rPr>
        <w:t xml:space="preserve"> من القرار</w:t>
      </w:r>
      <w:r w:rsidR="00A41128">
        <w:rPr>
          <w:rFonts w:hint="eastAsia"/>
          <w:rtl/>
          <w:lang w:bidi="ar-EG"/>
        </w:rPr>
        <w:t> </w:t>
      </w:r>
      <w:r>
        <w:rPr>
          <w:lang w:bidi="ar-EG"/>
        </w:rPr>
        <w:t>130</w:t>
      </w:r>
      <w:r w:rsidR="00AD7183">
        <w:rPr>
          <w:rFonts w:hint="cs"/>
          <w:rtl/>
          <w:lang w:bidi="ar-EG"/>
        </w:rPr>
        <w:t xml:space="preserve"> </w:t>
      </w:r>
      <w:r w:rsidR="00DB0348">
        <w:rPr>
          <w:rFonts w:hint="cs"/>
          <w:rtl/>
          <w:lang w:bidi="ar-EG"/>
        </w:rPr>
        <w:t>بشأن تعزيز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دور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الاتحاد</w:t>
      </w:r>
      <w:r w:rsidR="00AD7183" w:rsidRPr="00AD7183">
        <w:rPr>
          <w:rtl/>
          <w:lang w:bidi="ar-EG"/>
        </w:rPr>
        <w:t xml:space="preserve"> في </w:t>
      </w:r>
      <w:r w:rsidR="00AD7183" w:rsidRPr="00AD7183">
        <w:rPr>
          <w:rFonts w:hint="eastAsia"/>
          <w:rtl/>
          <w:lang w:bidi="ar-EG"/>
        </w:rPr>
        <w:t>مجال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بناء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الثقة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والأمن</w:t>
      </w:r>
      <w:r w:rsidR="00AD7183">
        <w:rPr>
          <w:rFonts w:hint="cs"/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في</w:t>
      </w:r>
      <w:r w:rsidR="00A41128">
        <w:rPr>
          <w:rFonts w:hint="cs"/>
          <w:rtl/>
          <w:lang w:bidi="ar-EG"/>
        </w:rPr>
        <w:t> </w:t>
      </w:r>
      <w:r w:rsidR="00AD7183" w:rsidRPr="00AD7183">
        <w:rPr>
          <w:rFonts w:hint="eastAsia"/>
          <w:rtl/>
          <w:lang w:bidi="ar-EG"/>
        </w:rPr>
        <w:t>استخدام</w:t>
      </w:r>
      <w:r w:rsidR="00AD7183" w:rsidRPr="00AD7183">
        <w:rPr>
          <w:rFonts w:hint="cs"/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تكنولوجيا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المعلومات</w:t>
      </w:r>
      <w:r w:rsidR="00AD7183" w:rsidRPr="00AD7183">
        <w:rPr>
          <w:rtl/>
          <w:lang w:bidi="ar-EG"/>
        </w:rPr>
        <w:t xml:space="preserve"> </w:t>
      </w:r>
      <w:r w:rsidR="00AD7183" w:rsidRPr="00AD7183">
        <w:rPr>
          <w:rFonts w:hint="eastAsia"/>
          <w:rtl/>
          <w:lang w:bidi="ar-EG"/>
        </w:rPr>
        <w:t>والاتصالات</w:t>
      </w:r>
      <w:r w:rsidR="00AD7183">
        <w:rPr>
          <w:rFonts w:hint="cs"/>
          <w:rtl/>
          <w:lang w:bidi="ar-EG"/>
        </w:rPr>
        <w:t>،</w:t>
      </w:r>
      <w:r w:rsidR="00BC6FF1">
        <w:rPr>
          <w:rFonts w:hint="cs"/>
          <w:rtl/>
          <w:lang w:bidi="ar-EG"/>
        </w:rPr>
        <w:t xml:space="preserve"> والتكليف بتكثيف الأعمال ذات الأولوية العالية في لجان دراسات قطاع تقييس الاتصالات،</w:t>
      </w:r>
    </w:p>
    <w:p w:rsidR="00386F52" w:rsidRPr="00A41128" w:rsidRDefault="00D80F77" w:rsidP="00A41128">
      <w:pPr>
        <w:pStyle w:val="Call"/>
        <w:rPr>
          <w:rtl/>
        </w:rPr>
      </w:pPr>
      <w:r w:rsidRPr="00A41128">
        <w:rPr>
          <w:rFonts w:hint="cs"/>
          <w:rtl/>
        </w:rPr>
        <w:lastRenderedPageBreak/>
        <w:t xml:space="preserve">وإذ </w:t>
      </w:r>
      <w:r w:rsidR="00BC6FF1" w:rsidRPr="00A41128">
        <w:rPr>
          <w:rFonts w:hint="cs"/>
          <w:rtl/>
        </w:rPr>
        <w:t>تأخذ بعين الاعتبار</w:t>
      </w:r>
      <w:r w:rsidR="007C1F06">
        <w:rPr>
          <w:rFonts w:hint="cs"/>
          <w:rtl/>
        </w:rPr>
        <w:t xml:space="preserve"> كذلك</w:t>
      </w:r>
    </w:p>
    <w:p w:rsidR="00D80F77" w:rsidRPr="00A41128" w:rsidRDefault="00631BE9" w:rsidP="009C5787">
      <w:pPr>
        <w:rPr>
          <w:spacing w:val="-2"/>
          <w:rtl/>
          <w:lang w:bidi="ar-EG"/>
        </w:rPr>
      </w:pPr>
      <w:r w:rsidRPr="00A41128">
        <w:rPr>
          <w:rFonts w:hint="cs"/>
          <w:i/>
          <w:iCs/>
          <w:spacing w:val="-2"/>
          <w:rtl/>
          <w:lang w:bidi="ar-EG"/>
        </w:rPr>
        <w:t xml:space="preserve"> أ )</w:t>
      </w:r>
      <w:r w:rsidRPr="00A41128">
        <w:rPr>
          <w:rFonts w:hint="cs"/>
          <w:spacing w:val="-2"/>
          <w:rtl/>
          <w:lang w:bidi="ar-EG"/>
        </w:rPr>
        <w:tab/>
      </w:r>
      <w:r w:rsidR="002C3EA2" w:rsidRPr="00A41128">
        <w:rPr>
          <w:rFonts w:hint="cs"/>
          <w:spacing w:val="-2"/>
          <w:rtl/>
          <w:lang w:bidi="ar-EG"/>
        </w:rPr>
        <w:t>أن التوصية</w:t>
      </w:r>
      <w:r w:rsidR="00A41128" w:rsidRPr="00A41128">
        <w:rPr>
          <w:rFonts w:hint="eastAsia"/>
          <w:spacing w:val="-2"/>
          <w:rtl/>
          <w:lang w:bidi="ar-EG"/>
        </w:rPr>
        <w:t> </w:t>
      </w:r>
      <w:r w:rsidR="002C3EA2" w:rsidRPr="00A41128">
        <w:rPr>
          <w:rFonts w:cs="Times New Roman"/>
          <w:spacing w:val="-2"/>
          <w:sz w:val="24"/>
          <w:szCs w:val="20"/>
        </w:rPr>
        <w:t>ITU-T</w:t>
      </w:r>
      <w:r w:rsidR="009C5787">
        <w:rPr>
          <w:rFonts w:cs="Times New Roman"/>
          <w:spacing w:val="-2"/>
          <w:sz w:val="24"/>
          <w:szCs w:val="20"/>
        </w:rPr>
        <w:t> </w:t>
      </w:r>
      <w:r w:rsidR="002C3EA2" w:rsidRPr="00A41128">
        <w:rPr>
          <w:rFonts w:cs="Times New Roman"/>
          <w:spacing w:val="-2"/>
          <w:sz w:val="24"/>
          <w:szCs w:val="20"/>
        </w:rPr>
        <w:t>X.1255</w:t>
      </w:r>
      <w:r w:rsidR="002C3EA2" w:rsidRPr="00A41128">
        <w:rPr>
          <w:rFonts w:hint="cs"/>
          <w:spacing w:val="-2"/>
          <w:rtl/>
          <w:lang w:bidi="ar-EG"/>
        </w:rPr>
        <w:t xml:space="preserve"> القائمة على معمارية الأشياء الرقمية</w:t>
      </w:r>
      <w:r w:rsidR="00A41128" w:rsidRPr="00A41128">
        <w:rPr>
          <w:rFonts w:hint="eastAsia"/>
          <w:spacing w:val="-2"/>
          <w:rtl/>
          <w:lang w:bidi="ar-EG"/>
        </w:rPr>
        <w:t> </w:t>
      </w:r>
      <w:r w:rsidR="002C3EA2" w:rsidRPr="00A41128">
        <w:rPr>
          <w:spacing w:val="-2"/>
          <w:lang w:bidi="ar-EG"/>
        </w:rPr>
        <w:t>(DOA)</w:t>
      </w:r>
      <w:r w:rsidR="002C3EA2" w:rsidRPr="00A41128">
        <w:rPr>
          <w:rFonts w:hint="cs"/>
          <w:spacing w:val="-2"/>
          <w:rtl/>
          <w:lang w:bidi="ar-EG"/>
        </w:rPr>
        <w:t xml:space="preserve">، تعرّف إطاراً بشأن </w:t>
      </w:r>
      <w:r w:rsidR="001056DD" w:rsidRPr="00A41128">
        <w:rPr>
          <w:rFonts w:hint="cs"/>
          <w:spacing w:val="-2"/>
          <w:rtl/>
          <w:lang w:bidi="ar-EG"/>
        </w:rPr>
        <w:t>الطريقة التي يمكن</w:t>
      </w:r>
      <w:r w:rsidR="00A41128" w:rsidRPr="00A41128">
        <w:rPr>
          <w:rFonts w:hint="eastAsia"/>
          <w:spacing w:val="-2"/>
          <w:rtl/>
          <w:lang w:bidi="ar-EG"/>
        </w:rPr>
        <w:t> </w:t>
      </w:r>
      <w:r w:rsidR="001056DD" w:rsidRPr="00A41128">
        <w:rPr>
          <w:rFonts w:hint="cs"/>
          <w:spacing w:val="-2"/>
          <w:rtl/>
          <w:lang w:bidi="ar-EG"/>
        </w:rPr>
        <w:t>بها</w:t>
      </w:r>
      <w:r w:rsidR="002C3EA2" w:rsidRPr="00A41128">
        <w:rPr>
          <w:rFonts w:hint="cs"/>
          <w:spacing w:val="-2"/>
          <w:rtl/>
          <w:lang w:bidi="ar-EG"/>
        </w:rPr>
        <w:t xml:space="preserve"> إنشاء هوية موثوق به </w:t>
      </w:r>
      <w:r w:rsidR="00DE1FF8" w:rsidRPr="00A41128">
        <w:rPr>
          <w:rFonts w:hint="cs"/>
          <w:spacing w:val="-2"/>
          <w:rtl/>
          <w:lang w:bidi="ar-EG"/>
        </w:rPr>
        <w:t xml:space="preserve">ثم </w:t>
      </w:r>
      <w:r w:rsidR="002C3EA2" w:rsidRPr="00A41128">
        <w:rPr>
          <w:rFonts w:hint="cs"/>
          <w:spacing w:val="-2"/>
          <w:rtl/>
          <w:lang w:bidi="ar-EG"/>
        </w:rPr>
        <w:t>إقرارها في اتصالات الشبكة في الوقت الفعلي؛</w:t>
      </w:r>
    </w:p>
    <w:p w:rsidR="00631BE9" w:rsidRDefault="00631BE9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EA23C8">
        <w:rPr>
          <w:rFonts w:hint="cs"/>
          <w:rtl/>
          <w:lang w:bidi="ar-EG"/>
        </w:rPr>
        <w:t xml:space="preserve">أن </w:t>
      </w:r>
      <w:r w:rsidR="00DE1FF8">
        <w:rPr>
          <w:rFonts w:hint="cs"/>
          <w:rtl/>
          <w:lang w:bidi="ar-EG"/>
        </w:rPr>
        <w:t>النظام</w:t>
      </w:r>
      <w:r w:rsidR="00A41128">
        <w:rPr>
          <w:rFonts w:hint="eastAsia"/>
          <w:rtl/>
          <w:lang w:bidi="ar-EG"/>
        </w:rPr>
        <w:t> </w:t>
      </w:r>
      <w:r w:rsidR="00DE1FF8">
        <w:rPr>
          <w:rFonts w:hint="cs"/>
          <w:rtl/>
          <w:lang w:bidi="ar-EG"/>
        </w:rPr>
        <w:t>"</w:t>
      </w:r>
      <w:r w:rsidR="00DE1FF8" w:rsidRPr="00540C43">
        <w:rPr>
          <w:rFonts w:cs="Times New Roman"/>
          <w:sz w:val="24"/>
          <w:szCs w:val="20"/>
        </w:rPr>
        <w:t>Handle</w:t>
      </w:r>
      <w:r w:rsidR="00DE1FF8">
        <w:rPr>
          <w:rFonts w:hint="cs"/>
          <w:rtl/>
          <w:lang w:bidi="ar-EG"/>
        </w:rPr>
        <w:t>"</w:t>
      </w:r>
      <w:r w:rsidR="00EA23C8">
        <w:rPr>
          <w:rFonts w:hint="cs"/>
          <w:rtl/>
          <w:lang w:bidi="ar-EG"/>
        </w:rPr>
        <w:t xml:space="preserve">، الذي هو أحد مكونات معمارية الأشياء الرقمية، يوفر خدمة آمنة لتعرّف الهوية تشمل آليات مدمجة لحماية سلامة الخدمة </w:t>
      </w:r>
      <w:r w:rsidR="00BC6FF1">
        <w:rPr>
          <w:rFonts w:hint="cs"/>
          <w:rtl/>
          <w:lang w:bidi="ar-EG"/>
        </w:rPr>
        <w:t>وسرية</w:t>
      </w:r>
      <w:r w:rsidR="00EA23C8">
        <w:rPr>
          <w:rFonts w:hint="cs"/>
          <w:rtl/>
          <w:lang w:bidi="ar-EG"/>
        </w:rPr>
        <w:t xml:space="preserve"> البيانات؛</w:t>
      </w:r>
    </w:p>
    <w:p w:rsidR="00631BE9" w:rsidRPr="0064420C" w:rsidRDefault="00631BE9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64420C">
        <w:rPr>
          <w:rFonts w:hint="cs"/>
          <w:rtl/>
          <w:lang w:bidi="ar-EG"/>
        </w:rPr>
        <w:t>أن مذكرة التفاهم بين الاتحاد ومؤسسة</w:t>
      </w:r>
      <w:r w:rsidR="00A41128">
        <w:rPr>
          <w:rFonts w:hint="eastAsia"/>
          <w:rtl/>
          <w:lang w:bidi="ar-EG"/>
        </w:rPr>
        <w:t> </w:t>
      </w:r>
      <w:r w:rsidR="0064420C" w:rsidRPr="00540C43">
        <w:rPr>
          <w:rFonts w:cs="Times New Roman"/>
          <w:sz w:val="24"/>
          <w:szCs w:val="20"/>
        </w:rPr>
        <w:t>DONA</w:t>
      </w:r>
      <w:r w:rsidR="0064420C">
        <w:rPr>
          <w:rFonts w:hint="cs"/>
          <w:rtl/>
          <w:lang w:bidi="ar-EG"/>
        </w:rPr>
        <w:t xml:space="preserve"> تنص على أن تتعاون هذه المؤسسة مع الاتحاد ومنظمات أخرى بشأن جهود التوعية لا سيما لتلبية الاحتياجات المحددة للبلدان النامية،</w:t>
      </w:r>
    </w:p>
    <w:p w:rsidR="00631BE9" w:rsidRPr="00BC6FF1" w:rsidRDefault="00FC1A61" w:rsidP="00BC6FF1">
      <w:pPr>
        <w:pStyle w:val="Call"/>
        <w:rPr>
          <w:rtl/>
        </w:rPr>
      </w:pPr>
      <w:r w:rsidRPr="00BC6FF1">
        <w:rPr>
          <w:rFonts w:hint="cs"/>
          <w:rtl/>
        </w:rPr>
        <w:t>وإذ تدرك</w:t>
      </w:r>
    </w:p>
    <w:p w:rsidR="00FC1A61" w:rsidRPr="00592CC1" w:rsidRDefault="00FC1A61" w:rsidP="00AE1745">
      <w:pPr>
        <w:rPr>
          <w:rtl/>
          <w:lang w:bidi="ar-EG"/>
        </w:rPr>
      </w:pPr>
      <w:r w:rsidRPr="00592CC1">
        <w:rPr>
          <w:rFonts w:hint="cs"/>
          <w:i/>
          <w:iCs/>
          <w:rtl/>
          <w:lang w:bidi="ar-EG"/>
        </w:rPr>
        <w:t xml:space="preserve"> أ )</w:t>
      </w:r>
      <w:r w:rsidRPr="00592CC1">
        <w:rPr>
          <w:rtl/>
          <w:lang w:bidi="ar-EG"/>
        </w:rPr>
        <w:tab/>
      </w:r>
      <w:r w:rsidRPr="00592CC1">
        <w:rPr>
          <w:rFonts w:hint="eastAsia"/>
          <w:rtl/>
          <w:lang w:bidi="ar-EG"/>
        </w:rPr>
        <w:t>أن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الاتحاد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الدولي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للاتصالات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والمنظمات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الدولية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الأخرى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تقوم،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من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خلال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مجموعة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م</w:t>
      </w:r>
      <w:r w:rsidR="00C979B7">
        <w:rPr>
          <w:rFonts w:hint="cs"/>
          <w:rtl/>
          <w:lang w:bidi="ar-EG"/>
        </w:rPr>
        <w:t>ت</w:t>
      </w:r>
      <w:r w:rsidRPr="00592CC1">
        <w:rPr>
          <w:rFonts w:hint="eastAsia"/>
          <w:rtl/>
          <w:lang w:bidi="ar-EG"/>
        </w:rPr>
        <w:t>نوعة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من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الأنشطة،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بفحص</w:t>
      </w:r>
      <w:r w:rsidR="00AE1745" w:rsidRPr="00592CC1">
        <w:rPr>
          <w:rFonts w:hint="cs"/>
          <w:rtl/>
          <w:lang w:bidi="ar-EG"/>
        </w:rPr>
        <w:t> </w:t>
      </w:r>
      <w:r w:rsidRPr="00592CC1">
        <w:rPr>
          <w:rFonts w:hint="eastAsia"/>
          <w:rtl/>
          <w:lang w:bidi="ar-EG"/>
        </w:rPr>
        <w:t>المسائل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المتصلة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ببناء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الثقة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والأمن</w:t>
      </w:r>
      <w:r w:rsidRPr="00592CC1">
        <w:rPr>
          <w:rtl/>
          <w:lang w:bidi="ar-EG"/>
        </w:rPr>
        <w:t xml:space="preserve"> في </w:t>
      </w:r>
      <w:r w:rsidRPr="00592CC1">
        <w:rPr>
          <w:rFonts w:hint="cs"/>
          <w:rtl/>
          <w:lang w:bidi="ar-EG"/>
        </w:rPr>
        <w:t>استخدام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تكنولوجيا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المعلومات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والاتصالات،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بما في ذلك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الاستقرار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وتدابير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مكافحة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الرسائل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الاقتحامية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والبرمجيات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الضارة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وما إلى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ذلك،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إلى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جانب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حماية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البيانات</w:t>
      </w:r>
      <w:r w:rsidRPr="00592CC1">
        <w:rPr>
          <w:rtl/>
          <w:lang w:bidi="ar-EG"/>
        </w:rPr>
        <w:t xml:space="preserve"> </w:t>
      </w:r>
      <w:r w:rsidRPr="00592CC1">
        <w:rPr>
          <w:rFonts w:hint="eastAsia"/>
          <w:rtl/>
          <w:lang w:bidi="ar-EG"/>
        </w:rPr>
        <w:t>الشخصية</w:t>
      </w:r>
      <w:r w:rsidRPr="00592CC1">
        <w:rPr>
          <w:rFonts w:hint="cs"/>
          <w:rtl/>
          <w:lang w:bidi="ar-EG"/>
        </w:rPr>
        <w:t> والخصوصية</w:t>
      </w:r>
      <w:r w:rsidRPr="00592CC1">
        <w:rPr>
          <w:rFonts w:hint="eastAsia"/>
          <w:rtl/>
          <w:lang w:bidi="ar-EG"/>
        </w:rPr>
        <w:t>؛</w:t>
      </w:r>
    </w:p>
    <w:p w:rsidR="00FC1A61" w:rsidRPr="00AE1745" w:rsidRDefault="00B522F3" w:rsidP="00BC6FF1">
      <w:pPr>
        <w:rPr>
          <w:spacing w:val="-2"/>
          <w:rtl/>
          <w:lang w:bidi="ar-EG"/>
        </w:rPr>
      </w:pPr>
      <w:r w:rsidRPr="00AE1745">
        <w:rPr>
          <w:rFonts w:hint="cs"/>
          <w:i/>
          <w:iCs/>
          <w:spacing w:val="-2"/>
          <w:rtl/>
          <w:lang w:bidi="ar-EG"/>
        </w:rPr>
        <w:t>ب)</w:t>
      </w:r>
      <w:r w:rsidRPr="00AE1745">
        <w:rPr>
          <w:spacing w:val="-2"/>
          <w:rtl/>
          <w:lang w:bidi="ar-EG"/>
        </w:rPr>
        <w:tab/>
      </w:r>
      <w:r w:rsidR="00471407" w:rsidRPr="00AE1745">
        <w:rPr>
          <w:rFonts w:hint="cs"/>
          <w:spacing w:val="-2"/>
          <w:rtl/>
          <w:lang w:bidi="ar-EG"/>
        </w:rPr>
        <w:t xml:space="preserve">أن لجنة الدراسات </w:t>
      </w:r>
      <w:r w:rsidR="00471407" w:rsidRPr="00AE1745">
        <w:rPr>
          <w:spacing w:val="-2"/>
          <w:lang w:bidi="ar-EG"/>
        </w:rPr>
        <w:t>17</w:t>
      </w:r>
      <w:r w:rsidR="009607E1" w:rsidRPr="00AE1745">
        <w:rPr>
          <w:rFonts w:hint="cs"/>
          <w:spacing w:val="-2"/>
          <w:rtl/>
          <w:lang w:bidi="ar-EG"/>
        </w:rPr>
        <w:t xml:space="preserve"> </w:t>
      </w:r>
      <w:r w:rsidR="00471407" w:rsidRPr="00AE1745">
        <w:rPr>
          <w:rFonts w:hint="cs"/>
          <w:spacing w:val="-2"/>
          <w:rtl/>
          <w:lang w:bidi="ar-EG"/>
        </w:rPr>
        <w:t xml:space="preserve">لقطاع تقييس الاتصالات تواصل </w:t>
      </w:r>
      <w:r w:rsidR="00BC6FF1" w:rsidRPr="00AE1745">
        <w:rPr>
          <w:rFonts w:hint="cs"/>
          <w:spacing w:val="-2"/>
          <w:rtl/>
          <w:lang w:bidi="ar-EG"/>
        </w:rPr>
        <w:t xml:space="preserve">إجراء </w:t>
      </w:r>
      <w:r w:rsidR="00471407" w:rsidRPr="00AE1745">
        <w:rPr>
          <w:rFonts w:hint="cs"/>
          <w:spacing w:val="-2"/>
          <w:rtl/>
          <w:lang w:bidi="ar-EG"/>
        </w:rPr>
        <w:t xml:space="preserve">دراسات بشأن الخصوصية </w:t>
      </w:r>
      <w:r w:rsidR="008D7B65" w:rsidRPr="00AE1745">
        <w:rPr>
          <w:rFonts w:hint="cs"/>
          <w:spacing w:val="-2"/>
          <w:rtl/>
          <w:lang w:bidi="ar-EG"/>
        </w:rPr>
        <w:t>إلى جانب</w:t>
      </w:r>
      <w:r w:rsidR="00471407" w:rsidRPr="00AE1745">
        <w:rPr>
          <w:rFonts w:hint="cs"/>
          <w:spacing w:val="-2"/>
          <w:rtl/>
          <w:lang w:bidi="ar-EG"/>
        </w:rPr>
        <w:t xml:space="preserve"> رصد التكنولوجيا بشأن </w:t>
      </w:r>
      <w:r w:rsidR="009607E1" w:rsidRPr="00AE1745">
        <w:rPr>
          <w:rFonts w:hint="cs"/>
          <w:spacing w:val="-2"/>
          <w:rtl/>
          <w:lang w:bidi="ar-EG"/>
        </w:rPr>
        <w:t>"</w:t>
      </w:r>
      <w:r w:rsidR="009607E1" w:rsidRPr="00AE1745">
        <w:rPr>
          <w:spacing w:val="-2"/>
          <w:rtl/>
        </w:rPr>
        <w:t>الخصوصية في الحوسبة السحابية</w:t>
      </w:r>
      <w:r w:rsidR="009607E1" w:rsidRPr="00AE1745">
        <w:rPr>
          <w:rFonts w:hint="cs"/>
          <w:spacing w:val="-2"/>
          <w:rtl/>
          <w:lang w:bidi="ar-EG"/>
        </w:rPr>
        <w:t>"؛</w:t>
      </w:r>
    </w:p>
    <w:p w:rsidR="008E5AF6" w:rsidRDefault="008E5AF6" w:rsidP="00D11E04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A23259">
        <w:rPr>
          <w:rFonts w:hint="cs"/>
          <w:rtl/>
          <w:lang w:bidi="ar-EG"/>
        </w:rPr>
        <w:t xml:space="preserve">أن لجنة الدراسات </w:t>
      </w:r>
      <w:r w:rsidR="00A23259">
        <w:rPr>
          <w:lang w:bidi="ar-EG"/>
        </w:rPr>
        <w:t>20</w:t>
      </w:r>
      <w:r w:rsidR="00A23259">
        <w:rPr>
          <w:rFonts w:hint="cs"/>
          <w:rtl/>
          <w:lang w:bidi="ar-EG"/>
        </w:rPr>
        <w:t xml:space="preserve"> لقطاع تقييس الاتصالات تواصل </w:t>
      </w:r>
      <w:r w:rsidR="00D11E04" w:rsidRPr="00AE1745">
        <w:rPr>
          <w:rFonts w:hint="cs"/>
          <w:spacing w:val="-2"/>
          <w:rtl/>
          <w:lang w:bidi="ar-EG"/>
        </w:rPr>
        <w:t xml:space="preserve">إجراء دراسات </w:t>
      </w:r>
      <w:r w:rsidR="00A23259">
        <w:rPr>
          <w:rFonts w:hint="cs"/>
          <w:rtl/>
          <w:lang w:bidi="ar-EG"/>
        </w:rPr>
        <w:t xml:space="preserve">بشأن الخصوصية </w:t>
      </w:r>
      <w:r w:rsidR="00BC6FF1">
        <w:rPr>
          <w:rFonts w:hint="cs"/>
          <w:rtl/>
          <w:lang w:bidi="ar-EG"/>
        </w:rPr>
        <w:t xml:space="preserve">فيما يتعلق </w:t>
      </w:r>
      <w:r w:rsidR="00A23259">
        <w:rPr>
          <w:rFonts w:hint="cs"/>
          <w:rtl/>
          <w:lang w:bidi="ar-EG"/>
        </w:rPr>
        <w:t>بإنترنت الأشياء والمدن والمجتمعات الذكية،</w:t>
      </w:r>
    </w:p>
    <w:p w:rsidR="008E5AF6" w:rsidRPr="00BC6FF1" w:rsidRDefault="00AC698C" w:rsidP="00BC6FF1">
      <w:pPr>
        <w:pStyle w:val="Call"/>
        <w:rPr>
          <w:rFonts w:hint="cs"/>
          <w:rtl/>
          <w:lang w:bidi="ar-EG"/>
        </w:rPr>
      </w:pPr>
      <w:r w:rsidRPr="00BC6FF1">
        <w:rPr>
          <w:rFonts w:hint="cs"/>
          <w:rtl/>
        </w:rPr>
        <w:t>وإذ تضع في اعتبارها</w:t>
      </w:r>
      <w:bookmarkStart w:id="8" w:name="_GoBack"/>
      <w:bookmarkEnd w:id="8"/>
    </w:p>
    <w:p w:rsidR="00AC698C" w:rsidRPr="00BF06CD" w:rsidRDefault="00B20EC8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E1147C">
        <w:rPr>
          <w:rFonts w:hint="cs"/>
          <w:rtl/>
          <w:lang w:bidi="ar-EG"/>
        </w:rPr>
        <w:t xml:space="preserve">أن قطاع تقييس الاتصالات بدأ بالفعل العمل </w:t>
      </w:r>
      <w:r w:rsidR="00805321">
        <w:rPr>
          <w:rFonts w:hint="cs"/>
          <w:rtl/>
          <w:lang w:bidi="ar-EG"/>
        </w:rPr>
        <w:t>بشأن</w:t>
      </w:r>
      <w:r w:rsidR="00E1147C">
        <w:rPr>
          <w:rFonts w:hint="cs"/>
          <w:rtl/>
          <w:lang w:bidi="ar-EG"/>
        </w:rPr>
        <w:t xml:space="preserve"> </w:t>
      </w:r>
      <w:r w:rsidR="00BF06CD">
        <w:rPr>
          <w:rFonts w:hint="cs"/>
          <w:rtl/>
        </w:rPr>
        <w:t>ت</w:t>
      </w:r>
      <w:r w:rsidRPr="00B20EC8">
        <w:rPr>
          <w:rtl/>
        </w:rPr>
        <w:t xml:space="preserve">وفير الثقة </w:t>
      </w:r>
      <w:r w:rsidR="00BF06CD">
        <w:rPr>
          <w:rFonts w:hint="cs"/>
          <w:rtl/>
        </w:rPr>
        <w:t>في إطار لجنة الدراسات</w:t>
      </w:r>
      <w:r w:rsidR="00A41128">
        <w:rPr>
          <w:rFonts w:hint="eastAsia"/>
          <w:rtl/>
        </w:rPr>
        <w:t> </w:t>
      </w:r>
      <w:r w:rsidR="00BF06CD">
        <w:t>13</w:t>
      </w:r>
      <w:r w:rsidR="00BF06CD">
        <w:rPr>
          <w:rFonts w:hint="cs"/>
          <w:rtl/>
        </w:rPr>
        <w:t xml:space="preserve"> وأنه أصدر تقريراً تقنياً بشأن "توفير الثقة </w:t>
      </w:r>
      <w:r w:rsidRPr="00B20EC8">
        <w:rPr>
          <w:rtl/>
        </w:rPr>
        <w:t>من أجل البنى التحتية لتكنولوجيا المعلومات والاتصالات وخدماتها</w:t>
      </w:r>
      <w:r w:rsidR="00BC6FF1">
        <w:rPr>
          <w:rFonts w:hint="cs"/>
          <w:rtl/>
        </w:rPr>
        <w:t xml:space="preserve"> المستقبلية</w:t>
      </w:r>
      <w:r>
        <w:rPr>
          <w:rFonts w:hint="cs"/>
          <w:rtl/>
        </w:rPr>
        <w:t xml:space="preserve">" </w:t>
      </w:r>
      <w:r w:rsidR="00BF06CD">
        <w:rPr>
          <w:rFonts w:hint="cs"/>
          <w:rtl/>
        </w:rPr>
        <w:t>بالإضافة إلى العمل الجاري</w:t>
      </w:r>
      <w:r w:rsidR="00805321">
        <w:rPr>
          <w:rFonts w:hint="cs"/>
          <w:rtl/>
        </w:rPr>
        <w:t xml:space="preserve"> في</w:t>
      </w:r>
      <w:r w:rsidR="00A41128">
        <w:rPr>
          <w:rFonts w:hint="eastAsia"/>
          <w:rtl/>
        </w:rPr>
        <w:t> </w:t>
      </w:r>
      <w:r w:rsidR="00805321">
        <w:rPr>
          <w:rFonts w:hint="cs"/>
          <w:rtl/>
        </w:rPr>
        <w:t>إطار</w:t>
      </w:r>
      <w:r w:rsidR="00BF06CD">
        <w:rPr>
          <w:rFonts w:hint="cs"/>
          <w:rtl/>
        </w:rPr>
        <w:t xml:space="preserve"> لجنة الدراسات</w:t>
      </w:r>
      <w:r w:rsidR="00A41128">
        <w:rPr>
          <w:rFonts w:hint="eastAsia"/>
          <w:rtl/>
        </w:rPr>
        <w:t> </w:t>
      </w:r>
      <w:r w:rsidR="00BF06CD">
        <w:t>13</w:t>
      </w:r>
      <w:r w:rsidR="00BF06CD">
        <w:rPr>
          <w:rFonts w:hint="cs"/>
          <w:rtl/>
          <w:lang w:bidi="ar-EG"/>
        </w:rPr>
        <w:t xml:space="preserve"> بشأن الخدمات السحابية البينية الموثوقة والمتطلبات والحلول التقنية من أجل </w:t>
      </w:r>
      <w:r w:rsidR="00BC6FF1">
        <w:rPr>
          <w:rFonts w:hint="cs"/>
          <w:rtl/>
          <w:lang w:bidi="ar-EG"/>
        </w:rPr>
        <w:t>توفير</w:t>
      </w:r>
      <w:r w:rsidR="00BF06CD">
        <w:rPr>
          <w:rFonts w:hint="cs"/>
          <w:rtl/>
          <w:lang w:bidi="ar-EG"/>
        </w:rPr>
        <w:t xml:space="preserve"> الثقة في البنى التحتية لتكنولوجيا المعلومات والاتصالات وخدماتها؛</w:t>
      </w:r>
    </w:p>
    <w:p w:rsidR="00B20EC8" w:rsidRPr="004778AC" w:rsidRDefault="00093D3C" w:rsidP="00AE1745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4778AC">
        <w:rPr>
          <w:rFonts w:hint="cs"/>
          <w:rtl/>
          <w:lang w:bidi="ar-EG"/>
        </w:rPr>
        <w:t>أن قطاع تقييس الاتصالات عقد في عامي</w:t>
      </w:r>
      <w:r w:rsidR="00A41128">
        <w:rPr>
          <w:rFonts w:hint="eastAsia"/>
          <w:rtl/>
          <w:lang w:bidi="ar-EG"/>
        </w:rPr>
        <w:t> </w:t>
      </w:r>
      <w:r w:rsidR="004778AC">
        <w:rPr>
          <w:lang w:bidi="ar-EG"/>
        </w:rPr>
        <w:t>2015</w:t>
      </w:r>
      <w:r w:rsidR="004778AC">
        <w:rPr>
          <w:rFonts w:hint="cs"/>
          <w:rtl/>
          <w:lang w:bidi="ar-EG"/>
        </w:rPr>
        <w:t xml:space="preserve"> و</w:t>
      </w:r>
      <w:r w:rsidR="004778AC">
        <w:rPr>
          <w:lang w:bidi="ar-EG"/>
        </w:rPr>
        <w:t>2016</w:t>
      </w:r>
      <w:r w:rsidR="004778AC">
        <w:rPr>
          <w:rFonts w:hint="cs"/>
          <w:rtl/>
          <w:lang w:bidi="ar-EG"/>
        </w:rPr>
        <w:t xml:space="preserve">، ورشتَيْ عمل بشأن </w:t>
      </w:r>
      <w:r w:rsidR="004778AC">
        <w:rPr>
          <w:rtl/>
        </w:rPr>
        <w:t>البنية التحتية ال‍مستقبلية من</w:t>
      </w:r>
      <w:r w:rsidR="00AE1745">
        <w:rPr>
          <w:rFonts w:hint="cs"/>
          <w:rtl/>
        </w:rPr>
        <w:t> </w:t>
      </w:r>
      <w:r w:rsidR="004778AC">
        <w:rPr>
          <w:rtl/>
        </w:rPr>
        <w:t xml:space="preserve">منظور الثقة </w:t>
      </w:r>
      <w:proofErr w:type="spellStart"/>
      <w:r w:rsidR="004778AC">
        <w:rPr>
          <w:rtl/>
        </w:rPr>
        <w:t>وال‍معرفة</w:t>
      </w:r>
      <w:proofErr w:type="spellEnd"/>
      <w:r w:rsidR="004778AC">
        <w:rPr>
          <w:rtl/>
        </w:rPr>
        <w:t>" (المرحلتان الأولى والثاني</w:t>
      </w:r>
      <w:r w:rsidR="004778AC">
        <w:rPr>
          <w:rFonts w:hint="cs"/>
          <w:rtl/>
          <w:lang w:bidi="ar-EG"/>
        </w:rPr>
        <w:t xml:space="preserve">ة) </w:t>
      </w:r>
      <w:r w:rsidR="00E43629">
        <w:rPr>
          <w:rFonts w:hint="cs"/>
          <w:rtl/>
          <w:lang w:bidi="ar-EG"/>
        </w:rPr>
        <w:t xml:space="preserve">كانتا بمثابة منصة لمناقشة </w:t>
      </w:r>
      <w:r w:rsidR="00E968C4">
        <w:rPr>
          <w:rtl/>
        </w:rPr>
        <w:t>تقارب خدمات تكنولوجيا المعلومات والاتصالات والبنية التحتية للمعلومات في المستقبل</w:t>
      </w:r>
      <w:r w:rsidR="00E968C4">
        <w:rPr>
          <w:rFonts w:hint="cs"/>
          <w:rtl/>
        </w:rPr>
        <w:t>؛</w:t>
      </w:r>
    </w:p>
    <w:p w:rsidR="00093D3C" w:rsidRPr="000D3CF9" w:rsidRDefault="00093D3C" w:rsidP="00A41128">
      <w:pPr>
        <w:rPr>
          <w:rtl/>
          <w:lang w:bidi="ar-EG"/>
        </w:rPr>
      </w:pPr>
      <w:r w:rsidRPr="00CC4AF5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0D3CF9">
        <w:rPr>
          <w:rFonts w:hint="cs"/>
          <w:rtl/>
          <w:lang w:bidi="ar-EG"/>
        </w:rPr>
        <w:t xml:space="preserve">أن الاجتماع السابع لكبار </w:t>
      </w:r>
      <w:r w:rsidR="00A41128">
        <w:rPr>
          <w:rFonts w:hint="cs"/>
          <w:rtl/>
          <w:lang w:bidi="ar-EG"/>
        </w:rPr>
        <w:t>مسؤولي التكنولوجيا</w:t>
      </w:r>
      <w:r w:rsidR="000D3CF9">
        <w:rPr>
          <w:rFonts w:hint="cs"/>
          <w:rtl/>
          <w:lang w:bidi="ar-EG"/>
        </w:rPr>
        <w:t xml:space="preserve"> (بو</w:t>
      </w:r>
      <w:r w:rsidR="00A41128">
        <w:rPr>
          <w:rFonts w:hint="cs"/>
          <w:rtl/>
          <w:lang w:bidi="ar-EG"/>
        </w:rPr>
        <w:t>داب</w:t>
      </w:r>
      <w:r w:rsidR="000D3CF9">
        <w:rPr>
          <w:rFonts w:hint="cs"/>
          <w:rtl/>
          <w:lang w:bidi="ar-EG"/>
        </w:rPr>
        <w:t xml:space="preserve">ست، </w:t>
      </w:r>
      <w:r w:rsidR="000D3CF9">
        <w:rPr>
          <w:lang w:bidi="ar-EG"/>
        </w:rPr>
        <w:t>2015</w:t>
      </w:r>
      <w:r w:rsidR="000D3CF9">
        <w:rPr>
          <w:rFonts w:hint="cs"/>
          <w:rtl/>
          <w:lang w:bidi="ar-EG"/>
        </w:rPr>
        <w:t xml:space="preserve">) أكد </w:t>
      </w:r>
      <w:r w:rsidR="00A41128">
        <w:rPr>
          <w:rFonts w:hint="cs"/>
          <w:rtl/>
          <w:lang w:bidi="ar-EG"/>
        </w:rPr>
        <w:t>ضرورة</w:t>
      </w:r>
      <w:r w:rsidR="000D3CF9">
        <w:rPr>
          <w:rFonts w:hint="cs"/>
          <w:rtl/>
          <w:lang w:bidi="ar-EG"/>
        </w:rPr>
        <w:t xml:space="preserve"> </w:t>
      </w:r>
      <w:r w:rsidR="00C3364D">
        <w:rPr>
          <w:rFonts w:hint="cs"/>
          <w:rtl/>
          <w:lang w:bidi="ar-EG"/>
        </w:rPr>
        <w:t>اعتبار</w:t>
      </w:r>
      <w:r w:rsidR="000D3CF9">
        <w:rPr>
          <w:rFonts w:hint="cs"/>
          <w:rtl/>
          <w:lang w:bidi="ar-EG"/>
        </w:rPr>
        <w:t xml:space="preserve"> الثقة </w:t>
      </w:r>
      <w:r w:rsidR="00C3364D">
        <w:rPr>
          <w:rFonts w:hint="cs"/>
          <w:rtl/>
          <w:lang w:bidi="ar-EG"/>
        </w:rPr>
        <w:t xml:space="preserve">بمثابة </w:t>
      </w:r>
      <w:r w:rsidR="00A41128">
        <w:rPr>
          <w:rFonts w:hint="cs"/>
          <w:rtl/>
          <w:lang w:bidi="ar-EG"/>
        </w:rPr>
        <w:t>عنصر</w:t>
      </w:r>
      <w:r w:rsidR="00C3364D">
        <w:rPr>
          <w:rFonts w:hint="cs"/>
          <w:rtl/>
          <w:lang w:bidi="ar-EG"/>
        </w:rPr>
        <w:t xml:space="preserve"> أساسي</w:t>
      </w:r>
      <w:r w:rsidR="000D3CF9">
        <w:rPr>
          <w:rFonts w:hint="cs"/>
          <w:rtl/>
          <w:lang w:bidi="ar-EG"/>
        </w:rPr>
        <w:t xml:space="preserve"> لمبادئ التصميم الجوهرية للبنية التحتية</w:t>
      </w:r>
      <w:r w:rsidR="00C3364D">
        <w:rPr>
          <w:rFonts w:hint="cs"/>
          <w:rtl/>
          <w:lang w:bidi="ar-EG"/>
        </w:rPr>
        <w:t xml:space="preserve"> </w:t>
      </w:r>
      <w:r w:rsidR="000D3CF9">
        <w:rPr>
          <w:rFonts w:hint="cs"/>
          <w:rtl/>
          <w:lang w:bidi="ar-EG"/>
        </w:rPr>
        <w:t>لتكنولوجيا المعلومات والاتصالات</w:t>
      </w:r>
      <w:r w:rsidR="0053499C">
        <w:rPr>
          <w:rFonts w:hint="cs"/>
          <w:rtl/>
          <w:lang w:bidi="ar-EG"/>
        </w:rPr>
        <w:t xml:space="preserve"> في المستقبل</w:t>
      </w:r>
      <w:r w:rsidR="00976A75">
        <w:rPr>
          <w:rFonts w:hint="cs"/>
          <w:rtl/>
          <w:lang w:bidi="ar-EG"/>
        </w:rPr>
        <w:t>،</w:t>
      </w:r>
    </w:p>
    <w:p w:rsidR="00093D3C" w:rsidRPr="00BC6FF1" w:rsidRDefault="00093D3C" w:rsidP="00BC6FF1">
      <w:pPr>
        <w:pStyle w:val="Call"/>
        <w:rPr>
          <w:rtl/>
        </w:rPr>
      </w:pPr>
      <w:r w:rsidRPr="00BC6FF1">
        <w:rPr>
          <w:rFonts w:hint="cs"/>
          <w:rtl/>
        </w:rPr>
        <w:t>تقرر</w:t>
      </w:r>
    </w:p>
    <w:p w:rsidR="00093D3C" w:rsidRDefault="00093D3C" w:rsidP="00A41128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F315F0">
        <w:rPr>
          <w:rFonts w:hint="cs"/>
          <w:rtl/>
          <w:lang w:bidi="ar-EG"/>
        </w:rPr>
        <w:t>أن خصوصية البيانات والثقة في البنية التحتية لتكنولوجيا المعلومات والاتصالات وخدماتها</w:t>
      </w:r>
      <w:r w:rsidR="004C167C">
        <w:rPr>
          <w:rFonts w:hint="cs"/>
          <w:rtl/>
          <w:lang w:bidi="ar-EG"/>
        </w:rPr>
        <w:t>،</w:t>
      </w:r>
      <w:r w:rsidR="00F315F0">
        <w:rPr>
          <w:rFonts w:hint="cs"/>
          <w:rtl/>
          <w:lang w:bidi="ar-EG"/>
        </w:rPr>
        <w:t xml:space="preserve"> </w:t>
      </w:r>
      <w:r w:rsidR="00A41128">
        <w:rPr>
          <w:rFonts w:hint="cs"/>
          <w:rtl/>
          <w:lang w:bidi="ar-EG"/>
        </w:rPr>
        <w:t xml:space="preserve">تعتبر </w:t>
      </w:r>
      <w:r w:rsidR="00F315F0">
        <w:rPr>
          <w:rFonts w:hint="cs"/>
          <w:rtl/>
          <w:lang w:bidi="ar-EG"/>
        </w:rPr>
        <w:t xml:space="preserve">مواضيع تحظى بأولوية عالية في فترة الدراسة </w:t>
      </w:r>
      <w:r w:rsidR="00F315F0">
        <w:rPr>
          <w:lang w:bidi="ar-EG"/>
        </w:rPr>
        <w:t>2020-2017</w:t>
      </w:r>
      <w:r w:rsidR="004555C9">
        <w:rPr>
          <w:rFonts w:hint="cs"/>
          <w:rtl/>
          <w:lang w:bidi="ar-EG"/>
        </w:rPr>
        <w:t xml:space="preserve"> </w:t>
      </w:r>
      <w:r w:rsidR="004C167C">
        <w:rPr>
          <w:rFonts w:hint="cs"/>
          <w:rtl/>
          <w:lang w:bidi="ar-EG"/>
        </w:rPr>
        <w:t>لا سيما</w:t>
      </w:r>
      <w:r w:rsidR="004555C9">
        <w:rPr>
          <w:rFonts w:hint="cs"/>
          <w:rtl/>
          <w:lang w:bidi="ar-EG"/>
        </w:rPr>
        <w:t xml:space="preserve"> في مجالات الشبكات المعرّفة بالبرمجيات وإنترنت الأشياء والمدن الذكية؛</w:t>
      </w:r>
    </w:p>
    <w:p w:rsidR="00093D3C" w:rsidRPr="007236AB" w:rsidRDefault="00093D3C" w:rsidP="00BC6FF1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A33B46">
        <w:rPr>
          <w:rFonts w:hint="cs"/>
          <w:rtl/>
          <w:lang w:bidi="ar-EG"/>
        </w:rPr>
        <w:t xml:space="preserve">تكليف لجان دراسات قطاع تقييس الاتصالات وتحديداً لجان الدراسات </w:t>
      </w:r>
      <w:r w:rsidR="00A33B46">
        <w:rPr>
          <w:lang w:bidi="ar-EG"/>
        </w:rPr>
        <w:t>3</w:t>
      </w:r>
      <w:r w:rsidR="00A33B46">
        <w:rPr>
          <w:rFonts w:hint="cs"/>
          <w:rtl/>
          <w:lang w:bidi="ar-EG"/>
        </w:rPr>
        <w:t xml:space="preserve"> و</w:t>
      </w:r>
      <w:r w:rsidR="00A33B46">
        <w:rPr>
          <w:lang w:bidi="ar-EG"/>
        </w:rPr>
        <w:t>13</w:t>
      </w:r>
      <w:r w:rsidR="00A33B46">
        <w:rPr>
          <w:rFonts w:hint="cs"/>
          <w:rtl/>
          <w:lang w:bidi="ar-EG"/>
        </w:rPr>
        <w:t xml:space="preserve"> و</w:t>
      </w:r>
      <w:r w:rsidR="00A33B46">
        <w:rPr>
          <w:lang w:bidi="ar-EG"/>
        </w:rPr>
        <w:t>17</w:t>
      </w:r>
      <w:r w:rsidR="00A33B46">
        <w:rPr>
          <w:rFonts w:hint="cs"/>
          <w:rtl/>
          <w:lang w:bidi="ar-EG"/>
        </w:rPr>
        <w:t xml:space="preserve"> و</w:t>
      </w:r>
      <w:r w:rsidR="00A33B46">
        <w:rPr>
          <w:lang w:bidi="ar-EG"/>
        </w:rPr>
        <w:t>20</w:t>
      </w:r>
      <w:r w:rsidR="00A33B46">
        <w:rPr>
          <w:rFonts w:hint="cs"/>
          <w:rtl/>
          <w:lang w:bidi="ar-EG"/>
        </w:rPr>
        <w:t xml:space="preserve"> بالتعجيل بإعداد توصيات وورقات تقنية </w:t>
      </w:r>
      <w:r w:rsidR="00CA3938">
        <w:rPr>
          <w:rFonts w:hint="cs"/>
          <w:rtl/>
          <w:lang w:bidi="ar-EG"/>
        </w:rPr>
        <w:t xml:space="preserve">وكتيبات وغيرها من المنشورات </w:t>
      </w:r>
      <w:r w:rsidR="007236AB">
        <w:rPr>
          <w:rFonts w:hint="cs"/>
          <w:rtl/>
          <w:lang w:bidi="ar-EG"/>
        </w:rPr>
        <w:t xml:space="preserve">للوفاء بغرض الفقرة </w:t>
      </w:r>
      <w:r w:rsidR="007236AB" w:rsidRPr="008F6A03">
        <w:rPr>
          <w:rFonts w:hint="cs"/>
          <w:i/>
          <w:iCs/>
          <w:rtl/>
          <w:lang w:bidi="ar-EG"/>
        </w:rPr>
        <w:t>تقرر</w:t>
      </w:r>
      <w:r w:rsidR="007236AB">
        <w:rPr>
          <w:rFonts w:hint="cs"/>
          <w:rtl/>
          <w:lang w:bidi="ar-EG"/>
        </w:rPr>
        <w:t xml:space="preserve"> </w:t>
      </w:r>
      <w:r w:rsidR="007236AB">
        <w:rPr>
          <w:lang w:bidi="ar-EG"/>
        </w:rPr>
        <w:t>1</w:t>
      </w:r>
      <w:r w:rsidR="007236AB">
        <w:rPr>
          <w:rFonts w:hint="cs"/>
          <w:rtl/>
          <w:lang w:bidi="ar-EG"/>
        </w:rPr>
        <w:t xml:space="preserve"> أعلاه بهدف تنفيذ مبدأ الخصوصية عند التصميم؛</w:t>
      </w:r>
    </w:p>
    <w:p w:rsidR="00093D3C" w:rsidRDefault="00093D3C" w:rsidP="00A41128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0B1F09">
        <w:rPr>
          <w:rFonts w:hint="cs"/>
          <w:rtl/>
          <w:lang w:bidi="ar-EG"/>
        </w:rPr>
        <w:t xml:space="preserve">أن يواصل قطاع تقييس الاتصالات، في مجال عمله </w:t>
      </w:r>
      <w:r w:rsidR="00F01077">
        <w:rPr>
          <w:rFonts w:hint="cs"/>
          <w:rtl/>
          <w:lang w:bidi="ar-EG"/>
        </w:rPr>
        <w:t>واختصاصه</w:t>
      </w:r>
      <w:r w:rsidR="000B1F09">
        <w:rPr>
          <w:rFonts w:hint="cs"/>
          <w:rtl/>
          <w:lang w:bidi="ar-EG"/>
        </w:rPr>
        <w:t xml:space="preserve">، إذكاء الوعي بالحاجة إلى ضمان خصوصية البيانات وجعل البنية التحتية لتكنولوجيا المعلومات والاتصالات وخدماتها جديرة بالثقة، وأن يواصل تعزيز التعاون بين المنظمات الدولية والإقليمية </w:t>
      </w:r>
      <w:r w:rsidR="00F734F8">
        <w:rPr>
          <w:rFonts w:hint="cs"/>
          <w:rtl/>
          <w:lang w:bidi="ar-EG"/>
        </w:rPr>
        <w:t>المختصة</w:t>
      </w:r>
      <w:r w:rsidR="000B1F09">
        <w:rPr>
          <w:rFonts w:hint="cs"/>
          <w:rtl/>
          <w:lang w:bidi="ar-EG"/>
        </w:rPr>
        <w:t xml:space="preserve"> من أجل تعزيز تبادل المعلومات التقنية في مجال الخصوصية والثقة؛</w:t>
      </w:r>
    </w:p>
    <w:p w:rsidR="00093D3C" w:rsidRPr="008D3496" w:rsidRDefault="00093D3C" w:rsidP="00A41128">
      <w:pPr>
        <w:rPr>
          <w:rtl/>
          <w:lang w:bidi="ar-EG"/>
        </w:rPr>
      </w:pPr>
      <w:r w:rsidRPr="008D3496">
        <w:rPr>
          <w:lang w:bidi="ar-EG"/>
        </w:rPr>
        <w:lastRenderedPageBreak/>
        <w:t>4</w:t>
      </w:r>
      <w:r w:rsidRPr="008D3496">
        <w:rPr>
          <w:lang w:bidi="ar-EG"/>
        </w:rPr>
        <w:tab/>
      </w:r>
      <w:r w:rsidR="00D93C88" w:rsidRPr="008D3496">
        <w:rPr>
          <w:rFonts w:hint="cs"/>
          <w:rtl/>
          <w:lang w:bidi="ar-EG"/>
        </w:rPr>
        <w:t>أن يعمل قطاع تقييس الاتصالات بشكل وثيق مع قطاع تنمية الاتصالات وفقاً لهدف قطاع</w:t>
      </w:r>
      <w:r w:rsidR="00A41128" w:rsidRPr="008D3496">
        <w:rPr>
          <w:rFonts w:hint="cs"/>
          <w:rtl/>
          <w:lang w:bidi="ar-EG"/>
        </w:rPr>
        <w:t xml:space="preserve"> التنمية</w:t>
      </w:r>
      <w:r w:rsidR="00D93C88" w:rsidRPr="008D3496">
        <w:rPr>
          <w:rFonts w:hint="cs"/>
          <w:rtl/>
          <w:lang w:bidi="ar-EG"/>
        </w:rPr>
        <w:t xml:space="preserve"> المتمثل في</w:t>
      </w:r>
      <w:r w:rsidR="00A41128" w:rsidRPr="008D3496">
        <w:rPr>
          <w:rFonts w:hint="eastAsia"/>
          <w:rtl/>
          <w:lang w:bidi="ar-EG"/>
        </w:rPr>
        <w:t> </w:t>
      </w:r>
      <w:r w:rsidR="00D93C88" w:rsidRPr="008D3496">
        <w:rPr>
          <w:rFonts w:hint="cs"/>
          <w:rtl/>
          <w:lang w:bidi="ar-EG"/>
        </w:rPr>
        <w:t>تعزيز الثقة والأمن في</w:t>
      </w:r>
      <w:r w:rsidR="00A41128" w:rsidRPr="008D3496">
        <w:rPr>
          <w:rFonts w:hint="eastAsia"/>
          <w:rtl/>
          <w:lang w:bidi="ar-EG"/>
        </w:rPr>
        <w:t> </w:t>
      </w:r>
      <w:r w:rsidR="00D93C88" w:rsidRPr="008D3496">
        <w:rPr>
          <w:rFonts w:hint="cs"/>
          <w:rtl/>
          <w:lang w:bidi="ar-EG"/>
        </w:rPr>
        <w:t>استخدام الاتصالات/تكنولوجيا المعلومات والاتصالات على النحو المبين في الخطة الاستراتيجية للاتحاد للفترة</w:t>
      </w:r>
      <w:r w:rsidR="00A41128" w:rsidRPr="008D3496">
        <w:rPr>
          <w:rFonts w:hint="eastAsia"/>
          <w:rtl/>
          <w:lang w:bidi="ar-EG"/>
        </w:rPr>
        <w:t> </w:t>
      </w:r>
      <w:r w:rsidR="00D93C88" w:rsidRPr="008D3496">
        <w:rPr>
          <w:lang w:bidi="ar-EG"/>
        </w:rPr>
        <w:t>2019</w:t>
      </w:r>
      <w:r w:rsidR="00A41128" w:rsidRPr="008D3496">
        <w:rPr>
          <w:lang w:bidi="ar-EG"/>
        </w:rPr>
        <w:noBreakHyphen/>
      </w:r>
      <w:r w:rsidR="00D93C88" w:rsidRPr="008D3496">
        <w:rPr>
          <w:lang w:bidi="ar-EG"/>
        </w:rPr>
        <w:t>2016</w:t>
      </w:r>
      <w:r w:rsidR="00D93C88" w:rsidRPr="008D3496">
        <w:rPr>
          <w:rFonts w:hint="cs"/>
          <w:rtl/>
          <w:lang w:bidi="ar-EG"/>
        </w:rPr>
        <w:t>؛</w:t>
      </w:r>
    </w:p>
    <w:p w:rsidR="00093D3C" w:rsidRPr="001C608E" w:rsidRDefault="00093D3C" w:rsidP="00A41128">
      <w:pPr>
        <w:rPr>
          <w:rtl/>
          <w:lang w:bidi="ar-EG"/>
        </w:rPr>
      </w:pPr>
      <w:r w:rsidRPr="001C608E">
        <w:rPr>
          <w:lang w:bidi="ar-EG"/>
        </w:rPr>
        <w:t>5</w:t>
      </w:r>
      <w:r w:rsidRPr="001C608E">
        <w:rPr>
          <w:lang w:bidi="ar-EG"/>
        </w:rPr>
        <w:tab/>
      </w:r>
      <w:r w:rsidR="007E7B2C" w:rsidRPr="001C608E">
        <w:rPr>
          <w:rFonts w:hint="cs"/>
          <w:rtl/>
          <w:lang w:bidi="ar-EG"/>
        </w:rPr>
        <w:t>أن تكلف لجنة الدراسات</w:t>
      </w:r>
      <w:r w:rsidR="00A41128" w:rsidRPr="001C608E">
        <w:rPr>
          <w:rFonts w:hint="eastAsia"/>
          <w:rtl/>
          <w:lang w:bidi="ar-EG"/>
        </w:rPr>
        <w:t> </w:t>
      </w:r>
      <w:r w:rsidR="007E7B2C" w:rsidRPr="001C608E">
        <w:rPr>
          <w:lang w:bidi="ar-EG"/>
        </w:rPr>
        <w:t>20</w:t>
      </w:r>
      <w:r w:rsidR="007E7B2C" w:rsidRPr="001C608E">
        <w:rPr>
          <w:rFonts w:hint="cs"/>
          <w:rtl/>
          <w:lang w:bidi="ar-EG"/>
        </w:rPr>
        <w:t xml:space="preserve"> لقطاع تقييس الاتصالات بإعادة تنظيم هيكلها لتوسيع </w:t>
      </w:r>
      <w:r w:rsidR="00387970" w:rsidRPr="001C608E">
        <w:rPr>
          <w:rFonts w:hint="cs"/>
          <w:rtl/>
          <w:lang w:bidi="ar-EG"/>
        </w:rPr>
        <w:t xml:space="preserve">وتسريع </w:t>
      </w:r>
      <w:r w:rsidR="007E7B2C" w:rsidRPr="001C608E">
        <w:rPr>
          <w:rFonts w:hint="cs"/>
          <w:rtl/>
          <w:lang w:bidi="ar-EG"/>
        </w:rPr>
        <w:t xml:space="preserve">العمل </w:t>
      </w:r>
      <w:r w:rsidR="00387970" w:rsidRPr="001C608E">
        <w:rPr>
          <w:rFonts w:hint="cs"/>
          <w:rtl/>
          <w:lang w:bidi="ar-EG"/>
        </w:rPr>
        <w:t>المتعلق</w:t>
      </w:r>
      <w:r w:rsidR="007E7B2C" w:rsidRPr="001C608E">
        <w:rPr>
          <w:rFonts w:hint="cs"/>
          <w:rtl/>
          <w:lang w:bidi="ar-EG"/>
        </w:rPr>
        <w:t xml:space="preserve"> بخصوصية </w:t>
      </w:r>
      <w:r w:rsidR="00A41128" w:rsidRPr="001C608E">
        <w:rPr>
          <w:rFonts w:hint="cs"/>
          <w:rtl/>
          <w:lang w:bidi="ar-EG"/>
        </w:rPr>
        <w:t>البيانات</w:t>
      </w:r>
      <w:r w:rsidR="007E7B2C" w:rsidRPr="001C608E">
        <w:rPr>
          <w:rFonts w:hint="cs"/>
          <w:rtl/>
          <w:lang w:bidi="ar-EG"/>
        </w:rPr>
        <w:t xml:space="preserve"> والثقة وفقاً لهذا القرار،</w:t>
      </w:r>
    </w:p>
    <w:p w:rsidR="00093D3C" w:rsidRPr="00BC6FF1" w:rsidRDefault="00DB0348" w:rsidP="00BC6FF1">
      <w:pPr>
        <w:pStyle w:val="Call"/>
        <w:rPr>
          <w:rtl/>
        </w:rPr>
      </w:pPr>
      <w:r w:rsidRPr="00BC6FF1">
        <w:rPr>
          <w:rFonts w:hint="cs"/>
          <w:rtl/>
        </w:rPr>
        <w:t>تكلف مدير مكتب تقييس الاتصالات</w:t>
      </w:r>
    </w:p>
    <w:p w:rsidR="00267A3D" w:rsidRDefault="00267A3D" w:rsidP="00A41128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48364E">
        <w:rPr>
          <w:rFonts w:hint="cs"/>
          <w:rtl/>
          <w:lang w:bidi="ar-EG"/>
        </w:rPr>
        <w:t>بالنظر، كلما أمكن ذلك، في تنظيم ورش عمل تتناول قضايا الخصوص</w:t>
      </w:r>
      <w:r w:rsidR="00E3240D">
        <w:rPr>
          <w:rFonts w:hint="cs"/>
          <w:rtl/>
          <w:lang w:bidi="ar-EG"/>
        </w:rPr>
        <w:t>ية</w:t>
      </w:r>
      <w:r w:rsidR="0048364E">
        <w:rPr>
          <w:rFonts w:hint="cs"/>
          <w:rtl/>
          <w:lang w:bidi="ar-EG"/>
        </w:rPr>
        <w:t xml:space="preserve"> والثقة في البنية التحتية لتكنولوجيا المعلومات والاتصالات</w:t>
      </w:r>
      <w:r w:rsidR="00A41128">
        <w:rPr>
          <w:rFonts w:hint="eastAsia"/>
          <w:rtl/>
          <w:lang w:bidi="ar-EG"/>
        </w:rPr>
        <w:t> </w:t>
      </w:r>
      <w:r w:rsidR="0048364E">
        <w:rPr>
          <w:rFonts w:hint="cs"/>
          <w:rtl/>
          <w:lang w:bidi="ar-EG"/>
        </w:rPr>
        <w:t>وخدماتها؛</w:t>
      </w:r>
    </w:p>
    <w:p w:rsidR="007C2D27" w:rsidRDefault="007C2D27" w:rsidP="00BC6FF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2E41E9">
        <w:rPr>
          <w:rFonts w:hint="cs"/>
          <w:rtl/>
          <w:lang w:bidi="ar-EG"/>
        </w:rPr>
        <w:t xml:space="preserve">بالتعاون مع مكتب تنمية الاتصالات </w:t>
      </w:r>
      <w:r w:rsidR="006C0609">
        <w:rPr>
          <w:rFonts w:hint="cs"/>
          <w:rtl/>
          <w:lang w:bidi="ar-EG"/>
        </w:rPr>
        <w:t>بشأن</w:t>
      </w:r>
      <w:r w:rsidR="002E41E9">
        <w:rPr>
          <w:rFonts w:hint="cs"/>
          <w:rtl/>
          <w:lang w:bidi="ar-EG"/>
        </w:rPr>
        <w:t xml:space="preserve"> أي بند </w:t>
      </w:r>
      <w:r w:rsidR="00E50362">
        <w:rPr>
          <w:rFonts w:hint="cs"/>
          <w:rtl/>
          <w:lang w:bidi="ar-EG"/>
        </w:rPr>
        <w:t>يتعلق بالخصوصية أو الثقة،</w:t>
      </w:r>
    </w:p>
    <w:p w:rsidR="00CF63DA" w:rsidRPr="00A41128" w:rsidRDefault="00CF63DA" w:rsidP="00A41128">
      <w:pPr>
        <w:pStyle w:val="Call"/>
        <w:rPr>
          <w:rtl/>
        </w:rPr>
      </w:pPr>
      <w:r w:rsidRPr="00A41128">
        <w:rPr>
          <w:rFonts w:hint="cs"/>
          <w:rtl/>
        </w:rPr>
        <w:t>تكلف مدير مكتب تقييس الاتصالات، بالتعاون</w:t>
      </w:r>
      <w:r w:rsidR="0084707E">
        <w:rPr>
          <w:rFonts w:hint="cs"/>
          <w:rtl/>
        </w:rPr>
        <w:t xml:space="preserve"> الوثيق</w:t>
      </w:r>
      <w:r w:rsidRPr="00A41128">
        <w:rPr>
          <w:rFonts w:hint="cs"/>
          <w:rtl/>
        </w:rPr>
        <w:t xml:space="preserve"> مع مدير مكتب تنمية الاتصالات</w:t>
      </w:r>
    </w:p>
    <w:p w:rsidR="00CF63DA" w:rsidRPr="00267A3D" w:rsidRDefault="00CF63DA" w:rsidP="00BC6FF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بمساعدة الدول الأعضاء، لا سيما البلدان </w:t>
      </w:r>
      <w:r w:rsidR="008202B1">
        <w:rPr>
          <w:rFonts w:hint="cs"/>
          <w:rtl/>
          <w:lang w:bidi="ar-EG"/>
        </w:rPr>
        <w:t>النامية، في معالجة شواغلها فيما</w:t>
      </w:r>
      <w:r w:rsidR="008202B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بالخصوصية والثقة</w:t>
      </w:r>
      <w:r w:rsidR="00EE55A2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من خلال تبادل المعلومات على المستوى الإقليمي أو العالمي،</w:t>
      </w:r>
    </w:p>
    <w:p w:rsidR="00950948" w:rsidRPr="00A41128" w:rsidRDefault="00950948" w:rsidP="00A41128">
      <w:pPr>
        <w:pStyle w:val="Call"/>
        <w:rPr>
          <w:rtl/>
        </w:rPr>
      </w:pPr>
      <w:r w:rsidRPr="00A41128">
        <w:rPr>
          <w:rFonts w:hint="cs"/>
          <w:rtl/>
        </w:rPr>
        <w:t>تدعو الدول الأعضاء</w:t>
      </w:r>
      <w:r w:rsidR="006F5F86" w:rsidRPr="00A41128">
        <w:rPr>
          <w:rFonts w:hint="cs"/>
          <w:rtl/>
        </w:rPr>
        <w:t xml:space="preserve"> إلى</w:t>
      </w:r>
    </w:p>
    <w:p w:rsidR="00950948" w:rsidRDefault="00950948" w:rsidP="00A41128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077200">
        <w:rPr>
          <w:rFonts w:hint="cs"/>
          <w:rtl/>
          <w:lang w:bidi="ar-EG"/>
        </w:rPr>
        <w:t xml:space="preserve">تنفيذ الإجراءات التنظيمية المطلوبة لضمان الخصوصية </w:t>
      </w:r>
      <w:r w:rsidR="00A41128">
        <w:rPr>
          <w:rFonts w:hint="cs"/>
          <w:rtl/>
          <w:lang w:bidi="ar-EG"/>
        </w:rPr>
        <w:t>والثقة</w:t>
      </w:r>
      <w:r w:rsidR="00077200">
        <w:rPr>
          <w:rFonts w:hint="cs"/>
          <w:rtl/>
          <w:lang w:bidi="ar-EG"/>
        </w:rPr>
        <w:t>؛</w:t>
      </w:r>
    </w:p>
    <w:p w:rsidR="00950948" w:rsidRDefault="00950948" w:rsidP="00A41128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077200">
        <w:rPr>
          <w:rFonts w:hint="cs"/>
          <w:rtl/>
          <w:lang w:bidi="ar-EG"/>
        </w:rPr>
        <w:t xml:space="preserve">إذكاء الوعي بهذه القضايا واتخاذ جميع التدابير اللامة لضمان خصوصية </w:t>
      </w:r>
      <w:r w:rsidR="00A41128">
        <w:rPr>
          <w:rFonts w:hint="cs"/>
          <w:rtl/>
          <w:lang w:bidi="ar-EG"/>
        </w:rPr>
        <w:t>البيانات</w:t>
      </w:r>
      <w:r w:rsidR="00077200">
        <w:rPr>
          <w:rFonts w:hint="cs"/>
          <w:rtl/>
          <w:lang w:bidi="ar-EG"/>
        </w:rPr>
        <w:t xml:space="preserve"> والثقة في البنى التحتية لتكنولوجيا المعلومات والاتصالات وخدماتها؛ والتعاون وتبادل الخبرات؛</w:t>
      </w:r>
    </w:p>
    <w:p w:rsidR="00950948" w:rsidRPr="003B4C99" w:rsidRDefault="00950948" w:rsidP="00AE1745">
      <w:pPr>
        <w:rPr>
          <w:rtl/>
          <w:lang w:bidi="ar-EG"/>
        </w:rPr>
      </w:pPr>
      <w:r w:rsidRPr="003B4C99">
        <w:rPr>
          <w:lang w:bidi="ar-EG"/>
        </w:rPr>
        <w:t>3</w:t>
      </w:r>
      <w:r w:rsidRPr="003B4C99">
        <w:rPr>
          <w:lang w:bidi="ar-EG"/>
        </w:rPr>
        <w:tab/>
      </w:r>
      <w:r w:rsidR="000C4F6D" w:rsidRPr="003B4C99">
        <w:rPr>
          <w:rFonts w:hint="cs"/>
          <w:rtl/>
          <w:lang w:bidi="ar-EG"/>
        </w:rPr>
        <w:t>المشاركة بفعالية في دراسات الاتحاد المتصلة بالثقة في البنى التحتية لتكنولوجيا المعلومات والاتصالات وخدماتها من</w:t>
      </w:r>
      <w:r w:rsidR="00AE1745" w:rsidRPr="003B4C99">
        <w:rPr>
          <w:rFonts w:hint="eastAsia"/>
          <w:rtl/>
          <w:lang w:bidi="ar-EG"/>
        </w:rPr>
        <w:t> </w:t>
      </w:r>
      <w:r w:rsidR="000C4F6D" w:rsidRPr="003B4C99">
        <w:rPr>
          <w:rFonts w:hint="cs"/>
          <w:rtl/>
          <w:lang w:bidi="ar-EG"/>
        </w:rPr>
        <w:t>خلال تقديم</w:t>
      </w:r>
      <w:r w:rsidR="00AE1745" w:rsidRPr="003B4C99">
        <w:rPr>
          <w:rFonts w:hint="eastAsia"/>
          <w:rtl/>
          <w:lang w:bidi="ar-EG"/>
        </w:rPr>
        <w:t> </w:t>
      </w:r>
      <w:r w:rsidR="000C4F6D" w:rsidRPr="003B4C99">
        <w:rPr>
          <w:rFonts w:hint="cs"/>
          <w:rtl/>
          <w:lang w:bidi="ar-EG"/>
        </w:rPr>
        <w:t>مساهمات.</w:t>
      </w:r>
    </w:p>
    <w:p w:rsidR="00946525" w:rsidRPr="001B16B2" w:rsidRDefault="00946525" w:rsidP="00AE1745">
      <w:pPr>
        <w:pStyle w:val="Reasons"/>
        <w:rPr>
          <w:rFonts w:hint="cs"/>
          <w:b w:val="0"/>
          <w:bCs w:val="0"/>
          <w:rtl/>
          <w:lang w:bidi="ar-EG"/>
        </w:rPr>
      </w:pPr>
    </w:p>
    <w:p w:rsidR="00950948" w:rsidRPr="00950948" w:rsidRDefault="00950948" w:rsidP="00BC6FF1">
      <w:pPr>
        <w:spacing w:before="600"/>
        <w:jc w:val="center"/>
      </w:pPr>
      <w:r>
        <w:rPr>
          <w:rFonts w:hint="cs"/>
          <w:rtl/>
        </w:rPr>
        <w:t>___________</w:t>
      </w:r>
    </w:p>
    <w:sectPr w:rsidR="00950948" w:rsidRPr="00950948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F30CD" w:rsidRDefault="00E07379" w:rsidP="0018137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F30CD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56425">
      <w:rPr>
        <w:rFonts w:cs="Times New Roman"/>
        <w:noProof/>
        <w:sz w:val="16"/>
        <w:szCs w:val="16"/>
        <w:lang w:val="fr-CH"/>
      </w:rPr>
      <w:t>P:\ARA\ITU-T\CONF-T\WTSA16\000\043ADD28A.docx</w:t>
    </w:r>
    <w:r w:rsidRPr="00E07379">
      <w:rPr>
        <w:rFonts w:cs="Times New Roman"/>
        <w:sz w:val="16"/>
        <w:szCs w:val="16"/>
      </w:rPr>
      <w:fldChar w:fldCharType="end"/>
    </w:r>
    <w:r w:rsidR="00181371">
      <w:rPr>
        <w:rFonts w:cs="Times New Roman"/>
        <w:sz w:val="16"/>
        <w:szCs w:val="16"/>
        <w:lang w:val="fr-CH"/>
      </w:rPr>
      <w:t>   </w:t>
    </w:r>
    <w:r w:rsidR="007670E6" w:rsidRPr="002F30CD">
      <w:rPr>
        <w:rFonts w:cs="Times New Roman"/>
        <w:sz w:val="16"/>
        <w:szCs w:val="16"/>
        <w:lang w:val="fr-CH"/>
      </w:rPr>
      <w:t>(406449)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7670E6" w:rsidRDefault="0022345D" w:rsidP="00181371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7670E6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181371">
      <w:rPr>
        <w:noProof/>
        <w:szCs w:val="12"/>
        <w:lang w:val="fr-CH"/>
      </w:rPr>
      <w:t>P:\ARA\ITU-T\CONF-T\WTSA16\000\043ADD28A.docx</w:t>
    </w:r>
    <w:r w:rsidRPr="0022345D">
      <w:rPr>
        <w:szCs w:val="12"/>
      </w:rPr>
      <w:fldChar w:fldCharType="end"/>
    </w:r>
    <w:r w:rsidR="00181371">
      <w:rPr>
        <w:szCs w:val="12"/>
        <w:lang w:val="fr-CH"/>
      </w:rPr>
      <w:t>   </w:t>
    </w:r>
    <w:r w:rsidR="007670E6" w:rsidRPr="007670E6">
      <w:rPr>
        <w:szCs w:val="12"/>
        <w:lang w:val="fr-CH"/>
      </w:rPr>
      <w:t>(</w:t>
    </w:r>
    <w:r w:rsidR="007670E6">
      <w:rPr>
        <w:szCs w:val="12"/>
        <w:lang w:val="fr-CH"/>
      </w:rPr>
      <w:t>406449</w:t>
    </w:r>
    <w:r w:rsidR="007670E6" w:rsidRPr="007670E6">
      <w:rPr>
        <w:szCs w:val="12"/>
        <w:lang w:val="fr-CH"/>
      </w:rPr>
      <w:t>)</w:t>
    </w:r>
  </w:p>
  <w:p w:rsidR="00E07379" w:rsidRPr="007670E6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D22C9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WTSA16/43(Add.28)-A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2838"/>
    <w:rsid w:val="00046444"/>
    <w:rsid w:val="0006023B"/>
    <w:rsid w:val="00077200"/>
    <w:rsid w:val="0008638B"/>
    <w:rsid w:val="00090574"/>
    <w:rsid w:val="0009190A"/>
    <w:rsid w:val="00092FC2"/>
    <w:rsid w:val="00093D3C"/>
    <w:rsid w:val="000A1677"/>
    <w:rsid w:val="000B1F09"/>
    <w:rsid w:val="000B407F"/>
    <w:rsid w:val="000C4F6D"/>
    <w:rsid w:val="000C77F2"/>
    <w:rsid w:val="000C7930"/>
    <w:rsid w:val="000D3CF9"/>
    <w:rsid w:val="000F0B1C"/>
    <w:rsid w:val="000F1D42"/>
    <w:rsid w:val="000F4D07"/>
    <w:rsid w:val="00102A03"/>
    <w:rsid w:val="001040A3"/>
    <w:rsid w:val="001056DD"/>
    <w:rsid w:val="00173915"/>
    <w:rsid w:val="00181371"/>
    <w:rsid w:val="001B16B2"/>
    <w:rsid w:val="001C608E"/>
    <w:rsid w:val="001D703D"/>
    <w:rsid w:val="0022345D"/>
    <w:rsid w:val="00225854"/>
    <w:rsid w:val="0023283D"/>
    <w:rsid w:val="00252E0C"/>
    <w:rsid w:val="00267A3D"/>
    <w:rsid w:val="00276881"/>
    <w:rsid w:val="00295197"/>
    <w:rsid w:val="002978F4"/>
    <w:rsid w:val="002A1854"/>
    <w:rsid w:val="002B028D"/>
    <w:rsid w:val="002B435E"/>
    <w:rsid w:val="002C3EA2"/>
    <w:rsid w:val="002C4DAE"/>
    <w:rsid w:val="002E41E9"/>
    <w:rsid w:val="002E6541"/>
    <w:rsid w:val="002F30CD"/>
    <w:rsid w:val="002F5560"/>
    <w:rsid w:val="0030486B"/>
    <w:rsid w:val="003231B9"/>
    <w:rsid w:val="003275AC"/>
    <w:rsid w:val="00333D29"/>
    <w:rsid w:val="003409F4"/>
    <w:rsid w:val="00357185"/>
    <w:rsid w:val="003767F0"/>
    <w:rsid w:val="00386F52"/>
    <w:rsid w:val="00387970"/>
    <w:rsid w:val="003B4C99"/>
    <w:rsid w:val="003C475F"/>
    <w:rsid w:val="003E4132"/>
    <w:rsid w:val="003F678F"/>
    <w:rsid w:val="0042686F"/>
    <w:rsid w:val="004367CE"/>
    <w:rsid w:val="00443869"/>
    <w:rsid w:val="004555C9"/>
    <w:rsid w:val="004712C6"/>
    <w:rsid w:val="00471407"/>
    <w:rsid w:val="00475B58"/>
    <w:rsid w:val="004778AC"/>
    <w:rsid w:val="0048364E"/>
    <w:rsid w:val="00497703"/>
    <w:rsid w:val="004C167C"/>
    <w:rsid w:val="004E69DA"/>
    <w:rsid w:val="004F0F06"/>
    <w:rsid w:val="00501E0E"/>
    <w:rsid w:val="00510961"/>
    <w:rsid w:val="005204D7"/>
    <w:rsid w:val="005217C4"/>
    <w:rsid w:val="0053499C"/>
    <w:rsid w:val="00552BC5"/>
    <w:rsid w:val="0055516A"/>
    <w:rsid w:val="0056374C"/>
    <w:rsid w:val="0056614F"/>
    <w:rsid w:val="0057656F"/>
    <w:rsid w:val="00576731"/>
    <w:rsid w:val="0059285F"/>
    <w:rsid w:val="00592CC1"/>
    <w:rsid w:val="005A24B1"/>
    <w:rsid w:val="005B7B8A"/>
    <w:rsid w:val="005C2C05"/>
    <w:rsid w:val="005D31F7"/>
    <w:rsid w:val="005D6476"/>
    <w:rsid w:val="005D6C0D"/>
    <w:rsid w:val="005E5283"/>
    <w:rsid w:val="005E58F5"/>
    <w:rsid w:val="00606660"/>
    <w:rsid w:val="006157A3"/>
    <w:rsid w:val="00620E60"/>
    <w:rsid w:val="00631BE9"/>
    <w:rsid w:val="0063315A"/>
    <w:rsid w:val="0064420C"/>
    <w:rsid w:val="00645C1E"/>
    <w:rsid w:val="00652DA6"/>
    <w:rsid w:val="0065591D"/>
    <w:rsid w:val="00662C5A"/>
    <w:rsid w:val="00663D7D"/>
    <w:rsid w:val="00670AF5"/>
    <w:rsid w:val="00677F85"/>
    <w:rsid w:val="00683DF6"/>
    <w:rsid w:val="006C0609"/>
    <w:rsid w:val="006C1556"/>
    <w:rsid w:val="006F267F"/>
    <w:rsid w:val="006F5F86"/>
    <w:rsid w:val="006F63F7"/>
    <w:rsid w:val="006F6F03"/>
    <w:rsid w:val="00700EDA"/>
    <w:rsid w:val="00706D7A"/>
    <w:rsid w:val="007236AB"/>
    <w:rsid w:val="00726AEC"/>
    <w:rsid w:val="007273B5"/>
    <w:rsid w:val="007300AB"/>
    <w:rsid w:val="00731EA9"/>
    <w:rsid w:val="007530CA"/>
    <w:rsid w:val="007670E6"/>
    <w:rsid w:val="0079553D"/>
    <w:rsid w:val="007A6434"/>
    <w:rsid w:val="007B01CC"/>
    <w:rsid w:val="007C1F06"/>
    <w:rsid w:val="007C2D27"/>
    <w:rsid w:val="007C4370"/>
    <w:rsid w:val="007E7B2C"/>
    <w:rsid w:val="007F646C"/>
    <w:rsid w:val="007F739D"/>
    <w:rsid w:val="00801FCD"/>
    <w:rsid w:val="00803D7E"/>
    <w:rsid w:val="00803F08"/>
    <w:rsid w:val="00805321"/>
    <w:rsid w:val="008202B1"/>
    <w:rsid w:val="008235CD"/>
    <w:rsid w:val="00823A07"/>
    <w:rsid w:val="00835FEC"/>
    <w:rsid w:val="00844428"/>
    <w:rsid w:val="0084707E"/>
    <w:rsid w:val="008513CB"/>
    <w:rsid w:val="00874D9C"/>
    <w:rsid w:val="00883233"/>
    <w:rsid w:val="008A1810"/>
    <w:rsid w:val="008A64B8"/>
    <w:rsid w:val="008B2E34"/>
    <w:rsid w:val="008B5424"/>
    <w:rsid w:val="008D3496"/>
    <w:rsid w:val="008D7B65"/>
    <w:rsid w:val="008E5AF6"/>
    <w:rsid w:val="008F6A03"/>
    <w:rsid w:val="00917694"/>
    <w:rsid w:val="009263CD"/>
    <w:rsid w:val="00930E6D"/>
    <w:rsid w:val="00946525"/>
    <w:rsid w:val="00950948"/>
    <w:rsid w:val="009607E1"/>
    <w:rsid w:val="00972CA2"/>
    <w:rsid w:val="00976A75"/>
    <w:rsid w:val="00982B28"/>
    <w:rsid w:val="00984EA5"/>
    <w:rsid w:val="00992593"/>
    <w:rsid w:val="009C17E1"/>
    <w:rsid w:val="009C35ED"/>
    <w:rsid w:val="009C5787"/>
    <w:rsid w:val="009F1C12"/>
    <w:rsid w:val="009F4EAB"/>
    <w:rsid w:val="00A23259"/>
    <w:rsid w:val="00A25A43"/>
    <w:rsid w:val="00A3295B"/>
    <w:rsid w:val="00A33B46"/>
    <w:rsid w:val="00A41128"/>
    <w:rsid w:val="00A42AE5"/>
    <w:rsid w:val="00A52B61"/>
    <w:rsid w:val="00A62442"/>
    <w:rsid w:val="00A64820"/>
    <w:rsid w:val="00A71DD6"/>
    <w:rsid w:val="00A723C7"/>
    <w:rsid w:val="00A80E11"/>
    <w:rsid w:val="00A97F94"/>
    <w:rsid w:val="00AB1309"/>
    <w:rsid w:val="00AC2C52"/>
    <w:rsid w:val="00AC698C"/>
    <w:rsid w:val="00AD1503"/>
    <w:rsid w:val="00AD7183"/>
    <w:rsid w:val="00AE1745"/>
    <w:rsid w:val="00AE7244"/>
    <w:rsid w:val="00AF3FEE"/>
    <w:rsid w:val="00B02F46"/>
    <w:rsid w:val="00B13FB6"/>
    <w:rsid w:val="00B2000C"/>
    <w:rsid w:val="00B20ADE"/>
    <w:rsid w:val="00B20EC8"/>
    <w:rsid w:val="00B45326"/>
    <w:rsid w:val="00B522F3"/>
    <w:rsid w:val="00B66B9A"/>
    <w:rsid w:val="00B82089"/>
    <w:rsid w:val="00B970AE"/>
    <w:rsid w:val="00BA1427"/>
    <w:rsid w:val="00BB4F1D"/>
    <w:rsid w:val="00BC6FF1"/>
    <w:rsid w:val="00BD0C78"/>
    <w:rsid w:val="00BE49D0"/>
    <w:rsid w:val="00BF06CD"/>
    <w:rsid w:val="00BF2C38"/>
    <w:rsid w:val="00BF2CDD"/>
    <w:rsid w:val="00C13710"/>
    <w:rsid w:val="00C23331"/>
    <w:rsid w:val="00C265DA"/>
    <w:rsid w:val="00C32519"/>
    <w:rsid w:val="00C3364D"/>
    <w:rsid w:val="00C442F2"/>
    <w:rsid w:val="00C62AA9"/>
    <w:rsid w:val="00C674FE"/>
    <w:rsid w:val="00C7297D"/>
    <w:rsid w:val="00C75633"/>
    <w:rsid w:val="00C8242E"/>
    <w:rsid w:val="00C82615"/>
    <w:rsid w:val="00C867DB"/>
    <w:rsid w:val="00C979B7"/>
    <w:rsid w:val="00CA2A38"/>
    <w:rsid w:val="00CA3938"/>
    <w:rsid w:val="00CA50FF"/>
    <w:rsid w:val="00CC3CD2"/>
    <w:rsid w:val="00CC43BE"/>
    <w:rsid w:val="00CC4AF5"/>
    <w:rsid w:val="00CD123C"/>
    <w:rsid w:val="00CD2085"/>
    <w:rsid w:val="00CD55B0"/>
    <w:rsid w:val="00CE2EE1"/>
    <w:rsid w:val="00CF280B"/>
    <w:rsid w:val="00CF3FFD"/>
    <w:rsid w:val="00CF63DA"/>
    <w:rsid w:val="00D00EC9"/>
    <w:rsid w:val="00D0494C"/>
    <w:rsid w:val="00D11E04"/>
    <w:rsid w:val="00D14BEB"/>
    <w:rsid w:val="00D21C89"/>
    <w:rsid w:val="00D45542"/>
    <w:rsid w:val="00D77D0F"/>
    <w:rsid w:val="00D80F77"/>
    <w:rsid w:val="00D93C88"/>
    <w:rsid w:val="00DA1CF0"/>
    <w:rsid w:val="00DB0348"/>
    <w:rsid w:val="00DB2271"/>
    <w:rsid w:val="00DB5659"/>
    <w:rsid w:val="00DC24B4"/>
    <w:rsid w:val="00DD7A05"/>
    <w:rsid w:val="00DE1FF8"/>
    <w:rsid w:val="00DF16DC"/>
    <w:rsid w:val="00DF5361"/>
    <w:rsid w:val="00E009A1"/>
    <w:rsid w:val="00E00D15"/>
    <w:rsid w:val="00E071BE"/>
    <w:rsid w:val="00E07379"/>
    <w:rsid w:val="00E1147C"/>
    <w:rsid w:val="00E14494"/>
    <w:rsid w:val="00E17033"/>
    <w:rsid w:val="00E32189"/>
    <w:rsid w:val="00E3240D"/>
    <w:rsid w:val="00E33CE5"/>
    <w:rsid w:val="00E43629"/>
    <w:rsid w:val="00E45211"/>
    <w:rsid w:val="00E50362"/>
    <w:rsid w:val="00E56425"/>
    <w:rsid w:val="00E61473"/>
    <w:rsid w:val="00E7380C"/>
    <w:rsid w:val="00E74BE7"/>
    <w:rsid w:val="00E86CC9"/>
    <w:rsid w:val="00E96624"/>
    <w:rsid w:val="00E968C4"/>
    <w:rsid w:val="00EA23C8"/>
    <w:rsid w:val="00EA4245"/>
    <w:rsid w:val="00EE55A2"/>
    <w:rsid w:val="00F01077"/>
    <w:rsid w:val="00F126F1"/>
    <w:rsid w:val="00F15809"/>
    <w:rsid w:val="00F2106A"/>
    <w:rsid w:val="00F27796"/>
    <w:rsid w:val="00F315F0"/>
    <w:rsid w:val="00F36D8B"/>
    <w:rsid w:val="00F401D0"/>
    <w:rsid w:val="00F45F2B"/>
    <w:rsid w:val="00F57AE4"/>
    <w:rsid w:val="00F67150"/>
    <w:rsid w:val="00F734F8"/>
    <w:rsid w:val="00F84366"/>
    <w:rsid w:val="00F85089"/>
    <w:rsid w:val="00F85564"/>
    <w:rsid w:val="00F86CFA"/>
    <w:rsid w:val="00FB7479"/>
    <w:rsid w:val="00FC1A61"/>
    <w:rsid w:val="00FD22C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C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985dee-e3d0-4e0f-82b2-71ca13b87e05" targetNamespace="http://schemas.microsoft.com/office/2006/metadata/properties" ma:root="true" ma:fieldsID="d41af5c836d734370eb92e7ee5f83852" ns2:_="" ns3:_="">
    <xsd:import namespace="996b2e75-67fd-4955-a3b0-5ab9934cb50b"/>
    <xsd:import namespace="0c985dee-e3d0-4e0f-82b2-71ca13b87e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5dee-e3d0-4e0f-82b2-71ca13b87e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985dee-e3d0-4e0f-82b2-71ca13b87e05">Documents Proposals Manager (DPM)</DPM_x0020_Author>
    <DPM_x0020_File_x0020_name xmlns="0c985dee-e3d0-4e0f-82b2-71ca13b87e05">T13-WTSA.16-C-0043!A28!MSW-A</DPM_x0020_File_x0020_name>
    <DPM_x0020_Version xmlns="0c985dee-e3d0-4e0f-82b2-71ca13b87e05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985dee-e3d0-4e0f-82b2-71ca13b8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0c985dee-e3d0-4e0f-82b2-71ca13b87e05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300ACE-B483-44C6-8BEC-4EFB180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T13-WTSA.16-C-0043!A28!MSW-A</vt:lpstr>
    </vt:vector>
  </TitlesOfParts>
  <Company>International Telecommunication Union (ITU)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T13-WTSA.16-C-0043!A28!MSW-A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28</cp:revision>
  <cp:lastPrinted>2016-10-21T14:53:00Z</cp:lastPrinted>
  <dcterms:created xsi:type="dcterms:W3CDTF">2016-10-21T14:20:00Z</dcterms:created>
  <dcterms:modified xsi:type="dcterms:W3CDTF">2016-10-21T15:35:00Z</dcterms:modified>
  <cp:category>Conference document</cp:category>
</cp:coreProperties>
</file>