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3D0D59" w:rsidTr="004B520A">
        <w:trPr>
          <w:cantSplit/>
        </w:trPr>
        <w:tc>
          <w:tcPr>
            <w:tcW w:w="1379" w:type="dxa"/>
            <w:vAlign w:val="center"/>
          </w:tcPr>
          <w:p w:rsidR="000E5EE9" w:rsidRPr="003D0D59" w:rsidRDefault="000E5EE9" w:rsidP="003D0D59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3D0D59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3D0D59" w:rsidRDefault="000E5EE9" w:rsidP="003D0D59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3D0D59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3D0D59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3D0D5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3D0D59" w:rsidRDefault="0028017B" w:rsidP="003D0D59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3D0D5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3D0D59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3D0D5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3D0D59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3D0D5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3D0D59" w:rsidRDefault="000E5EE9" w:rsidP="003D0D59">
            <w:pPr>
              <w:spacing w:before="0"/>
              <w:jc w:val="right"/>
            </w:pPr>
            <w:r w:rsidRPr="003D0D59">
              <w:rPr>
                <w:noProof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3D0D59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3D0D59" w:rsidRDefault="00F0220A" w:rsidP="003D0D59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3D0D59" w:rsidRDefault="00F0220A" w:rsidP="003D0D59">
            <w:pPr>
              <w:spacing w:before="0"/>
            </w:pPr>
          </w:p>
        </w:tc>
      </w:tr>
      <w:tr w:rsidR="005A374D" w:rsidRPr="003D0D59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3D0D59" w:rsidRDefault="005A374D" w:rsidP="003D0D59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3D0D59" w:rsidRDefault="005A374D" w:rsidP="003D0D59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3D0D59" w:rsidTr="004B520A">
        <w:trPr>
          <w:cantSplit/>
        </w:trPr>
        <w:tc>
          <w:tcPr>
            <w:tcW w:w="6613" w:type="dxa"/>
            <w:gridSpan w:val="2"/>
          </w:tcPr>
          <w:p w:rsidR="00E83D45" w:rsidRPr="003D0D59" w:rsidRDefault="00E83D45" w:rsidP="003D0D59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3D0D59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3D0D59" w:rsidRDefault="00E83D45" w:rsidP="003D0D59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3D0D59">
              <w:rPr>
                <w:rFonts w:ascii="Verdana" w:hAnsi="Verdana"/>
                <w:b/>
                <w:sz w:val="20"/>
              </w:rPr>
              <w:t>Addéndum 25 al</w:t>
            </w:r>
            <w:r w:rsidRPr="003D0D59">
              <w:rPr>
                <w:rFonts w:ascii="Verdana" w:hAnsi="Verdana"/>
                <w:b/>
                <w:sz w:val="20"/>
              </w:rPr>
              <w:br/>
              <w:t>Documento 43-S</w:t>
            </w:r>
          </w:p>
        </w:tc>
      </w:tr>
      <w:tr w:rsidR="00E83D45" w:rsidRPr="003D0D59" w:rsidTr="004B520A">
        <w:trPr>
          <w:cantSplit/>
        </w:trPr>
        <w:tc>
          <w:tcPr>
            <w:tcW w:w="6613" w:type="dxa"/>
            <w:gridSpan w:val="2"/>
          </w:tcPr>
          <w:p w:rsidR="00E83D45" w:rsidRPr="003D0D59" w:rsidRDefault="00E83D45" w:rsidP="003D0D5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3D0D59" w:rsidRDefault="00E83D45" w:rsidP="003D0D59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3D0D59">
              <w:rPr>
                <w:rFonts w:ascii="Verdana" w:hAnsi="Verdana"/>
                <w:b/>
                <w:sz w:val="20"/>
              </w:rPr>
              <w:t>9 de octubre de 2016</w:t>
            </w:r>
          </w:p>
        </w:tc>
      </w:tr>
      <w:tr w:rsidR="00E83D45" w:rsidRPr="003D0D59" w:rsidTr="004B520A">
        <w:trPr>
          <w:cantSplit/>
        </w:trPr>
        <w:tc>
          <w:tcPr>
            <w:tcW w:w="6613" w:type="dxa"/>
            <w:gridSpan w:val="2"/>
          </w:tcPr>
          <w:p w:rsidR="00E83D45" w:rsidRPr="003D0D59" w:rsidRDefault="00E83D45" w:rsidP="003D0D59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3D0D59" w:rsidRDefault="00E83D45" w:rsidP="003D0D59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3D0D59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3D0D59" w:rsidTr="004B520A">
        <w:trPr>
          <w:cantSplit/>
        </w:trPr>
        <w:tc>
          <w:tcPr>
            <w:tcW w:w="9811" w:type="dxa"/>
            <w:gridSpan w:val="4"/>
          </w:tcPr>
          <w:p w:rsidR="00681766" w:rsidRPr="003D0D59" w:rsidRDefault="00681766" w:rsidP="003D0D59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3D0D59" w:rsidTr="004B520A">
        <w:trPr>
          <w:cantSplit/>
        </w:trPr>
        <w:tc>
          <w:tcPr>
            <w:tcW w:w="9811" w:type="dxa"/>
            <w:gridSpan w:val="4"/>
          </w:tcPr>
          <w:p w:rsidR="00E83D45" w:rsidRPr="003D0D59" w:rsidRDefault="00E83D45" w:rsidP="003D0D59">
            <w:pPr>
              <w:pStyle w:val="Source"/>
            </w:pPr>
            <w:r w:rsidRPr="003D0D59">
              <w:t>Administraciones de los Estados Árabes</w:t>
            </w:r>
          </w:p>
        </w:tc>
      </w:tr>
      <w:tr w:rsidR="00E83D45" w:rsidRPr="003D0D59" w:rsidTr="004B520A">
        <w:trPr>
          <w:cantSplit/>
        </w:trPr>
        <w:tc>
          <w:tcPr>
            <w:tcW w:w="9811" w:type="dxa"/>
            <w:gridSpan w:val="4"/>
          </w:tcPr>
          <w:p w:rsidR="00E83D45" w:rsidRPr="003D0D59" w:rsidRDefault="00D710AE" w:rsidP="003D0D59">
            <w:pPr>
              <w:pStyle w:val="Title1"/>
            </w:pPr>
            <w:r w:rsidRPr="003D0D59">
              <w:t>PROYECTO DE NUEVA RESOLUCIÓN</w:t>
            </w:r>
            <w:r w:rsidR="00E83D45" w:rsidRPr="003D0D59">
              <w:t xml:space="preserve"> [ARB-3] </w:t>
            </w:r>
            <w:r w:rsidR="000749B6">
              <w:t>–</w:t>
            </w:r>
            <w:r w:rsidR="00E83D45" w:rsidRPr="003D0D59">
              <w:t xml:space="preserve"> </w:t>
            </w:r>
            <w:r w:rsidR="008B4E48" w:rsidRPr="003D0D59">
              <w:t>Participación del</w:t>
            </w:r>
            <w:r w:rsidRPr="003D0D59">
              <w:t xml:space="preserve"> </w:t>
            </w:r>
            <w:r w:rsidR="008B4E48" w:rsidRPr="003D0D59">
              <w:t>Sector de Normalización de las Telecomunicaciones en</w:t>
            </w:r>
            <w:r w:rsidRPr="003D0D59">
              <w:t xml:space="preserve"> </w:t>
            </w:r>
            <w:r w:rsidR="008B4E48" w:rsidRPr="003D0D59">
              <w:t>el examen</w:t>
            </w:r>
            <w:r w:rsidRPr="003D0D59">
              <w:t xml:space="preserve"> </w:t>
            </w:r>
            <w:r w:rsidR="008B4E48" w:rsidRPr="003D0D59">
              <w:t>y la rev</w:t>
            </w:r>
            <w:r w:rsidR="003D0D59">
              <w:t>isión periódicos del Reglamento</w:t>
            </w:r>
            <w:r w:rsidR="003D0D59">
              <w:br/>
            </w:r>
            <w:r w:rsidR="008B4E48" w:rsidRPr="003D0D59">
              <w:t>de las Telecomunicaciones Internacionales</w:t>
            </w:r>
          </w:p>
        </w:tc>
      </w:tr>
      <w:tr w:rsidR="00E83D45" w:rsidRPr="003D0D59" w:rsidTr="004B520A">
        <w:trPr>
          <w:cantSplit/>
        </w:trPr>
        <w:tc>
          <w:tcPr>
            <w:tcW w:w="9811" w:type="dxa"/>
            <w:gridSpan w:val="4"/>
          </w:tcPr>
          <w:p w:rsidR="00E83D45" w:rsidRPr="003D0D59" w:rsidRDefault="00E83D45" w:rsidP="003D0D59">
            <w:pPr>
              <w:pStyle w:val="Title2"/>
            </w:pPr>
          </w:p>
        </w:tc>
      </w:tr>
    </w:tbl>
    <w:p w:rsidR="006B0F54" w:rsidRPr="003D0D59" w:rsidRDefault="006B0F54" w:rsidP="003D0D59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3D0D59" w:rsidTr="00193AD1">
        <w:trPr>
          <w:cantSplit/>
        </w:trPr>
        <w:tc>
          <w:tcPr>
            <w:tcW w:w="1560" w:type="dxa"/>
          </w:tcPr>
          <w:p w:rsidR="006B0F54" w:rsidRPr="003D0D59" w:rsidRDefault="006B0F54" w:rsidP="003D0D59">
            <w:r w:rsidRPr="003D0D59">
              <w:rPr>
                <w:b/>
                <w:bCs/>
              </w:rPr>
              <w:t>Resumen:</w:t>
            </w:r>
          </w:p>
        </w:tc>
        <w:tc>
          <w:tcPr>
            <w:tcW w:w="8251" w:type="dxa"/>
          </w:tcPr>
          <w:p w:rsidR="006B0F54" w:rsidRPr="003D0D59" w:rsidRDefault="00B44B60" w:rsidP="003D0D59">
            <w:pPr>
              <w:rPr>
                <w:color w:val="000000" w:themeColor="text1"/>
              </w:rPr>
            </w:pPr>
            <w:sdt>
              <w:sdtPr>
                <w:alias w:val="Abstract"/>
                <w:tag w:val="Abstract"/>
                <w:id w:val="-939903723"/>
                <w:placeholder>
                  <w:docPart w:val="46295EEC0E10457DA5ACD55DDA65957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/>
              </w:sdtPr>
              <w:sdtEndPr/>
              <w:sdtContent>
                <w:r w:rsidR="00D710AE" w:rsidRPr="003D0D59">
                  <w:t>La presente contribución contiene una propuesta común árabe para la Asamblea Mundial de Normalización de las Telecomunicaciones (AMNT-16), en la que se propone una nueva Resolución sobre la participación del Sector de Normalización de las Telecomunicaciones en el examen y la revisión periódicos del Reglamento de las Tele</w:t>
                </w:r>
                <w:r w:rsidR="000749B6">
                  <w:t>comunicaciones Internacionales.</w:t>
                </w:r>
              </w:sdtContent>
            </w:sdt>
          </w:p>
        </w:tc>
      </w:tr>
    </w:tbl>
    <w:p w:rsidR="00B07178" w:rsidRPr="003D0D59" w:rsidRDefault="00B07178" w:rsidP="000749B6">
      <w:r w:rsidRPr="003D0D59">
        <w:br w:type="page"/>
      </w:r>
      <w:bookmarkStart w:id="0" w:name="_GoBack"/>
      <w:bookmarkEnd w:id="0"/>
    </w:p>
    <w:p w:rsidR="00C9145A" w:rsidRPr="003D0D59" w:rsidRDefault="008B4E48" w:rsidP="003D0D59">
      <w:pPr>
        <w:pStyle w:val="Proposal"/>
      </w:pPr>
      <w:r w:rsidRPr="003D0D59">
        <w:lastRenderedPageBreak/>
        <w:t>ADD</w:t>
      </w:r>
      <w:r w:rsidRPr="003D0D59">
        <w:tab/>
        <w:t>ARB/43A25/1</w:t>
      </w:r>
    </w:p>
    <w:p w:rsidR="00E83D45" w:rsidRPr="003D0D59" w:rsidRDefault="008B4E48" w:rsidP="000749B6">
      <w:pPr>
        <w:pStyle w:val="ResNo"/>
      </w:pPr>
      <w:r w:rsidRPr="003D0D59">
        <w:t xml:space="preserve">PROYECTO DE NUEVA RESOLUCIÓN </w:t>
      </w:r>
      <w:r w:rsidRPr="003D0D59">
        <w:rPr>
          <w:rFonts w:hAnsi="Times New Roman Bold"/>
        </w:rPr>
        <w:t>[ARB-3]</w:t>
      </w:r>
    </w:p>
    <w:p w:rsidR="008B4E48" w:rsidRPr="003D0D59" w:rsidRDefault="008B4E48" w:rsidP="003D0D59">
      <w:pPr>
        <w:pStyle w:val="Restitle"/>
      </w:pPr>
      <w:r w:rsidRPr="003D0D59">
        <w:t xml:space="preserve">Participación del Sector de Normalización de las Telecomunicaciones </w:t>
      </w:r>
      <w:r w:rsidRPr="003D0D59">
        <w:br/>
        <w:t xml:space="preserve">en el examen y la revisión periódicos del Reglamento </w:t>
      </w:r>
      <w:r w:rsidRPr="003D0D59">
        <w:br/>
        <w:t>de las Telecomunicaciones Internacionales</w:t>
      </w:r>
    </w:p>
    <w:p w:rsidR="008B4E48" w:rsidRPr="003D0D59" w:rsidRDefault="008B4E48" w:rsidP="003D0D59">
      <w:pPr>
        <w:pStyle w:val="Resref"/>
      </w:pPr>
      <w:bookmarkStart w:id="1" w:name="lt_pId029"/>
      <w:r w:rsidRPr="003D0D59">
        <w:t>(Hammamet, 2016)</w:t>
      </w:r>
      <w:bookmarkEnd w:id="1"/>
    </w:p>
    <w:p w:rsidR="008B4E48" w:rsidRPr="003D0D59" w:rsidRDefault="008B4E48" w:rsidP="003D0D59">
      <w:pPr>
        <w:pStyle w:val="Normalaftertitle"/>
      </w:pPr>
      <w:bookmarkStart w:id="2" w:name="lt_pId030"/>
      <w:r w:rsidRPr="003D0D59">
        <w:t>La Asamblea Mundial de Normalización de las Telecomunicaciones (Hammamet, 2016),</w:t>
      </w:r>
      <w:bookmarkEnd w:id="2"/>
    </w:p>
    <w:p w:rsidR="008B4E48" w:rsidRPr="003D0D59" w:rsidRDefault="008B4E48" w:rsidP="003D0D59">
      <w:pPr>
        <w:pStyle w:val="Call"/>
      </w:pPr>
      <w:r w:rsidRPr="003D0D59">
        <w:t>recordando</w:t>
      </w:r>
    </w:p>
    <w:p w:rsidR="008B4E48" w:rsidRPr="000749B6" w:rsidRDefault="008B4E48" w:rsidP="003D0D59">
      <w:r w:rsidRPr="000749B6">
        <w:rPr>
          <w:i/>
          <w:iCs/>
        </w:rPr>
        <w:t>a)</w:t>
      </w:r>
      <w:r w:rsidRPr="000749B6">
        <w:tab/>
        <w:t>el Artículo 25 de la Constitución de la UIT sobre las Conferencias Mundiales de Telecomunicaciones Internacionales (CMTI);</w:t>
      </w:r>
    </w:p>
    <w:p w:rsidR="008B4E48" w:rsidRPr="000749B6" w:rsidRDefault="008B4E48" w:rsidP="003D0D59">
      <w:r w:rsidRPr="000749B6">
        <w:rPr>
          <w:i/>
          <w:iCs/>
        </w:rPr>
        <w:t>b)</w:t>
      </w:r>
      <w:r w:rsidRPr="000749B6">
        <w:tab/>
        <w:t>el número 48 del Artículo 3 del Convenio de la UIT sobre otras Conferencias y Asambleas;</w:t>
      </w:r>
    </w:p>
    <w:p w:rsidR="008B4E48" w:rsidRPr="003D0D59" w:rsidRDefault="008B4E48" w:rsidP="003D0D59">
      <w:r w:rsidRPr="003D0D59">
        <w:rPr>
          <w:i/>
          <w:iCs/>
        </w:rPr>
        <w:t>c)</w:t>
      </w:r>
      <w:r w:rsidRPr="003D0D59">
        <w:tab/>
        <w:t>la Resolución 4 (Dubái, 2012) de la Conferencia Mundial de Telecomunicaciones Internacionales sobre la revisión periódica del Reglamento de las Telecomunicaciones Internacionales;</w:t>
      </w:r>
    </w:p>
    <w:p w:rsidR="008B4E48" w:rsidRPr="003D0D59" w:rsidRDefault="008B4E48" w:rsidP="003D0D59">
      <w:r w:rsidRPr="003D0D59">
        <w:rPr>
          <w:i/>
          <w:iCs/>
        </w:rPr>
        <w:t>d)</w:t>
      </w:r>
      <w:r w:rsidRPr="003D0D59">
        <w:tab/>
        <w:t>que, de conformidad con la Resolución 146 (Rev. Busán, 2014) de la Conferencia de Plenipotenciarios sobre el examen periódico y la revisión del Reglamento de las Telecomunicaciones Internacionales, la mayor parte de la labor pertinente a dicho Reglamento está a cargo del Sector de Normalización de las Telecomunicaciones</w:t>
      </w:r>
      <w:r w:rsidR="00880676" w:rsidRPr="003D0D59">
        <w:t xml:space="preserve"> de la UIT</w:t>
      </w:r>
      <w:r w:rsidRPr="003D0D59">
        <w:t>;</w:t>
      </w:r>
    </w:p>
    <w:p w:rsidR="008B4E48" w:rsidRPr="003D0D59" w:rsidRDefault="008B4E48" w:rsidP="003D0D59">
      <w:r w:rsidRPr="003D0D59">
        <w:rPr>
          <w:i/>
          <w:iCs/>
        </w:rPr>
        <w:t>e)</w:t>
      </w:r>
      <w:r w:rsidRPr="003D0D59">
        <w:tab/>
        <w:t>la Resolución 1379 del Consejo, relativa al Grupo de Expertos sobre el Reglamento de las Telecomunicaciones Internacionales (GE-RTI),</w:t>
      </w:r>
    </w:p>
    <w:p w:rsidR="008B4E48" w:rsidRPr="003D0D59" w:rsidRDefault="008B4E48" w:rsidP="003D0D59">
      <w:pPr>
        <w:pStyle w:val="Call"/>
      </w:pPr>
      <w:r w:rsidRPr="003D0D59">
        <w:t>teniendo en cuenta</w:t>
      </w:r>
    </w:p>
    <w:p w:rsidR="008B4E48" w:rsidRPr="000749B6" w:rsidRDefault="008B4E48" w:rsidP="000749B6">
      <w:r w:rsidRPr="000749B6">
        <w:rPr>
          <w:i/>
          <w:iCs/>
        </w:rPr>
        <w:t>a)</w:t>
      </w:r>
      <w:r w:rsidRPr="000749B6">
        <w:tab/>
        <w:t>la posibilidad de que las nuevas tecnologías no se ajusten a los requisitos de las sociedades, especialmente, de los países en desarrollo y menos</w:t>
      </w:r>
      <w:bookmarkStart w:id="3" w:name="lt_pId040"/>
      <w:r w:rsidRPr="000749B6">
        <w:t xml:space="preserve"> adelantados;</w:t>
      </w:r>
    </w:p>
    <w:p w:rsidR="008B4E48" w:rsidRPr="003D0D59" w:rsidRDefault="008B4E48" w:rsidP="003D0D59">
      <w:r w:rsidRPr="000749B6">
        <w:rPr>
          <w:i/>
          <w:iCs/>
        </w:rPr>
        <w:t>b)</w:t>
      </w:r>
      <w:r w:rsidRPr="003D0D59">
        <w:tab/>
        <w:t>la creciente utilización de redes y aplicaciones basadas en protocolos de Internet, lo que otorga una importancia cada vez mayor a la ciberseguridad;</w:t>
      </w:r>
    </w:p>
    <w:p w:rsidR="008B4E48" w:rsidRPr="003D0D59" w:rsidRDefault="008B4E48" w:rsidP="003D0D59">
      <w:r w:rsidRPr="000749B6">
        <w:rPr>
          <w:i/>
          <w:iCs/>
        </w:rPr>
        <w:t>c)</w:t>
      </w:r>
      <w:r w:rsidRPr="003D0D59">
        <w:tab/>
        <w:t>la tesis consensuada de que el RTI debe adaptarse para responder a la rápida evolución de nuestro mundo</w:t>
      </w:r>
      <w:bookmarkEnd w:id="3"/>
      <w:r w:rsidRPr="003D0D59">
        <w:t>,</w:t>
      </w:r>
    </w:p>
    <w:p w:rsidR="008B4E48" w:rsidRPr="003D0D59" w:rsidRDefault="008B4E48" w:rsidP="003D0D59">
      <w:pPr>
        <w:pStyle w:val="Call"/>
      </w:pPr>
      <w:r w:rsidRPr="003D0D59">
        <w:t xml:space="preserve">resuelve encargar al Director de la Oficina de Normalización de las Telecomunicaciones </w:t>
      </w:r>
    </w:p>
    <w:p w:rsidR="008B4E48" w:rsidRPr="003D0D59" w:rsidRDefault="008B4E48" w:rsidP="003D0D59">
      <w:bookmarkStart w:id="4" w:name="lt_pId043"/>
      <w:r w:rsidRPr="003D0D59">
        <w:t>1</w:t>
      </w:r>
      <w:r w:rsidRPr="003D0D59">
        <w:tab/>
        <w:t>que señale a la atención de las Comisiones de Estudio los artículos del Reglamento de las Telecomunicaciones Internacionales de 2012 que pueden repercutir en sus mandatos o requerir la elaboración de nuevos mandatos</w:t>
      </w:r>
      <w:bookmarkEnd w:id="4"/>
      <w:r w:rsidRPr="003D0D59">
        <w:t>;</w:t>
      </w:r>
    </w:p>
    <w:p w:rsidR="008B4E48" w:rsidRPr="003D0D59" w:rsidRDefault="008B4E48" w:rsidP="003D0D59">
      <w:bookmarkStart w:id="5" w:name="lt_pId044"/>
      <w:r w:rsidRPr="003D0D59">
        <w:t>2</w:t>
      </w:r>
      <w:r w:rsidRPr="003D0D59">
        <w:tab/>
        <w:t>que solicite a las Comisiones de Estudio del UIT-T que examinen sus mandatos y propongan revisiones al respecto, o planteen la elaboración de mandatos nuevos, de conformidad con los artículos pertinentes del Reglamento de las Telecomunicaciones Internacionales de 2012</w:t>
      </w:r>
      <w:bookmarkEnd w:id="5"/>
      <w:r w:rsidRPr="003D0D59">
        <w:t>;</w:t>
      </w:r>
    </w:p>
    <w:p w:rsidR="008B4E48" w:rsidRPr="003D0D59" w:rsidRDefault="008B4E48" w:rsidP="000749B6">
      <w:bookmarkStart w:id="6" w:name="lt_pId045"/>
      <w:r w:rsidRPr="003D0D59">
        <w:t>3</w:t>
      </w:r>
      <w:r w:rsidRPr="003D0D59">
        <w:tab/>
        <w:t>que someta las propuestas de las Comisiones de Estudio en relación con el Reglamento de las Telecomunicaciones Internacionales directamente al GE-RTI en su próxima reunión</w:t>
      </w:r>
      <w:bookmarkEnd w:id="6"/>
      <w:r w:rsidRPr="003D0D59">
        <w:t>,</w:t>
      </w:r>
    </w:p>
    <w:p w:rsidR="008B4E48" w:rsidRPr="003D0D59" w:rsidRDefault="008B4E48" w:rsidP="003D0D59">
      <w:pPr>
        <w:pStyle w:val="Call"/>
      </w:pPr>
      <w:r w:rsidRPr="003D0D59">
        <w:lastRenderedPageBreak/>
        <w:t>encarga a las Comisiones de Estudio del Sector de Normalización de las Telecomunicaciones</w:t>
      </w:r>
    </w:p>
    <w:p w:rsidR="008B4E48" w:rsidRPr="003D0D59" w:rsidRDefault="008B4E48" w:rsidP="003D0D59">
      <w:bookmarkStart w:id="7" w:name="lt_pId050"/>
      <w:r w:rsidRPr="003D0D59">
        <w:t xml:space="preserve">que participen en los trabajos relacionados con el RTI, </w:t>
      </w:r>
      <w:r w:rsidR="008E4AF0" w:rsidRPr="003D0D59">
        <w:t>en virtud de</w:t>
      </w:r>
      <w:r w:rsidRPr="003D0D59">
        <w:t xml:space="preserve"> sus mandatos</w:t>
      </w:r>
      <w:bookmarkEnd w:id="7"/>
      <w:r w:rsidRPr="003D0D59">
        <w:t>,</w:t>
      </w:r>
    </w:p>
    <w:p w:rsidR="008B4E48" w:rsidRPr="003D0D59" w:rsidRDefault="008B4E48" w:rsidP="003D0D59">
      <w:pPr>
        <w:pStyle w:val="Call"/>
      </w:pPr>
      <w:r w:rsidRPr="003D0D59">
        <w:t>invita a los Estados Miembros y Miembros de Sector</w:t>
      </w:r>
    </w:p>
    <w:p w:rsidR="00C9145A" w:rsidRPr="003D0D59" w:rsidRDefault="008B4E48" w:rsidP="000749B6">
      <w:bookmarkStart w:id="8" w:name="lt_pId052"/>
      <w:r w:rsidRPr="003D0D59">
        <w:t>a realizar contribuciones al respecto y a participar en las actividades de las Comisiones de Estudio relacionadas con el examen del Reglamento de las Telecomunicaciones Internacionales.</w:t>
      </w:r>
      <w:bookmarkEnd w:id="8"/>
    </w:p>
    <w:p w:rsidR="008B4E48" w:rsidRPr="003D0D59" w:rsidRDefault="008B4E48" w:rsidP="003D0D59">
      <w:pPr>
        <w:pStyle w:val="Reasons"/>
      </w:pPr>
    </w:p>
    <w:p w:rsidR="008B4E48" w:rsidRPr="003D0D59" w:rsidRDefault="008B4E48" w:rsidP="003D0D59">
      <w:pPr>
        <w:jc w:val="center"/>
      </w:pPr>
      <w:r w:rsidRPr="003D0D59">
        <w:t>______________</w:t>
      </w:r>
    </w:p>
    <w:sectPr w:rsidR="008B4E48" w:rsidRPr="003D0D59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880676">
      <w:rPr>
        <w:noProof/>
        <w:lang w:val="fr-CH"/>
      </w:rPr>
      <w:t>P:\TRAD\S\ITU-T\CONF-T\WTSA16\000\043ADD25 (406440) LIN 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44B60">
      <w:rPr>
        <w:noProof/>
      </w:rPr>
      <w:t>18.10.16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80676">
      <w:rPr>
        <w:noProof/>
      </w:rPr>
      <w:t>17.10.16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F319D4" w:rsidRDefault="00F319D4" w:rsidP="00F319D4">
    <w:pPr>
      <w:pStyle w:val="Footer"/>
      <w:rPr>
        <w:lang w:val="fr-CH"/>
      </w:rPr>
    </w:pPr>
    <w:r>
      <w:fldChar w:fldCharType="begin"/>
    </w:r>
    <w:r w:rsidRPr="003D0D59">
      <w:rPr>
        <w:lang w:val="fr-CH"/>
      </w:rPr>
      <w:instrText xml:space="preserve"> FILENAME \p  \* MERGEFORMAT </w:instrText>
    </w:r>
    <w:r>
      <w:fldChar w:fldCharType="separate"/>
    </w:r>
    <w:r w:rsidRPr="003D0D59">
      <w:rPr>
        <w:lang w:val="fr-CH"/>
      </w:rPr>
      <w:t>P:\ESP\ITU-T\CONF-T\WTSA16\000\043ADD25S.docx</w:t>
    </w:r>
    <w:r>
      <w:fldChar w:fldCharType="end"/>
    </w:r>
    <w:r w:rsidRPr="003D0D59">
      <w:rPr>
        <w:lang w:val="fr-CH"/>
      </w:rPr>
      <w:t xml:space="preserve"> (406440)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B60" w:rsidRPr="00B44B60" w:rsidRDefault="00B44B60" w:rsidP="00B44B60">
    <w:pPr>
      <w:pStyle w:val="Footer"/>
      <w:rPr>
        <w:lang w:val="fr-CH"/>
      </w:rPr>
    </w:pPr>
    <w:r>
      <w:fldChar w:fldCharType="begin"/>
    </w:r>
    <w:r w:rsidRPr="003D0D59">
      <w:rPr>
        <w:lang w:val="fr-CH"/>
      </w:rPr>
      <w:instrText xml:space="preserve"> FILENAME \p  \* MERGEFORMAT </w:instrText>
    </w:r>
    <w:r>
      <w:fldChar w:fldCharType="separate"/>
    </w:r>
    <w:r w:rsidRPr="003D0D59">
      <w:rPr>
        <w:lang w:val="fr-CH"/>
      </w:rPr>
      <w:t>P:\ESP\ITU-T\CONF-T\WTSA16\000\043ADD25S.docx</w:t>
    </w:r>
    <w:r>
      <w:fldChar w:fldCharType="end"/>
    </w:r>
    <w:r w:rsidRPr="003D0D59">
      <w:rPr>
        <w:lang w:val="fr-CH"/>
      </w:rPr>
      <w:t xml:space="preserve"> (406440)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44B60">
      <w:rPr>
        <w:noProof/>
      </w:rPr>
      <w:t>2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16/43(Add.25)-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749B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701F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3D0D59"/>
    <w:rsid w:val="004104AC"/>
    <w:rsid w:val="00454553"/>
    <w:rsid w:val="00476FB2"/>
    <w:rsid w:val="004B124A"/>
    <w:rsid w:val="004B520A"/>
    <w:rsid w:val="004C3636"/>
    <w:rsid w:val="004C3A5A"/>
    <w:rsid w:val="00523269"/>
    <w:rsid w:val="00532097"/>
    <w:rsid w:val="00566BEE"/>
    <w:rsid w:val="0058350F"/>
    <w:rsid w:val="005A374D"/>
    <w:rsid w:val="005E782D"/>
    <w:rsid w:val="005F2605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3660B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866AE6"/>
    <w:rsid w:val="00866BBD"/>
    <w:rsid w:val="00873B75"/>
    <w:rsid w:val="008750A8"/>
    <w:rsid w:val="00880676"/>
    <w:rsid w:val="0089792C"/>
    <w:rsid w:val="008B4E48"/>
    <w:rsid w:val="008E35DA"/>
    <w:rsid w:val="008E4453"/>
    <w:rsid w:val="008E4AF0"/>
    <w:rsid w:val="0090121B"/>
    <w:rsid w:val="009144C9"/>
    <w:rsid w:val="00916196"/>
    <w:rsid w:val="0094091F"/>
    <w:rsid w:val="00973754"/>
    <w:rsid w:val="0097673E"/>
    <w:rsid w:val="00990278"/>
    <w:rsid w:val="009A137D"/>
    <w:rsid w:val="009C0BED"/>
    <w:rsid w:val="009E11EC"/>
    <w:rsid w:val="009F6A67"/>
    <w:rsid w:val="00A118DB"/>
    <w:rsid w:val="00A119DC"/>
    <w:rsid w:val="00A11F04"/>
    <w:rsid w:val="00A24AC0"/>
    <w:rsid w:val="00A4450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44B60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614DC"/>
    <w:rsid w:val="00C63EB5"/>
    <w:rsid w:val="00C858D0"/>
    <w:rsid w:val="00C9145A"/>
    <w:rsid w:val="00CA1F40"/>
    <w:rsid w:val="00CB35C9"/>
    <w:rsid w:val="00CC01E0"/>
    <w:rsid w:val="00CD5FEE"/>
    <w:rsid w:val="00CD663E"/>
    <w:rsid w:val="00CE60D2"/>
    <w:rsid w:val="00D0288A"/>
    <w:rsid w:val="00D56781"/>
    <w:rsid w:val="00D710AE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4A4A"/>
    <w:rsid w:val="00EE1779"/>
    <w:rsid w:val="00EF0D6D"/>
    <w:rsid w:val="00F0220A"/>
    <w:rsid w:val="00F02C63"/>
    <w:rsid w:val="00F247BB"/>
    <w:rsid w:val="00F26F4E"/>
    <w:rsid w:val="00F319D4"/>
    <w:rsid w:val="00F54E0E"/>
    <w:rsid w:val="00F606A0"/>
    <w:rsid w:val="00F62AB3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  <w:qFormat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CallChar">
    <w:name w:val="Call Char"/>
    <w:basedOn w:val="DefaultParagraphFont"/>
    <w:link w:val="Call"/>
    <w:rsid w:val="008B4E48"/>
    <w:rPr>
      <w:rFonts w:ascii="Times New Roman" w:hAnsi="Times New Roman"/>
      <w:i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88067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80676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ff86b69-1993-4eb5-b458-069b25c504af" targetNamespace="http://schemas.microsoft.com/office/2006/metadata/properties" ma:root="true" ma:fieldsID="d41af5c836d734370eb92e7ee5f83852" ns2:_="" ns3:_="">
    <xsd:import namespace="996b2e75-67fd-4955-a3b0-5ab9934cb50b"/>
    <xsd:import namespace="9ff86b69-1993-4eb5-b458-069b25c504a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86b69-1993-4eb5-b458-069b25c504a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ff86b69-1993-4eb5-b458-069b25c504af">Documents Proposals Manager (DPM)</DPM_x0020_Author>
    <DPM_x0020_File_x0020_name xmlns="9ff86b69-1993-4eb5-b458-069b25c504af">T13-WTSA.16-C-0043!A25!MSW-S</DPM_x0020_File_x0020_name>
    <DPM_x0020_Version xmlns="9ff86b69-1993-4eb5-b458-069b25c504af">DPM_v2016.10.12.1_prod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ff86b69-1993-4eb5-b458-069b25c50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ff86b69-1993-4eb5-b458-069b25c504af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B991C24-86DF-489F-9B43-478F1434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T13-WTSA.16-C-0043!A25!MSW-S</vt:lpstr>
    </vt:vector>
  </TitlesOfParts>
  <Manager>Secretaría General - Pool</Manager>
  <Company>International Telecommunication Union (ITU)</Company>
  <LinksUpToDate>false</LinksUpToDate>
  <CharactersWithSpaces>3651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T13-WTSA.16-C-0043!A25!MSW-S</dc:title>
  <dc:subject>World Telecommunication Standardization Assembly</dc:subject>
  <dc:creator>Documents Proposals Manager (DPM)</dc:creator>
  <cp:keywords>DPM_v2016.10.12.1_prod</cp:keywords>
  <dc:description>Template used by DPM and CPI for the WTSA-16</dc:description>
  <cp:lastModifiedBy>FHernández</cp:lastModifiedBy>
  <cp:revision>6</cp:revision>
  <cp:lastPrinted>2016-10-17T07:30:00Z</cp:lastPrinted>
  <dcterms:created xsi:type="dcterms:W3CDTF">2016-10-17T08:37:00Z</dcterms:created>
  <dcterms:modified xsi:type="dcterms:W3CDTF">2016-10-18T08:19:00Z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