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181"/>
        <w:gridCol w:w="5053"/>
        <w:gridCol w:w="1325"/>
        <w:gridCol w:w="1873"/>
      </w:tblGrid>
      <w:tr w:rsidR="000E5EE9" w:rsidRPr="00902EA4" w:rsidTr="004B520A">
        <w:trPr>
          <w:cantSplit/>
        </w:trPr>
        <w:tc>
          <w:tcPr>
            <w:tcW w:w="1379" w:type="dxa"/>
            <w:vAlign w:val="center"/>
          </w:tcPr>
          <w:p w:rsidR="000E5EE9" w:rsidRPr="00902EA4" w:rsidRDefault="000E5EE9" w:rsidP="00902EA4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02EA4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3"/>
            <w:vAlign w:val="center"/>
          </w:tcPr>
          <w:p w:rsidR="0028017B" w:rsidRPr="00902EA4" w:rsidRDefault="000E5EE9" w:rsidP="00902EA4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902EA4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902EA4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902EA4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902EA4" w:rsidRDefault="0028017B" w:rsidP="00902EA4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902E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902E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02E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902E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02E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902EA4" w:rsidRDefault="000E5EE9" w:rsidP="00902EA4">
            <w:pPr>
              <w:spacing w:before="0"/>
              <w:jc w:val="right"/>
            </w:pPr>
            <w:r w:rsidRPr="00902EA4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02EA4" w:rsidTr="004B520A">
        <w:trPr>
          <w:cantSplit/>
        </w:trPr>
        <w:tc>
          <w:tcPr>
            <w:tcW w:w="6613" w:type="dxa"/>
            <w:gridSpan w:val="3"/>
            <w:tcBorders>
              <w:bottom w:val="single" w:sz="12" w:space="0" w:color="auto"/>
            </w:tcBorders>
          </w:tcPr>
          <w:p w:rsidR="00F0220A" w:rsidRPr="00902EA4" w:rsidRDefault="00F0220A" w:rsidP="00902EA4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902EA4" w:rsidRDefault="00F0220A" w:rsidP="00902EA4">
            <w:pPr>
              <w:spacing w:before="0"/>
            </w:pPr>
          </w:p>
        </w:tc>
      </w:tr>
      <w:tr w:rsidR="005A374D" w:rsidRPr="00902EA4" w:rsidTr="004B520A">
        <w:trPr>
          <w:cantSplit/>
        </w:trPr>
        <w:tc>
          <w:tcPr>
            <w:tcW w:w="6613" w:type="dxa"/>
            <w:gridSpan w:val="3"/>
            <w:tcBorders>
              <w:top w:val="single" w:sz="12" w:space="0" w:color="auto"/>
            </w:tcBorders>
          </w:tcPr>
          <w:p w:rsidR="005A374D" w:rsidRPr="00902EA4" w:rsidRDefault="005A374D" w:rsidP="00902EA4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902EA4" w:rsidRDefault="005A374D" w:rsidP="00902E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02EA4" w:rsidTr="004B520A">
        <w:trPr>
          <w:cantSplit/>
        </w:trPr>
        <w:tc>
          <w:tcPr>
            <w:tcW w:w="6613" w:type="dxa"/>
            <w:gridSpan w:val="3"/>
          </w:tcPr>
          <w:p w:rsidR="00E83D45" w:rsidRPr="00902EA4" w:rsidRDefault="00902EA4" w:rsidP="00902EA4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902EA4">
              <w:rPr>
                <w:lang w:val="es-ES_tradnl"/>
              </w:rPr>
              <w:t>GRUPO DE TRABAJO 4B</w:t>
            </w:r>
          </w:p>
        </w:tc>
        <w:tc>
          <w:tcPr>
            <w:tcW w:w="3198" w:type="dxa"/>
            <w:gridSpan w:val="2"/>
          </w:tcPr>
          <w:p w:rsidR="00E83D45" w:rsidRPr="00902EA4" w:rsidRDefault="00E83D45" w:rsidP="00902E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02EA4">
              <w:rPr>
                <w:rFonts w:ascii="Verdana" w:hAnsi="Verdana"/>
                <w:b/>
                <w:sz w:val="20"/>
              </w:rPr>
              <w:t>Addéndum 33 al</w:t>
            </w:r>
            <w:r w:rsidRPr="00902EA4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902EA4" w:rsidTr="004B520A">
        <w:trPr>
          <w:cantSplit/>
        </w:trPr>
        <w:tc>
          <w:tcPr>
            <w:tcW w:w="6613" w:type="dxa"/>
            <w:gridSpan w:val="3"/>
          </w:tcPr>
          <w:p w:rsidR="00E83D45" w:rsidRPr="00902EA4" w:rsidRDefault="00E83D45" w:rsidP="00902EA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902EA4" w:rsidRDefault="00E83D45" w:rsidP="00902E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02EA4">
              <w:rPr>
                <w:rFonts w:ascii="Verdana" w:hAnsi="Verdana"/>
                <w:b/>
                <w:sz w:val="20"/>
              </w:rPr>
              <w:t>30 de octubre de 2016</w:t>
            </w:r>
          </w:p>
        </w:tc>
      </w:tr>
      <w:tr w:rsidR="00E83D45" w:rsidRPr="00902EA4" w:rsidTr="004B520A">
        <w:trPr>
          <w:cantSplit/>
        </w:trPr>
        <w:tc>
          <w:tcPr>
            <w:tcW w:w="6613" w:type="dxa"/>
            <w:gridSpan w:val="3"/>
          </w:tcPr>
          <w:p w:rsidR="00E83D45" w:rsidRPr="00902EA4" w:rsidRDefault="00E83D45" w:rsidP="00902EA4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902EA4" w:rsidRDefault="00E83D45" w:rsidP="00902E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02EA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02EA4" w:rsidTr="004B520A">
        <w:trPr>
          <w:cantSplit/>
        </w:trPr>
        <w:tc>
          <w:tcPr>
            <w:tcW w:w="9811" w:type="dxa"/>
            <w:gridSpan w:val="5"/>
          </w:tcPr>
          <w:p w:rsidR="00681766" w:rsidRPr="00902EA4" w:rsidRDefault="00681766" w:rsidP="00902E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02EA4" w:rsidTr="004B520A">
        <w:trPr>
          <w:cantSplit/>
        </w:trPr>
        <w:tc>
          <w:tcPr>
            <w:tcW w:w="9811" w:type="dxa"/>
            <w:gridSpan w:val="5"/>
          </w:tcPr>
          <w:p w:rsidR="00E83D45" w:rsidRPr="00902EA4" w:rsidRDefault="00A3148F" w:rsidP="00902EA4">
            <w:pPr>
              <w:pStyle w:val="Source"/>
            </w:pPr>
            <w:r w:rsidRPr="00902EA4">
              <w:t xml:space="preserve">Estados </w:t>
            </w:r>
            <w:r w:rsidR="00887EC8" w:rsidRPr="00902EA4">
              <w:t xml:space="preserve">Miembros </w:t>
            </w:r>
            <w:r w:rsidR="00E83D45" w:rsidRPr="00902EA4">
              <w:t>de la Unión Africana de Telecomunicaciones</w:t>
            </w:r>
          </w:p>
        </w:tc>
      </w:tr>
      <w:tr w:rsidR="00E83D45" w:rsidRPr="00902EA4" w:rsidTr="004B520A">
        <w:trPr>
          <w:cantSplit/>
        </w:trPr>
        <w:tc>
          <w:tcPr>
            <w:tcW w:w="9811" w:type="dxa"/>
            <w:gridSpan w:val="5"/>
          </w:tcPr>
          <w:p w:rsidR="00E83D45" w:rsidRPr="00902EA4" w:rsidRDefault="004C0153" w:rsidP="00902EA4">
            <w:pPr>
              <w:pStyle w:val="Title1"/>
            </w:pPr>
            <w:r w:rsidRPr="00902EA4">
              <w:t xml:space="preserve">proyecto de nueva resolución </w:t>
            </w:r>
            <w:r w:rsidR="00E83D45" w:rsidRPr="00902EA4">
              <w:t>[AFCP-8] – Facilita</w:t>
            </w:r>
            <w:r w:rsidRPr="00902EA4">
              <w:t xml:space="preserve">R la </w:t>
            </w:r>
            <w:r w:rsidR="004B7B10" w:rsidRPr="00902EA4">
              <w:t>Aplicación del Manifiesto Smart Africa</w:t>
            </w:r>
          </w:p>
        </w:tc>
      </w:tr>
      <w:tr w:rsidR="00E83D45" w:rsidRPr="00902EA4" w:rsidTr="004B520A">
        <w:trPr>
          <w:cantSplit/>
        </w:trPr>
        <w:tc>
          <w:tcPr>
            <w:tcW w:w="9811" w:type="dxa"/>
            <w:gridSpan w:val="5"/>
          </w:tcPr>
          <w:p w:rsidR="00E83D45" w:rsidRPr="00902EA4" w:rsidRDefault="00E83D45" w:rsidP="00902EA4">
            <w:pPr>
              <w:pStyle w:val="Agendaitem"/>
            </w:pPr>
          </w:p>
        </w:tc>
      </w:tr>
      <w:tr w:rsidR="006B0F54" w:rsidRPr="00902EA4" w:rsidTr="00193AD1">
        <w:trPr>
          <w:cantSplit/>
        </w:trPr>
        <w:tc>
          <w:tcPr>
            <w:tcW w:w="1560" w:type="dxa"/>
            <w:gridSpan w:val="2"/>
          </w:tcPr>
          <w:p w:rsidR="006B0F54" w:rsidRPr="00902EA4" w:rsidRDefault="006B0F54" w:rsidP="00902EA4">
            <w:r w:rsidRPr="00902EA4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  <w:gridSpan w:val="3"/>
              </w:tcPr>
              <w:p w:rsidR="006B0F54" w:rsidRPr="00902EA4" w:rsidRDefault="004C0153" w:rsidP="00902EA4">
                <w:pPr>
                  <w:rPr>
                    <w:color w:val="000000" w:themeColor="text1"/>
                  </w:rPr>
                </w:pPr>
                <w:r w:rsidRPr="00902EA4">
                  <w:rPr>
                    <w:color w:val="000000" w:themeColor="text1"/>
                  </w:rPr>
                  <w:t xml:space="preserve">En el presente documento los Estados </w:t>
                </w:r>
                <w:r w:rsidR="00887EC8" w:rsidRPr="00902EA4">
                  <w:rPr>
                    <w:color w:val="000000" w:themeColor="text1"/>
                  </w:rPr>
                  <w:t xml:space="preserve">Miembros </w:t>
                </w:r>
                <w:r w:rsidRPr="00902EA4">
                  <w:rPr>
                    <w:color w:val="000000" w:themeColor="text1"/>
                  </w:rPr>
                  <w:t xml:space="preserve">de la Unión Africana de Telecomunicaciones proponen un Proyecto de nueva Resolución sobre </w:t>
                </w:r>
                <w:r w:rsidR="00355F4C" w:rsidRPr="00902EA4">
                  <w:rPr>
                    <w:color w:val="000000" w:themeColor="text1"/>
                  </w:rPr>
                  <w:t xml:space="preserve">la facilitación de </w:t>
                </w:r>
                <w:r w:rsidRPr="00902EA4">
                  <w:rPr>
                    <w:color w:val="000000" w:themeColor="text1"/>
                  </w:rPr>
                  <w:t>la aplicaci</w:t>
                </w:r>
                <w:r w:rsidR="00D411FB" w:rsidRPr="00902EA4">
                  <w:rPr>
                    <w:color w:val="000000" w:themeColor="text1"/>
                  </w:rPr>
                  <w:t>ón del Manifiesto Smart Africa.</w:t>
                </w:r>
              </w:p>
            </w:tc>
          </w:sdtContent>
        </w:sdt>
      </w:tr>
    </w:tbl>
    <w:p w:rsidR="004B7B10" w:rsidRPr="00141545" w:rsidRDefault="004B7B10" w:rsidP="00141545">
      <w:pPr>
        <w:pStyle w:val="Headingb"/>
      </w:pPr>
      <w:r w:rsidRPr="00141545">
        <w:t>Introducción</w:t>
      </w:r>
    </w:p>
    <w:p w:rsidR="004B7B10" w:rsidRPr="00902EA4" w:rsidRDefault="004B7B10" w:rsidP="00902EA4">
      <w:r w:rsidRPr="00902EA4">
        <w:t xml:space="preserve">La Cumbre Transformar África, que tuvo lugar del 28 al 31 de octubre de 2013, culminó en la adopción del documento llamado Manifiesto Smart Africa por </w:t>
      </w:r>
      <w:r w:rsidR="00D411FB" w:rsidRPr="00902EA4">
        <w:t>siete (7)</w:t>
      </w:r>
      <w:r w:rsidRPr="00902EA4">
        <w:t xml:space="preserve"> Jefes de Estado africanos, en el cual éstos se comprometen a dirigir la aceleración del desarrollo socioeconómico por medio de las TIC. Los días 30 y 31 de enero de 2014, el Manifiesto Smart Africa fue refrendado por la Unión Africana en la 22ª sesión ordinaria de la Asamblea de la Unión Africana en Adís Abeba.</w:t>
      </w:r>
    </w:p>
    <w:p w:rsidR="004B7B10" w:rsidRPr="00902EA4" w:rsidRDefault="004B7B10" w:rsidP="00902EA4">
      <w:r w:rsidRPr="00902EA4">
        <w:t>La secretaría de Smart Africa fue establecida en octubre de 2015 para coordinar la ejecución de las iniciativas de Smart Africa.</w:t>
      </w:r>
    </w:p>
    <w:p w:rsidR="004B7B10" w:rsidRPr="00902EA4" w:rsidRDefault="004B7B10" w:rsidP="00902EA4">
      <w:r w:rsidRPr="00902EA4">
        <w:t>La Conferencia Plenipotenciarios de la Unión Internacional de Telecomunicaciones (Busán, 2014) pidió a la UIT que implique a los diferentes organismos de las Naciones Unidas en la promoción de los diversos componentes de los programas de Smart Africa, con arreglo al alcance y el mandato de los mismos.</w:t>
      </w:r>
    </w:p>
    <w:p w:rsidR="004B7B10" w:rsidRPr="00141545" w:rsidRDefault="004B7B10" w:rsidP="00141545">
      <w:pPr>
        <w:pStyle w:val="Headingb"/>
      </w:pPr>
      <w:r w:rsidRPr="00141545">
        <w:t>Propuesta</w:t>
      </w:r>
    </w:p>
    <w:p w:rsidR="004B7B10" w:rsidRPr="00902EA4" w:rsidRDefault="004B7B10" w:rsidP="00902EA4">
      <w:r w:rsidRPr="00902EA4">
        <w:t xml:space="preserve">Teniendo en cuenta la operacionalización de la Alianza Smart Africa como marco para </w:t>
      </w:r>
      <w:r w:rsidR="00EA4763" w:rsidRPr="00902EA4">
        <w:t xml:space="preserve">la </w:t>
      </w:r>
      <w:r w:rsidR="003E7373" w:rsidRPr="00902EA4">
        <w:t>aplicación</w:t>
      </w:r>
      <w:r w:rsidRPr="00902EA4">
        <w:t xml:space="preserve">, </w:t>
      </w:r>
      <w:r w:rsidR="00D411FB" w:rsidRPr="00902EA4">
        <w:t>supervisión</w:t>
      </w:r>
      <w:r w:rsidRPr="00902EA4">
        <w:t xml:space="preserve"> y evaluación del </w:t>
      </w:r>
      <w:r w:rsidR="00EA4763" w:rsidRPr="00902EA4">
        <w:t>M</w:t>
      </w:r>
      <w:r w:rsidRPr="00902EA4">
        <w:t>anifiesto Smart Africa.</w:t>
      </w:r>
    </w:p>
    <w:p w:rsidR="004B7B10" w:rsidRPr="00902EA4" w:rsidRDefault="004B7B10" w:rsidP="00902EA4">
      <w:r w:rsidRPr="00902EA4">
        <w:t xml:space="preserve">El UIT-T debe tomar las medidas </w:t>
      </w:r>
      <w:r w:rsidR="00D411FB" w:rsidRPr="00902EA4">
        <w:t>adecuadas</w:t>
      </w:r>
      <w:r w:rsidRPr="00902EA4">
        <w:t xml:space="preserve"> </w:t>
      </w:r>
      <w:r w:rsidR="00EA4763" w:rsidRPr="00902EA4">
        <w:t xml:space="preserve">de conformidad con </w:t>
      </w:r>
      <w:r w:rsidRPr="00902EA4">
        <w:t xml:space="preserve">la Resolución 195 (Busán, 2014) sobre la "Aplicación del Manifiesto Smart Africa" </w:t>
      </w:r>
      <w:r w:rsidR="00D411FB" w:rsidRPr="00902EA4">
        <w:t xml:space="preserve">y proporcionar </w:t>
      </w:r>
      <w:r w:rsidRPr="00902EA4">
        <w:t xml:space="preserve">asistencia en ámbitos que figuran </w:t>
      </w:r>
      <w:r w:rsidR="00EA4763" w:rsidRPr="00902EA4">
        <w:t>en su alcance</w:t>
      </w:r>
      <w:r w:rsidRPr="00902EA4">
        <w:t xml:space="preserve"> y su mandato, con objeto de que </w:t>
      </w:r>
      <w:r w:rsidR="00D411FB" w:rsidRPr="00902EA4">
        <w:t>la AMNT</w:t>
      </w:r>
      <w:r w:rsidR="00D411FB" w:rsidRPr="00902EA4">
        <w:noBreakHyphen/>
        <w:t xml:space="preserve">16 </w:t>
      </w:r>
      <w:r w:rsidR="005752F6" w:rsidRPr="00902EA4">
        <w:t>elabore</w:t>
      </w:r>
      <w:r w:rsidR="00EA4763" w:rsidRPr="00902EA4">
        <w:t xml:space="preserve"> </w:t>
      </w:r>
      <w:r w:rsidRPr="00902EA4">
        <w:t xml:space="preserve">una </w:t>
      </w:r>
      <w:r w:rsidR="00355F4C" w:rsidRPr="00902EA4">
        <w:t>Resolución a</w:t>
      </w:r>
      <w:r w:rsidR="00D411FB" w:rsidRPr="00902EA4">
        <w:t xml:space="preserve"> estos efectos</w:t>
      </w:r>
      <w:r w:rsidRPr="00902EA4">
        <w:t>.</w:t>
      </w:r>
    </w:p>
    <w:p w:rsidR="00B07178" w:rsidRDefault="00D411FB" w:rsidP="00DD5F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902EA4">
        <w:t xml:space="preserve">Por consiguiente, los Estados </w:t>
      </w:r>
      <w:r w:rsidR="006A447D" w:rsidRPr="00902EA4">
        <w:t xml:space="preserve">Miembros </w:t>
      </w:r>
      <w:r w:rsidRPr="00902EA4">
        <w:t xml:space="preserve">africanos </w:t>
      </w:r>
      <w:r w:rsidR="004B7B10" w:rsidRPr="00902EA4">
        <w:t>proponen que se adopte una nueva Resolución "Facilitar la aplicación del Manifiesto Smart Africa"</w:t>
      </w:r>
      <w:r w:rsidR="005752F6" w:rsidRPr="00902EA4">
        <w:t>,</w:t>
      </w:r>
      <w:r w:rsidR="004B7B10" w:rsidRPr="00902EA4">
        <w:t xml:space="preserve"> </w:t>
      </w:r>
      <w:r w:rsidRPr="00902EA4">
        <w:t xml:space="preserve">tal como se recoge </w:t>
      </w:r>
      <w:r w:rsidR="004B7B10" w:rsidRPr="00902EA4">
        <w:t>en el Anexo.</w:t>
      </w:r>
    </w:p>
    <w:p w:rsidR="00141545" w:rsidRDefault="001415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41545" w:rsidRDefault="00141545" w:rsidP="00141545"/>
    <w:p w:rsidR="009C76D2" w:rsidRPr="00902EA4" w:rsidRDefault="00CA4901" w:rsidP="00902EA4">
      <w:pPr>
        <w:pStyle w:val="Proposal"/>
      </w:pPr>
      <w:r w:rsidRPr="00902EA4">
        <w:t>ADD</w:t>
      </w:r>
      <w:r w:rsidRPr="00902EA4">
        <w:tab/>
        <w:t>AFCP/42A33/1</w:t>
      </w:r>
    </w:p>
    <w:p w:rsidR="009C76D2" w:rsidRPr="00902EA4" w:rsidRDefault="00CA4901" w:rsidP="00902EA4">
      <w:pPr>
        <w:pStyle w:val="ResNo"/>
      </w:pPr>
      <w:r w:rsidRPr="00902EA4">
        <w:t>PROY</w:t>
      </w:r>
      <w:r w:rsidR="004B7B10" w:rsidRPr="00902EA4">
        <w:t>ECTO DE NUEVA RESOLUCIÓN [AFCP-</w:t>
      </w:r>
      <w:r w:rsidR="00C22D14" w:rsidRPr="00902EA4">
        <w:t>8</w:t>
      </w:r>
      <w:r w:rsidRPr="00902EA4">
        <w:t>]</w:t>
      </w:r>
    </w:p>
    <w:p w:rsidR="004B7B10" w:rsidRPr="00902EA4" w:rsidRDefault="004B7B10" w:rsidP="00902EA4">
      <w:pPr>
        <w:pStyle w:val="Restitle"/>
      </w:pPr>
      <w:r w:rsidRPr="00902EA4">
        <w:t>Facilitar la aplicación del Manifiesto Smart Africa</w:t>
      </w:r>
    </w:p>
    <w:p w:rsidR="00E1479E" w:rsidRPr="00902EA4" w:rsidRDefault="00E1479E" w:rsidP="00902EA4">
      <w:pPr>
        <w:keepNext/>
        <w:keepLines/>
        <w:jc w:val="center"/>
        <w:rPr>
          <w:i/>
        </w:rPr>
      </w:pPr>
      <w:r w:rsidRPr="00902EA4">
        <w:rPr>
          <w:i/>
        </w:rPr>
        <w:t>(Hammamet, 2016)</w:t>
      </w:r>
    </w:p>
    <w:p w:rsidR="004B7B10" w:rsidRPr="00902EA4" w:rsidRDefault="004B7B10" w:rsidP="00902EA4">
      <w:r w:rsidRPr="00902EA4">
        <w:t>La Asamblea Mundial de Normalización de las Telecomunicaciones (Hammamet, 2016),</w:t>
      </w:r>
    </w:p>
    <w:p w:rsidR="004B7B10" w:rsidRPr="00902EA4" w:rsidRDefault="004B7B10" w:rsidP="00902EA4">
      <w:pPr>
        <w:pStyle w:val="Call"/>
      </w:pPr>
      <w:r w:rsidRPr="00902EA4">
        <w:t>recordando</w:t>
      </w:r>
    </w:p>
    <w:p w:rsidR="004B7B10" w:rsidRPr="00902EA4" w:rsidRDefault="004B7B10" w:rsidP="00902EA4">
      <w:r w:rsidRPr="00902EA4">
        <w:rPr>
          <w:i/>
          <w:iCs/>
        </w:rPr>
        <w:t>a)</w:t>
      </w:r>
      <w:r w:rsidRPr="00902EA4">
        <w:tab/>
        <w:t>la Resolución 195 (Busán, 2014) de la Conferencia de Plenipotenciarios, "Aplicación del Manifiesto Smart Africa";</w:t>
      </w:r>
    </w:p>
    <w:p w:rsidR="004B7B10" w:rsidRPr="00902EA4" w:rsidRDefault="004B7B10" w:rsidP="00902EA4">
      <w:r w:rsidRPr="00902EA4">
        <w:rPr>
          <w:i/>
          <w:iCs/>
        </w:rPr>
        <w:t>b)</w:t>
      </w:r>
      <w:r w:rsidRPr="00902EA4">
        <w:tab/>
        <w:t>la Resolución 197 (Busán, 2014) de la Conferencia de Plenipotenciarios, "Facilitación de la Internet de las cosas como preparación para un mundo globalmente conectado";</w:t>
      </w:r>
    </w:p>
    <w:p w:rsidR="004B7B10" w:rsidRPr="00902EA4" w:rsidRDefault="004B7B10" w:rsidP="00902EA4">
      <w:r w:rsidRPr="00902EA4">
        <w:rPr>
          <w:i/>
          <w:iCs/>
        </w:rPr>
        <w:t>c)</w:t>
      </w:r>
      <w:r w:rsidRPr="00902EA4">
        <w:tab/>
        <w:t>que es de la máxima importancia que los países en desarrollo participen activamente y contribuyan al desarrollo de las normas de telecomunicaciones/TIC,</w:t>
      </w:r>
    </w:p>
    <w:p w:rsidR="004B7B10" w:rsidRPr="00902EA4" w:rsidRDefault="004B7B10" w:rsidP="00902EA4">
      <w:pPr>
        <w:pStyle w:val="Call"/>
      </w:pPr>
      <w:r w:rsidRPr="00902EA4">
        <w:t>considerando</w:t>
      </w:r>
    </w:p>
    <w:p w:rsidR="004B7B10" w:rsidRPr="00902EA4" w:rsidRDefault="004B7B10" w:rsidP="00902EA4">
      <w:r w:rsidRPr="00902EA4">
        <w:rPr>
          <w:i/>
          <w:iCs/>
        </w:rPr>
        <w:t>a)</w:t>
      </w:r>
      <w:r w:rsidRPr="00902EA4">
        <w:tab/>
        <w:t>la Resolución 30 (Rev. Busán, 2014) sobre medidas especiales en favor de los países menos adelantados (PMA), los pequeños Estados insulares en desarrollo (PEID), los países en desarrollo sin litoral (PDSL) y los países con economías en transición;</w:t>
      </w:r>
    </w:p>
    <w:p w:rsidR="004B7B10" w:rsidRPr="00902EA4" w:rsidRDefault="004B7B10" w:rsidP="00902EA4">
      <w:r w:rsidRPr="00902EA4">
        <w:rPr>
          <w:i/>
          <w:iCs/>
        </w:rPr>
        <w:t>b)</w:t>
      </w:r>
      <w:r w:rsidRPr="00902EA4">
        <w:tab/>
        <w:t>que en virtud del Plan Estratégico de la Unión para 2016-2019, el UIT-T ha de "proporcionar apoyo y asistencia a los países en desarrollo en la reducción de la brecha en materia de normalización por lo que se refiere a asuntos relacionados con la normalización, infraestructuras y aplicaciones de las redes de información y comunicación, y los correspondientes materiales de capacitación para la creación de capacidades, teniendo en cuenta las características del entorno de las telecomunicaciones de los países en desarrollo";</w:t>
      </w:r>
    </w:p>
    <w:p w:rsidR="004B7B10" w:rsidRPr="00902EA4" w:rsidRDefault="004B7B10" w:rsidP="00902EA4">
      <w:r w:rsidRPr="00902EA4">
        <w:rPr>
          <w:i/>
          <w:iCs/>
        </w:rPr>
        <w:t>c)</w:t>
      </w:r>
      <w:r w:rsidRPr="00902EA4">
        <w:tab/>
        <w:t>que varios sectores industriales, entre ellos los relativos a la energía, el transporte, la sanidad, la agricultura, la gestión de catástrofes, la seguridad pública y las redes domésticas, dependerán de redes y tecnologías de comunicaciones emergentes;</w:t>
      </w:r>
    </w:p>
    <w:p w:rsidR="004B7B10" w:rsidRPr="00902EA4" w:rsidRDefault="004B7B10" w:rsidP="00902EA4">
      <w:r w:rsidRPr="00902EA4">
        <w:rPr>
          <w:i/>
          <w:iCs/>
        </w:rPr>
        <w:t>d)</w:t>
      </w:r>
      <w:r w:rsidRPr="00902EA4">
        <w:tab/>
        <w:t xml:space="preserve">que en la Resolución 1353 del Consejo de la UIT se reconoce que las telecomunicaciones y las TIC son componentes esenciales para que los países desarrollados y los países en desarrollo alcancen </w:t>
      </w:r>
      <w:r w:rsidR="0035541B" w:rsidRPr="00902EA4">
        <w:t>un</w:t>
      </w:r>
      <w:r w:rsidRPr="00902EA4">
        <w:t xml:space="preserve"> desarrollo sostenible, y se encarga al Secretario General, en colaboración con los Directores de las Oficinas, que identifique las nuevas actividades que debe emprender la UIT para ayudar a los países en desarrollo a lograr el desarrollo sostenible a través de las telecomunicaciones y las TIC,</w:t>
      </w:r>
    </w:p>
    <w:p w:rsidR="004B7B10" w:rsidRPr="00902EA4" w:rsidRDefault="004B7B10" w:rsidP="00902EA4">
      <w:pPr>
        <w:pStyle w:val="Call"/>
      </w:pPr>
      <w:r w:rsidRPr="00902EA4">
        <w:t xml:space="preserve">teniendo en cuenta </w:t>
      </w:r>
    </w:p>
    <w:p w:rsidR="004B7B10" w:rsidRPr="00902EA4" w:rsidRDefault="004B7B10" w:rsidP="00902EA4">
      <w:r w:rsidRPr="00902EA4">
        <w:t xml:space="preserve">el mandato de la secretaría de Smart Africa </w:t>
      </w:r>
      <w:r w:rsidR="0035541B" w:rsidRPr="00902EA4">
        <w:t xml:space="preserve">en consonancia con </w:t>
      </w:r>
      <w:r w:rsidRPr="00902EA4">
        <w:t>los objetivos de la Unión para países en desa</w:t>
      </w:r>
      <w:r w:rsidR="00AD4BBA">
        <w:t>rrollo;</w:t>
      </w:r>
    </w:p>
    <w:p w:rsidR="004B7B10" w:rsidRPr="00902EA4" w:rsidRDefault="004B7B10" w:rsidP="00902EA4">
      <w:pPr>
        <w:pStyle w:val="Call"/>
      </w:pPr>
      <w:r w:rsidRPr="00902EA4">
        <w:t>reconociendo</w:t>
      </w:r>
    </w:p>
    <w:p w:rsidR="004B7B10" w:rsidRPr="00902EA4" w:rsidRDefault="004B7B10" w:rsidP="00902EA4">
      <w:r w:rsidRPr="00902EA4">
        <w:rPr>
          <w:i/>
          <w:iCs/>
        </w:rPr>
        <w:t>a)</w:t>
      </w:r>
      <w:r w:rsidRPr="00902EA4">
        <w:tab/>
        <w:t xml:space="preserve">que los Estados Miembros, </w:t>
      </w:r>
      <w:r w:rsidR="00355F4C" w:rsidRPr="00902EA4">
        <w:t xml:space="preserve">asociados </w:t>
      </w:r>
      <w:r w:rsidRPr="00902EA4">
        <w:t>industriales y organizaciones de Smart Africa que trabajan sobre diversos proyectos necesitarán normas;</w:t>
      </w:r>
    </w:p>
    <w:p w:rsidR="004B7B10" w:rsidRPr="00902EA4" w:rsidRDefault="004B7B10" w:rsidP="00902EA4">
      <w:r w:rsidRPr="00902EA4">
        <w:rPr>
          <w:i/>
          <w:iCs/>
        </w:rPr>
        <w:lastRenderedPageBreak/>
        <w:t>b)</w:t>
      </w:r>
      <w:r w:rsidRPr="00902EA4">
        <w:tab/>
        <w:t>que el UIT-T es responsable de los trabajos de normalización relativos a tecnologías emergentes,</w:t>
      </w:r>
    </w:p>
    <w:p w:rsidR="004B7B10" w:rsidRPr="00902EA4" w:rsidRDefault="004B7B10" w:rsidP="00902EA4">
      <w:pPr>
        <w:pStyle w:val="Call"/>
      </w:pPr>
      <w:r w:rsidRPr="00902EA4">
        <w:t>resuelv</w:t>
      </w:r>
      <w:bookmarkStart w:id="0" w:name="_GoBack"/>
      <w:bookmarkEnd w:id="0"/>
      <w:r w:rsidRPr="00902EA4">
        <w:t>e encargar a las Comisiones de Estudio del UIT-T</w:t>
      </w:r>
    </w:p>
    <w:p w:rsidR="004B7B10" w:rsidRPr="00902EA4" w:rsidRDefault="004B7B10" w:rsidP="00902EA4">
      <w:r w:rsidRPr="00902EA4">
        <w:t>1</w:t>
      </w:r>
      <w:r w:rsidRPr="00902EA4">
        <w:tab/>
        <w:t xml:space="preserve">que elaboren Recomendaciones del UIT-T destinadas a aplicar tecnologías emergentes, teniendo particularmente en cuenta </w:t>
      </w:r>
      <w:r w:rsidR="0035541B" w:rsidRPr="00902EA4">
        <w:t xml:space="preserve">a </w:t>
      </w:r>
      <w:r w:rsidRPr="00902EA4">
        <w:t>los países en desarrollo;</w:t>
      </w:r>
    </w:p>
    <w:p w:rsidR="004B7B10" w:rsidRPr="00902EA4" w:rsidRDefault="004B7B10" w:rsidP="00902EA4">
      <w:r w:rsidRPr="00902EA4">
        <w:t>2</w:t>
      </w:r>
      <w:r w:rsidRPr="00902EA4">
        <w:tab/>
        <w:t>que colaboren con la oficina de Smart Africa en lo que respecta a normas relacionadas con tecnologías emergentes, insistiendo particularmente en casos y posibilidades de utilización en países en desarrollo mediante reuniones, foros, talleres, etc. regionales;</w:t>
      </w:r>
    </w:p>
    <w:p w:rsidR="004B7B10" w:rsidRPr="00902EA4" w:rsidRDefault="004B7B10" w:rsidP="00902EA4">
      <w:r w:rsidRPr="00902EA4">
        <w:t>3</w:t>
      </w:r>
      <w:r w:rsidRPr="00902EA4">
        <w:tab/>
        <w:t xml:space="preserve">que colaboren con la oficina de Smart Africa sobre un modelo de utilización de </w:t>
      </w:r>
      <w:r w:rsidR="0035541B" w:rsidRPr="00902EA4">
        <w:t xml:space="preserve">la </w:t>
      </w:r>
      <w:r w:rsidRPr="00902EA4">
        <w:t>tecnología para países de la región desde el punto de vista de la interoperabilidad a fin de lograr un marco normalizado de protocolos abiertos para el intercambio de datos e información,</w:t>
      </w:r>
    </w:p>
    <w:p w:rsidR="004B7B10" w:rsidRPr="00F82787" w:rsidRDefault="004B7B10" w:rsidP="00F82787">
      <w:pPr>
        <w:pStyle w:val="Call"/>
      </w:pPr>
      <w:r w:rsidRPr="00F82787">
        <w:t>encarga al Director de la Oficina de Normalización de las Telecomunicaciones</w:t>
      </w:r>
      <w:r w:rsidR="00C22D14" w:rsidRPr="00F82787">
        <w:t xml:space="preserve"> </w:t>
      </w:r>
      <w:r w:rsidR="003E7373" w:rsidRPr="00F82787">
        <w:t>en colaboración con el Director de la Oficina de Desarrollo de las Telecomunicaciones</w:t>
      </w:r>
    </w:p>
    <w:p w:rsidR="004B7B10" w:rsidRPr="00902EA4" w:rsidRDefault="004B7B10" w:rsidP="00902EA4">
      <w:r w:rsidRPr="00902EA4">
        <w:t>1</w:t>
      </w:r>
      <w:r w:rsidRPr="00902EA4">
        <w:tab/>
        <w:t>que establezca mecanismos de colaboración y cooperación entre las Comisiones de Estudio del UIT-T y la oficina de Smart Africa a fin de coordinar y facilitar la elaboración de normas;</w:t>
      </w:r>
    </w:p>
    <w:p w:rsidR="00C22D14" w:rsidRPr="00902EA4" w:rsidRDefault="003E7373" w:rsidP="00902EA4">
      <w:r w:rsidRPr="00902EA4">
        <w:t>2</w:t>
      </w:r>
      <w:r w:rsidR="00C22D14" w:rsidRPr="00902EA4">
        <w:tab/>
      </w:r>
      <w:r w:rsidRPr="00902EA4">
        <w:t xml:space="preserve">que siga apoyando al Manifiesto Smart Africa de conformidad </w:t>
      </w:r>
      <w:r w:rsidR="00355F4C" w:rsidRPr="00902EA4">
        <w:t>con la R</w:t>
      </w:r>
      <w:r w:rsidRPr="00902EA4">
        <w:t>esolución 195 (B</w:t>
      </w:r>
      <w:r w:rsidR="00355F4C" w:rsidRPr="00902EA4">
        <w:t>u</w:t>
      </w:r>
      <w:r w:rsidRPr="00902EA4">
        <w:t>sán, 2014) de la Conferencia de Plenipotenciarios;</w:t>
      </w:r>
    </w:p>
    <w:p w:rsidR="004B7B10" w:rsidRPr="00902EA4" w:rsidRDefault="00355F4C" w:rsidP="00902EA4">
      <w:r w:rsidRPr="00902EA4">
        <w:t>3</w:t>
      </w:r>
      <w:r w:rsidR="004B7B10" w:rsidRPr="00902EA4">
        <w:tab/>
        <w:t xml:space="preserve">que </w:t>
      </w:r>
      <w:r w:rsidR="003E7373" w:rsidRPr="00902EA4">
        <w:t>preste</w:t>
      </w:r>
      <w:r w:rsidR="004B7B10" w:rsidRPr="00902EA4">
        <w:t xml:space="preserve"> la asistencia</w:t>
      </w:r>
      <w:r w:rsidR="003E7373" w:rsidRPr="00902EA4">
        <w:t xml:space="preserve"> a Smart Africa y a los Grupos de Trabajo Regionales </w:t>
      </w:r>
      <w:r w:rsidR="004B7B10" w:rsidRPr="00902EA4">
        <w:t>dentro del presupuesto asignado</w:t>
      </w:r>
      <w:r w:rsidRPr="00902EA4">
        <w:t xml:space="preserve"> para llevar a cabo</w:t>
      </w:r>
      <w:r w:rsidR="004B7B10" w:rsidRPr="00902EA4">
        <w:t xml:space="preserve"> proyectos piloto destinados a acelerar la aplicación de </w:t>
      </w:r>
      <w:r w:rsidR="003E7373" w:rsidRPr="00902EA4">
        <w:t>normas y Recomendaciones de la UIT</w:t>
      </w:r>
      <w:r w:rsidR="004B7B10" w:rsidRPr="00902EA4">
        <w:t>;</w:t>
      </w:r>
    </w:p>
    <w:p w:rsidR="004B7B10" w:rsidRPr="00902EA4" w:rsidRDefault="004B7B10" w:rsidP="00902EA4">
      <w:r w:rsidRPr="00902EA4">
        <w:t>4</w:t>
      </w:r>
      <w:r w:rsidRPr="00902EA4">
        <w:tab/>
        <w:t xml:space="preserve">que fortalezca la capacitación y </w:t>
      </w:r>
      <w:r w:rsidR="001B4471" w:rsidRPr="00902EA4">
        <w:t xml:space="preserve">oriente a los Estados </w:t>
      </w:r>
      <w:r w:rsidR="005E752A" w:rsidRPr="00902EA4">
        <w:t>Miembros</w:t>
      </w:r>
      <w:r w:rsidR="001B4471" w:rsidRPr="00902EA4">
        <w:t>, asociados industriales y organizaciones de Smart Africa en su adopción de normas del UIT-T</w:t>
      </w:r>
      <w:r w:rsidRPr="00902EA4">
        <w:t>.</w:t>
      </w:r>
    </w:p>
    <w:p w:rsidR="004B7B10" w:rsidRPr="00902EA4" w:rsidRDefault="004B7B10" w:rsidP="00902EA4">
      <w:pPr>
        <w:pStyle w:val="Reasons"/>
      </w:pPr>
    </w:p>
    <w:p w:rsidR="009C76D2" w:rsidRPr="00902EA4" w:rsidRDefault="004B7B10" w:rsidP="00902EA4">
      <w:pPr>
        <w:jc w:val="center"/>
      </w:pPr>
      <w:r w:rsidRPr="00902EA4">
        <w:t>______________</w:t>
      </w:r>
    </w:p>
    <w:sectPr w:rsidR="009C76D2" w:rsidRPr="00902EA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545">
      <w:rPr>
        <w:noProof/>
      </w:rPr>
      <w:t>30.10.16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DD5FC7" w:rsidRDefault="00DD5FC7" w:rsidP="00DD5FC7">
    <w:pPr>
      <w:pStyle w:val="Footer"/>
      <w:rPr>
        <w:lang w:val="fr-CH"/>
      </w:rPr>
    </w:pPr>
    <w:r>
      <w:fldChar w:fldCharType="begin"/>
    </w:r>
    <w:r w:rsidRPr="00DD5FC7">
      <w:rPr>
        <w:lang w:val="fr-CH"/>
      </w:rPr>
      <w:instrText xml:space="preserve"> FILENAME \p  \* MERGEFORMAT </w:instrText>
    </w:r>
    <w:r>
      <w:fldChar w:fldCharType="separate"/>
    </w:r>
    <w:r w:rsidRPr="00DD5FC7">
      <w:rPr>
        <w:lang w:val="fr-CH"/>
      </w:rPr>
      <w:t>P:\ESP\ITU-T\CONF-T\WTSA16\000\042ADD33S.docx</w:t>
    </w:r>
    <w:r>
      <w:fldChar w:fldCharType="end"/>
    </w:r>
    <w:r>
      <w:rPr>
        <w:lang w:val="fr-CH"/>
      </w:rPr>
      <w:t xml:space="preserve"> (407952</w:t>
    </w:r>
    <w:r w:rsidRPr="00DD5FC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DD5FC7" w:rsidRDefault="00DD5FC7" w:rsidP="00DD5FC7">
    <w:pPr>
      <w:pStyle w:val="Footer"/>
      <w:rPr>
        <w:lang w:val="fr-CH"/>
      </w:rPr>
    </w:pPr>
    <w:r>
      <w:fldChar w:fldCharType="begin"/>
    </w:r>
    <w:r w:rsidRPr="00DD5FC7">
      <w:rPr>
        <w:lang w:val="fr-CH"/>
      </w:rPr>
      <w:instrText xml:space="preserve"> FILENAME \p  \* MERGEFORMAT </w:instrText>
    </w:r>
    <w:r>
      <w:fldChar w:fldCharType="separate"/>
    </w:r>
    <w:r w:rsidRPr="00DD5FC7">
      <w:rPr>
        <w:lang w:val="fr-CH"/>
      </w:rPr>
      <w:t>P:\ESP\ITU-T\CONF-T\WTSA16\000\042ADD33S.docx</w:t>
    </w:r>
    <w:r>
      <w:fldChar w:fldCharType="end"/>
    </w:r>
    <w:r>
      <w:rPr>
        <w:lang w:val="fr-CH"/>
      </w:rPr>
      <w:t xml:space="preserve"> (407952</w:t>
    </w:r>
    <w:r w:rsidRPr="00DD5FC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2787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16/42(Add.33)-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41545"/>
    <w:rsid w:val="0015142D"/>
    <w:rsid w:val="001616DC"/>
    <w:rsid w:val="00163962"/>
    <w:rsid w:val="00183615"/>
    <w:rsid w:val="00191A97"/>
    <w:rsid w:val="001A083F"/>
    <w:rsid w:val="001B4471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541B"/>
    <w:rsid w:val="00355F4C"/>
    <w:rsid w:val="00363A65"/>
    <w:rsid w:val="00377EC9"/>
    <w:rsid w:val="003B1E8C"/>
    <w:rsid w:val="003C2508"/>
    <w:rsid w:val="003D0AA3"/>
    <w:rsid w:val="003E7373"/>
    <w:rsid w:val="004104AC"/>
    <w:rsid w:val="00454553"/>
    <w:rsid w:val="00476FB2"/>
    <w:rsid w:val="004B124A"/>
    <w:rsid w:val="004B520A"/>
    <w:rsid w:val="004B7B10"/>
    <w:rsid w:val="004C0153"/>
    <w:rsid w:val="004C3636"/>
    <w:rsid w:val="004C3A5A"/>
    <w:rsid w:val="004E4A6B"/>
    <w:rsid w:val="00523269"/>
    <w:rsid w:val="00532097"/>
    <w:rsid w:val="00566BEE"/>
    <w:rsid w:val="005752F6"/>
    <w:rsid w:val="0058350F"/>
    <w:rsid w:val="005A374D"/>
    <w:rsid w:val="005E752A"/>
    <w:rsid w:val="005E782D"/>
    <w:rsid w:val="005F2605"/>
    <w:rsid w:val="00662039"/>
    <w:rsid w:val="00662BA0"/>
    <w:rsid w:val="00681766"/>
    <w:rsid w:val="00692AAE"/>
    <w:rsid w:val="006A447D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50818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5F37"/>
    <w:rsid w:val="00866AE6"/>
    <w:rsid w:val="00866BBD"/>
    <w:rsid w:val="00873B75"/>
    <w:rsid w:val="008750A8"/>
    <w:rsid w:val="00887EC8"/>
    <w:rsid w:val="008E35DA"/>
    <w:rsid w:val="008E4453"/>
    <w:rsid w:val="0090121B"/>
    <w:rsid w:val="00902EA4"/>
    <w:rsid w:val="009144C9"/>
    <w:rsid w:val="00916196"/>
    <w:rsid w:val="0094091F"/>
    <w:rsid w:val="00973754"/>
    <w:rsid w:val="0097673E"/>
    <w:rsid w:val="00990278"/>
    <w:rsid w:val="009A137D"/>
    <w:rsid w:val="009C0BED"/>
    <w:rsid w:val="009C76D2"/>
    <w:rsid w:val="009E11EC"/>
    <w:rsid w:val="009F6A67"/>
    <w:rsid w:val="00A118DB"/>
    <w:rsid w:val="00A24AC0"/>
    <w:rsid w:val="00A3148F"/>
    <w:rsid w:val="00A4450C"/>
    <w:rsid w:val="00A86B8F"/>
    <w:rsid w:val="00AA5E6C"/>
    <w:rsid w:val="00AB4E90"/>
    <w:rsid w:val="00AD4BBA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2D14"/>
    <w:rsid w:val="00C614DC"/>
    <w:rsid w:val="00C63EB5"/>
    <w:rsid w:val="00C858D0"/>
    <w:rsid w:val="00CA1F40"/>
    <w:rsid w:val="00CA4901"/>
    <w:rsid w:val="00CB35C9"/>
    <w:rsid w:val="00CC01E0"/>
    <w:rsid w:val="00CD5FEE"/>
    <w:rsid w:val="00CD663E"/>
    <w:rsid w:val="00CE60D2"/>
    <w:rsid w:val="00D0288A"/>
    <w:rsid w:val="00D164B4"/>
    <w:rsid w:val="00D411FB"/>
    <w:rsid w:val="00D56781"/>
    <w:rsid w:val="00D72A5D"/>
    <w:rsid w:val="00DC629B"/>
    <w:rsid w:val="00DD5FC7"/>
    <w:rsid w:val="00E05BFF"/>
    <w:rsid w:val="00E1479E"/>
    <w:rsid w:val="00E21778"/>
    <w:rsid w:val="00E262F1"/>
    <w:rsid w:val="00E30A7B"/>
    <w:rsid w:val="00E32BEE"/>
    <w:rsid w:val="00E47B44"/>
    <w:rsid w:val="00E71D14"/>
    <w:rsid w:val="00E8097C"/>
    <w:rsid w:val="00E83D45"/>
    <w:rsid w:val="00E94A4A"/>
    <w:rsid w:val="00EA4763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82787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4C01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15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2049B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49B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09AAFFD57A9844B8A77D5B3564A16E67">
    <w:name w:val="09AAFFD57A9844B8A77D5B3564A16E67"/>
    <w:rsid w:val="00B2049B"/>
  </w:style>
  <w:style w:type="paragraph" w:customStyle="1" w:styleId="FF39F280974F4DC3925C94EBD50165DF">
    <w:name w:val="FF39F280974F4DC3925C94EBD50165DF"/>
    <w:rsid w:val="00B2049B"/>
  </w:style>
  <w:style w:type="paragraph" w:customStyle="1" w:styleId="8E1F0D4CF5A6458B97E3CCCABFD801CC">
    <w:name w:val="8E1F0D4CF5A6458B97E3CCCABFD801CC"/>
    <w:rsid w:val="00B2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0e6cd9-85e9-4c4c-b47d-f7d28d3084db">Documents Proposals Manager (DPM)</DPM_x0020_Author>
    <DPM_x0020_File_x0020_name xmlns="690e6cd9-85e9-4c4c-b47d-f7d28d3084db">T13-WTSA.16-C-0042!A33!MSW-S</DPM_x0020_File_x0020_name>
    <DPM_x0020_Version xmlns="690e6cd9-85e9-4c4c-b47d-f7d28d3084db">DPM_v2016.10.29.1_prod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0e6cd9-85e9-4c4c-b47d-f7d28d3084db" targetNamespace="http://schemas.microsoft.com/office/2006/metadata/properties" ma:root="true" ma:fieldsID="d41af5c836d734370eb92e7ee5f83852" ns2:_="" ns3:_="">
    <xsd:import namespace="996b2e75-67fd-4955-a3b0-5ab9934cb50b"/>
    <xsd:import namespace="690e6cd9-85e9-4c4c-b47d-f7d28d3084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e6cd9-85e9-4c4c-b47d-f7d28d3084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90e6cd9-85e9-4c4c-b47d-f7d28d3084d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0e6cd9-85e9-4c4c-b47d-f7d28d308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DAB06-F3FD-4A6E-9A07-C0628598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T13-WTSA.16-C-0042!A33!MSW-S</vt:lpstr>
    </vt:vector>
  </TitlesOfParts>
  <Manager>Secretaría General - Pool</Manager>
  <Company>International Telecommunication Union (ITU)</Company>
  <LinksUpToDate>false</LinksUpToDate>
  <CharactersWithSpaces>6356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T13-WTSA.16-C-0042!A33!MSW-S</dc:title>
  <dc:subject>World Telecommunication Standardization Assembly</dc:subject>
  <dc:creator>Documents Proposals Manager (DPM)</dc:creator>
  <cp:keywords>DPM_v2016.10.29.1_prod</cp:keywords>
  <dc:description>Template used by DPM and CPI for the WTSA-16</dc:description>
  <cp:lastModifiedBy>Spanish</cp:lastModifiedBy>
  <cp:revision>7</cp:revision>
  <cp:lastPrinted>2016-03-08T15:23:00Z</cp:lastPrinted>
  <dcterms:created xsi:type="dcterms:W3CDTF">2016-10-30T18:45:00Z</dcterms:created>
  <dcterms:modified xsi:type="dcterms:W3CDTF">2016-10-30T21:49:00Z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