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B38FF" w:rsidTr="004B520A">
        <w:trPr>
          <w:cantSplit/>
        </w:trPr>
        <w:tc>
          <w:tcPr>
            <w:tcW w:w="1379" w:type="dxa"/>
            <w:vAlign w:val="center"/>
          </w:tcPr>
          <w:p w:rsidR="000E5EE9" w:rsidRPr="00AB38FF" w:rsidRDefault="000E5EE9" w:rsidP="00AB38F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B38F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B38FF" w:rsidRDefault="000E5EE9" w:rsidP="00AB38F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B38FF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B38FF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B38FF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B38FF" w:rsidRDefault="0028017B" w:rsidP="00AB38F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B38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AB38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B38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B38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B38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B38FF" w:rsidRDefault="000E5EE9" w:rsidP="00AB38FF">
            <w:pPr>
              <w:spacing w:before="0"/>
              <w:jc w:val="right"/>
            </w:pPr>
            <w:r w:rsidRPr="00AB38FF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B38FF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B38FF" w:rsidRDefault="00F0220A" w:rsidP="00AB38F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B38FF" w:rsidRDefault="00F0220A" w:rsidP="00AB38FF">
            <w:pPr>
              <w:spacing w:before="0"/>
            </w:pPr>
          </w:p>
        </w:tc>
      </w:tr>
      <w:tr w:rsidR="005A374D" w:rsidRPr="00AB38FF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B38FF" w:rsidRDefault="005A374D" w:rsidP="00AB38F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B38FF" w:rsidRDefault="005A374D" w:rsidP="00AB38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B38FF" w:rsidTr="004B520A">
        <w:trPr>
          <w:cantSplit/>
        </w:trPr>
        <w:tc>
          <w:tcPr>
            <w:tcW w:w="6613" w:type="dxa"/>
            <w:gridSpan w:val="2"/>
          </w:tcPr>
          <w:p w:rsidR="00E83D45" w:rsidRPr="00AB38FF" w:rsidRDefault="00E83D45" w:rsidP="00AB38F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AB38FF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AB38FF" w:rsidRDefault="00E83D45" w:rsidP="00AB38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B38FF">
              <w:rPr>
                <w:rFonts w:ascii="Verdana" w:hAnsi="Verdana"/>
                <w:b/>
                <w:sz w:val="20"/>
              </w:rPr>
              <w:t>Addéndum 32 al</w:t>
            </w:r>
            <w:r w:rsidRPr="00AB38FF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AB38FF" w:rsidTr="004B520A">
        <w:trPr>
          <w:cantSplit/>
        </w:trPr>
        <w:tc>
          <w:tcPr>
            <w:tcW w:w="6613" w:type="dxa"/>
            <w:gridSpan w:val="2"/>
          </w:tcPr>
          <w:p w:rsidR="00E83D45" w:rsidRPr="00AB38FF" w:rsidRDefault="00E83D45" w:rsidP="00AB38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B38FF" w:rsidRDefault="00E83D45" w:rsidP="00AB38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B38FF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AB38FF" w:rsidTr="004B520A">
        <w:trPr>
          <w:cantSplit/>
        </w:trPr>
        <w:tc>
          <w:tcPr>
            <w:tcW w:w="6613" w:type="dxa"/>
            <w:gridSpan w:val="2"/>
          </w:tcPr>
          <w:p w:rsidR="00E756E3" w:rsidRPr="00AB38FF" w:rsidRDefault="00E756E3" w:rsidP="00AB38F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B38FF" w:rsidRDefault="00E83D45" w:rsidP="00AB38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B38F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B38FF" w:rsidTr="004B520A">
        <w:trPr>
          <w:cantSplit/>
        </w:trPr>
        <w:tc>
          <w:tcPr>
            <w:tcW w:w="9811" w:type="dxa"/>
            <w:gridSpan w:val="4"/>
          </w:tcPr>
          <w:p w:rsidR="00681766" w:rsidRPr="00AB38FF" w:rsidRDefault="00681766" w:rsidP="00AB38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B38FF" w:rsidTr="004B520A">
        <w:trPr>
          <w:cantSplit/>
        </w:trPr>
        <w:tc>
          <w:tcPr>
            <w:tcW w:w="9811" w:type="dxa"/>
            <w:gridSpan w:val="4"/>
          </w:tcPr>
          <w:p w:rsidR="00E83D45" w:rsidRPr="00AB38FF" w:rsidRDefault="00E83D45" w:rsidP="00AB38FF">
            <w:pPr>
              <w:pStyle w:val="Source"/>
            </w:pPr>
            <w:r w:rsidRPr="00AB38FF">
              <w:t>Administraciones de la Unión Africana de Telecomunicaciones</w:t>
            </w:r>
          </w:p>
        </w:tc>
      </w:tr>
      <w:tr w:rsidR="00E83D45" w:rsidRPr="00AB38FF" w:rsidTr="004B520A">
        <w:trPr>
          <w:cantSplit/>
        </w:trPr>
        <w:tc>
          <w:tcPr>
            <w:tcW w:w="9811" w:type="dxa"/>
            <w:gridSpan w:val="4"/>
          </w:tcPr>
          <w:p w:rsidR="00E83D45" w:rsidRPr="00AB38FF" w:rsidRDefault="006A5257" w:rsidP="00AB38FF">
            <w:pPr>
              <w:pStyle w:val="Title1"/>
            </w:pPr>
            <w:r w:rsidRPr="00AB38FF">
              <w:t xml:space="preserve">POSTURA DE LOS ESTADOS MIEMBROS AFRICANOS SOBRE </w:t>
            </w:r>
            <w:r w:rsidRPr="00AB38FF">
              <w:br/>
              <w:t>LA REESTRUCTURACIÓN DEL u</w:t>
            </w:r>
            <w:r w:rsidR="00E83D45" w:rsidRPr="00AB38FF">
              <w:t>IT-T</w:t>
            </w:r>
          </w:p>
        </w:tc>
      </w:tr>
      <w:tr w:rsidR="00E83D45" w:rsidRPr="00AB38FF" w:rsidTr="004B520A">
        <w:trPr>
          <w:cantSplit/>
        </w:trPr>
        <w:tc>
          <w:tcPr>
            <w:tcW w:w="9811" w:type="dxa"/>
            <w:gridSpan w:val="4"/>
          </w:tcPr>
          <w:p w:rsidR="00E83D45" w:rsidRPr="00AB38FF" w:rsidRDefault="00E83D45" w:rsidP="00AB38FF">
            <w:pPr>
              <w:pStyle w:val="Title2"/>
            </w:pPr>
          </w:p>
        </w:tc>
      </w:tr>
    </w:tbl>
    <w:p w:rsidR="006B0F54" w:rsidRPr="00AB38FF" w:rsidRDefault="006B0F54" w:rsidP="00AB38F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B38FF" w:rsidTr="00DA55F7">
        <w:trPr>
          <w:cantSplit/>
        </w:trPr>
        <w:tc>
          <w:tcPr>
            <w:tcW w:w="1560" w:type="dxa"/>
          </w:tcPr>
          <w:p w:rsidR="006B0F54" w:rsidRPr="00AB38FF" w:rsidRDefault="006B0F54" w:rsidP="00AB38FF">
            <w:r w:rsidRPr="00AB38FF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B38FF" w:rsidRDefault="006A5257" w:rsidP="00C368CF">
                <w:pPr>
                  <w:rPr>
                    <w:color w:val="000000" w:themeColor="text1"/>
                  </w:rPr>
                </w:pPr>
                <w:r w:rsidRPr="00AB38FF">
                  <w:t xml:space="preserve">La presente propuesta común </w:t>
                </w:r>
                <w:r w:rsidR="002061A5">
                  <w:t>a</w:t>
                </w:r>
                <w:r w:rsidRPr="00AB38FF">
                  <w:t>fricana trata de los principios general</w:t>
                </w:r>
                <w:r w:rsidR="00BA7C45" w:rsidRPr="00AB38FF">
                  <w:t>e</w:t>
                </w:r>
                <w:r w:rsidRPr="00AB38FF">
                  <w:t xml:space="preserve">s de la estructuración, así como de las propuestas de </w:t>
                </w:r>
                <w:r w:rsidR="00BA7C45" w:rsidRPr="00AB38FF">
                  <w:t>reestructuración</w:t>
                </w:r>
                <w:r w:rsidRPr="00AB38FF">
                  <w:t xml:space="preserve"> de las Comisiones de Estudio del U</w:t>
                </w:r>
                <w:r w:rsidR="00152A6B" w:rsidRPr="00AB38FF">
                  <w:t>IT-T</w:t>
                </w:r>
                <w:r w:rsidRPr="00AB38FF">
                  <w:t xml:space="preserve"> y la propuesta de supresión de la Resolución </w:t>
                </w:r>
                <w:r w:rsidR="00152A6B" w:rsidRPr="00AB38FF">
                  <w:t xml:space="preserve">82 </w:t>
                </w:r>
                <w:r w:rsidRPr="00AB38FF">
                  <w:t>de modo que el Comité de Examen (</w:t>
                </w:r>
                <w:r w:rsidR="00152A6B" w:rsidRPr="00AB38FF">
                  <w:t>RevCom</w:t>
                </w:r>
                <w:r w:rsidRPr="00AB38FF">
                  <w:t>)</w:t>
                </w:r>
                <w:r w:rsidR="00152A6B" w:rsidRPr="00AB38FF">
                  <w:t xml:space="preserve"> </w:t>
                </w:r>
                <w:r w:rsidRPr="00AB38FF">
                  <w:t>termine su actividad en esta Asamblea</w:t>
                </w:r>
                <w:r w:rsidR="00152A6B" w:rsidRPr="00AB38FF">
                  <w:t>.</w:t>
                </w:r>
              </w:p>
            </w:tc>
          </w:sdtContent>
        </w:sdt>
      </w:tr>
    </w:tbl>
    <w:p w:rsidR="00152A6B" w:rsidRPr="00AB38FF" w:rsidRDefault="006A5257" w:rsidP="00865DD5">
      <w:pPr>
        <w:pStyle w:val="Heading1"/>
      </w:pPr>
      <w:r w:rsidRPr="00AB38FF">
        <w:t>1</w:t>
      </w:r>
      <w:r w:rsidRPr="00AB38FF">
        <w:tab/>
        <w:t>Introducció</w:t>
      </w:r>
      <w:r w:rsidR="00487E5A">
        <w:t>n</w:t>
      </w:r>
    </w:p>
    <w:p w:rsidR="00152A6B" w:rsidRPr="00865DD5" w:rsidRDefault="00152A6B" w:rsidP="002061A5">
      <w:r w:rsidRPr="00AB38FF">
        <w:t>La</w:t>
      </w:r>
      <w:r w:rsidR="00865DD5">
        <w:t xml:space="preserve"> </w:t>
      </w:r>
      <w:r w:rsidRPr="00865DD5">
        <w:rPr>
          <w:rStyle w:val="Strong"/>
          <w:rFonts w:asciiTheme="majorBidi" w:hAnsiTheme="majorBidi" w:cstheme="majorBidi"/>
          <w:b w:val="0"/>
          <w:bCs w:val="0"/>
          <w:color w:val="000000"/>
          <w:szCs w:val="24"/>
        </w:rPr>
        <w:t>Asamblea Mundial de Normalización de las Telecomunicaciones</w:t>
      </w:r>
      <w:r w:rsidR="00865DD5">
        <w:t xml:space="preserve"> </w:t>
      </w:r>
      <w:r w:rsidR="002061A5">
        <w:t xml:space="preserve">(AMNT) </w:t>
      </w:r>
      <w:r w:rsidRPr="00AB38FF">
        <w:t xml:space="preserve">se celebra cada cuatro años y define el nuevo </w:t>
      </w:r>
      <w:r w:rsidR="002061A5">
        <w:t>p</w:t>
      </w:r>
      <w:r w:rsidRPr="00AB38FF">
        <w:t xml:space="preserve">eriodo de </w:t>
      </w:r>
      <w:r w:rsidR="002061A5">
        <w:t>e</w:t>
      </w:r>
      <w:r w:rsidRPr="00AB38FF">
        <w:t xml:space="preserve">studios para el UIT-T. </w:t>
      </w:r>
      <w:r w:rsidR="00BA7C45" w:rsidRPr="00AB38FF">
        <w:t xml:space="preserve">La última se celebró del </w:t>
      </w:r>
      <w:r w:rsidRPr="00AB38FF">
        <w:t>20</w:t>
      </w:r>
      <w:r w:rsidR="00BA7C45" w:rsidRPr="00AB38FF">
        <w:t xml:space="preserve"> al </w:t>
      </w:r>
      <w:r w:rsidRPr="00AB38FF">
        <w:t xml:space="preserve">29 </w:t>
      </w:r>
      <w:r w:rsidR="00BA7C45" w:rsidRPr="00AB38FF">
        <w:t xml:space="preserve">de noviembre de </w:t>
      </w:r>
      <w:r w:rsidRPr="00AB38FF">
        <w:t xml:space="preserve">2012 </w:t>
      </w:r>
      <w:r w:rsidR="00BA7C45" w:rsidRPr="00AB38FF">
        <w:t>e</w:t>
      </w:r>
      <w:r w:rsidRPr="00AB38FF">
        <w:t>n Dub</w:t>
      </w:r>
      <w:r w:rsidR="00BA7C45" w:rsidRPr="00AB38FF">
        <w:t>á</w:t>
      </w:r>
      <w:r w:rsidRPr="00AB38FF">
        <w:t xml:space="preserve">i </w:t>
      </w:r>
      <w:r w:rsidR="00BA7C45" w:rsidRPr="00AB38FF">
        <w:t xml:space="preserve">y la próxima AMNT tendrá lugar del </w:t>
      </w:r>
      <w:r w:rsidRPr="00AB38FF">
        <w:t xml:space="preserve">25 </w:t>
      </w:r>
      <w:r w:rsidR="00BA7C45" w:rsidRPr="00AB38FF">
        <w:t xml:space="preserve">de octubre al </w:t>
      </w:r>
      <w:r w:rsidRPr="00AB38FF">
        <w:t xml:space="preserve">3 </w:t>
      </w:r>
      <w:r w:rsidR="00BA7C45" w:rsidRPr="00AB38FF">
        <w:t xml:space="preserve">de noviembre de </w:t>
      </w:r>
      <w:r w:rsidRPr="00AB38FF">
        <w:t>2016.</w:t>
      </w:r>
    </w:p>
    <w:p w:rsidR="00152A6B" w:rsidRPr="00AB38FF" w:rsidRDefault="00BA7C45" w:rsidP="00865DD5">
      <w:r w:rsidRPr="00AB38FF">
        <w:t>A fin de preparar las propuestas comunes africanas sobre los temas que se examinarán en la próxima AMNT</w:t>
      </w:r>
      <w:r w:rsidR="00152A6B" w:rsidRPr="00AB38FF">
        <w:t xml:space="preserve">-16, </w:t>
      </w:r>
      <w:r w:rsidRPr="00AB38FF">
        <w:t>la Unión Africana de Telecomunicaciones ha creado cuatro grupos de trabajo que se encargan de la reestruct</w:t>
      </w:r>
      <w:r w:rsidR="002061A5">
        <w:t>uración del</w:t>
      </w:r>
      <w:r w:rsidRPr="00AB38FF">
        <w:t xml:space="preserve"> U</w:t>
      </w:r>
      <w:r w:rsidR="00152A6B" w:rsidRPr="00AB38FF">
        <w:t xml:space="preserve">IT-T, </w:t>
      </w:r>
      <w:r w:rsidRPr="00AB38FF">
        <w:t xml:space="preserve">los métodos de trabajo, las cuestiones de normalización y las cuestiones relacionadas con la </w:t>
      </w:r>
      <w:r w:rsidR="00887AA8" w:rsidRPr="00AB38FF">
        <w:t>disparidad en materia</w:t>
      </w:r>
      <w:r w:rsidRPr="00AB38FF">
        <w:t xml:space="preserve"> de normalización y asuntos relacionados</w:t>
      </w:r>
      <w:r w:rsidR="00152A6B" w:rsidRPr="00AB38FF">
        <w:t xml:space="preserve">. </w:t>
      </w:r>
      <w:r w:rsidRPr="00AB38FF">
        <w:t xml:space="preserve">Se trata de los grupos </w:t>
      </w:r>
      <w:r w:rsidR="00152A6B" w:rsidRPr="00AB38FF">
        <w:t xml:space="preserve">1, 2, 3 </w:t>
      </w:r>
      <w:r w:rsidRPr="00AB38FF">
        <w:t>y</w:t>
      </w:r>
      <w:r w:rsidR="00152A6B" w:rsidRPr="00AB38FF">
        <w:t xml:space="preserve"> 4.</w:t>
      </w:r>
    </w:p>
    <w:p w:rsidR="00152A6B" w:rsidRPr="00AB38FF" w:rsidRDefault="00BA7C45" w:rsidP="00865DD5">
      <w:r w:rsidRPr="00AB38FF">
        <w:t>En el presente documento se reproducen las conclusiones del Grupo de Trabajo 1 y se manifiesta la postura africana en relación con la reestructuración del U</w:t>
      </w:r>
      <w:r w:rsidR="00152A6B" w:rsidRPr="00AB38FF">
        <w:t>IT-T.</w:t>
      </w:r>
    </w:p>
    <w:p w:rsidR="00152A6B" w:rsidRPr="00AB38FF" w:rsidRDefault="00152A6B" w:rsidP="00865DD5">
      <w:pPr>
        <w:pStyle w:val="Heading1"/>
      </w:pPr>
      <w:r w:rsidRPr="00AB38FF">
        <w:t>2</w:t>
      </w:r>
      <w:r w:rsidRPr="00AB38FF">
        <w:tab/>
      </w:r>
      <w:r w:rsidR="00BA7C45" w:rsidRPr="00AB38FF">
        <w:t>Propuestas iniciales para la reestructuración del U</w:t>
      </w:r>
      <w:r w:rsidRPr="00AB38FF">
        <w:t xml:space="preserve">IT-T </w:t>
      </w:r>
    </w:p>
    <w:p w:rsidR="00152A6B" w:rsidRPr="00AB38FF" w:rsidRDefault="00BA7C45" w:rsidP="00865DD5">
      <w:r w:rsidRPr="00AB38FF">
        <w:t>Partiendo de las propuestas de EE</w:t>
      </w:r>
      <w:r w:rsidR="002061A5">
        <w:t>.</w:t>
      </w:r>
      <w:r w:rsidRPr="00AB38FF">
        <w:t>UU</w:t>
      </w:r>
      <w:r w:rsidR="002061A5">
        <w:t>.</w:t>
      </w:r>
      <w:r w:rsidRPr="00AB38FF">
        <w:t xml:space="preserve"> y Canadá, el GANT </w:t>
      </w:r>
      <w:r w:rsidR="00954550" w:rsidRPr="00AB38FF">
        <w:t>llegó a un acuerdo</w:t>
      </w:r>
      <w:r w:rsidRPr="00AB38FF">
        <w:t xml:space="preserve">, en su reunión de febrero de 2016, </w:t>
      </w:r>
      <w:r w:rsidR="00954550" w:rsidRPr="00AB38FF">
        <w:t>sobre los principios que se han de considerar para la reestructuración de las Comisiones de Estudio del U</w:t>
      </w:r>
      <w:r w:rsidR="002061A5">
        <w:t>IT-T.</w:t>
      </w:r>
    </w:p>
    <w:p w:rsidR="00152A6B" w:rsidRPr="00AB38FF" w:rsidRDefault="00954550" w:rsidP="00865DD5">
      <w:r w:rsidRPr="00AB38FF">
        <w:t>Por otra parte</w:t>
      </w:r>
      <w:r w:rsidR="00152A6B" w:rsidRPr="00AB38FF">
        <w:t xml:space="preserve">, </w:t>
      </w:r>
      <w:r w:rsidRPr="00AB38FF">
        <w:t xml:space="preserve">el </w:t>
      </w:r>
      <w:r w:rsidR="00152A6B" w:rsidRPr="00AB38FF">
        <w:t xml:space="preserve">Director </w:t>
      </w:r>
      <w:r w:rsidRPr="00AB38FF">
        <w:t xml:space="preserve">de la </w:t>
      </w:r>
      <w:r w:rsidR="00152A6B" w:rsidRPr="00AB38FF">
        <w:t xml:space="preserve">TSB </w:t>
      </w:r>
      <w:r w:rsidRPr="00AB38FF">
        <w:t xml:space="preserve">ha efectuado entretanto propuestas para la </w:t>
      </w:r>
      <w:r w:rsidR="0038087D" w:rsidRPr="00AB38FF">
        <w:t>reestructuración</w:t>
      </w:r>
      <w:r w:rsidRPr="00AB38FF">
        <w:t xml:space="preserve"> de las Comisiones de Estudio del U</w:t>
      </w:r>
      <w:r w:rsidR="00C368CF">
        <w:t>IT-T.</w:t>
      </w:r>
    </w:p>
    <w:p w:rsidR="00152A6B" w:rsidRPr="00AB38FF" w:rsidRDefault="00487E5A" w:rsidP="00487E5A">
      <w:pPr>
        <w:pStyle w:val="Heading2"/>
      </w:pPr>
      <w:r>
        <w:lastRenderedPageBreak/>
        <w:t>2.1</w:t>
      </w:r>
      <w:r w:rsidR="00152A6B" w:rsidRPr="00AB38FF">
        <w:tab/>
      </w:r>
      <w:r w:rsidR="00954550" w:rsidRPr="00AB38FF">
        <w:t>Principios para la reestructuración</w:t>
      </w:r>
      <w:r w:rsidR="00152A6B" w:rsidRPr="00AB38FF">
        <w:t xml:space="preserve"> (</w:t>
      </w:r>
      <w:r w:rsidR="00954550" w:rsidRPr="00AB38FF">
        <w:t>GANT</w:t>
      </w:r>
      <w:r w:rsidR="00152A6B" w:rsidRPr="00AB38FF">
        <w:t>)</w:t>
      </w:r>
    </w:p>
    <w:p w:rsidR="00152A6B" w:rsidRPr="00AB38FF" w:rsidRDefault="00954550" w:rsidP="00AB38FF">
      <w:pPr>
        <w:tabs>
          <w:tab w:val="left" w:pos="794"/>
        </w:tabs>
      </w:pPr>
      <w:r w:rsidRPr="00AB38FF">
        <w:t>El GANT ha aprobado siete principios relativos a la estructura general de las Comisiones de Estudio (CE) que debe adoptar oficialmente el GANT con el fin de orientar el debate en torno a la reestructuración de las CE</w:t>
      </w:r>
      <w:r w:rsidR="00152A6B" w:rsidRPr="00AB38FF">
        <w:t xml:space="preserve">, </w:t>
      </w:r>
      <w:r w:rsidRPr="00AB38FF">
        <w:t>pero la explicación</w:t>
      </w:r>
      <w:r w:rsidR="00152A6B" w:rsidRPr="00AB38FF">
        <w:t>/</w:t>
      </w:r>
      <w:r w:rsidRPr="00AB38FF">
        <w:t>exposición detallada de dichos principios se omitió o no se incluyó en los mismos</w:t>
      </w:r>
      <w:r w:rsidR="00152A6B" w:rsidRPr="00AB38FF">
        <w:t xml:space="preserve">. </w:t>
      </w:r>
    </w:p>
    <w:p w:rsidR="00152A6B" w:rsidRPr="00AB38FF" w:rsidRDefault="00954550" w:rsidP="00AB38FF">
      <w:pPr>
        <w:tabs>
          <w:tab w:val="left" w:pos="794"/>
        </w:tabs>
      </w:pPr>
      <w:r w:rsidRPr="00AB38FF">
        <w:t>Las contribuciones presentadas a esta Asamblea</w:t>
      </w:r>
      <w:r w:rsidR="00152A6B" w:rsidRPr="00AB38FF">
        <w:t xml:space="preserve">, </w:t>
      </w:r>
      <w:r w:rsidRPr="00AB38FF">
        <w:t>la AMNT</w:t>
      </w:r>
      <w:r w:rsidR="00152A6B" w:rsidRPr="00AB38FF">
        <w:t xml:space="preserve">-16, </w:t>
      </w:r>
      <w:r w:rsidRPr="00AB38FF">
        <w:t>desarrollan más estos principios para la reestructuración del U</w:t>
      </w:r>
      <w:r w:rsidR="00152A6B" w:rsidRPr="00AB38FF">
        <w:t xml:space="preserve">IT-T, </w:t>
      </w:r>
      <w:r w:rsidRPr="00AB38FF">
        <w:t>pero los Estados Miembros africanos están preocupados por los detalles de algunos de estos principios, que es preciso reconsiderar</w:t>
      </w:r>
      <w:r w:rsidR="00152A6B" w:rsidRPr="00AB38FF">
        <w:t xml:space="preserve">. </w:t>
      </w:r>
    </w:p>
    <w:p w:rsidR="00152A6B" w:rsidRPr="00AB38FF" w:rsidRDefault="00954550" w:rsidP="00AB38FF">
      <w:pPr>
        <w:tabs>
          <w:tab w:val="left" w:pos="794"/>
        </w:tabs>
      </w:pPr>
      <w:r w:rsidRPr="00AB38FF">
        <w:t>En primer lugar</w:t>
      </w:r>
      <w:r w:rsidR="00152A6B" w:rsidRPr="00AB38FF">
        <w:t xml:space="preserve">, </w:t>
      </w:r>
      <w:r w:rsidRPr="00AB38FF">
        <w:t>los siete principios convenidos por el GANT son los siguientes</w:t>
      </w:r>
      <w:r w:rsidR="00152A6B" w:rsidRPr="00AB38FF">
        <w:t>:</w:t>
      </w:r>
    </w:p>
    <w:p w:rsidR="00152A6B" w:rsidRPr="00AB38FF" w:rsidRDefault="00152A6B" w:rsidP="00AB38F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</w:tblGrid>
      <w:tr w:rsidR="00152A6B" w:rsidRPr="00AB38FF" w:rsidTr="00487E5A">
        <w:trPr>
          <w:tblHeader/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6B" w:rsidRPr="002061A5" w:rsidRDefault="00152A6B" w:rsidP="002061A5">
            <w:pPr>
              <w:pStyle w:val="Tablehead"/>
              <w:rPr>
                <w:highlight w:val="green"/>
              </w:rPr>
            </w:pPr>
            <w:r w:rsidRPr="002061A5">
              <w:t xml:space="preserve">Principios </w:t>
            </w:r>
            <w:r w:rsidR="00887AA8" w:rsidRPr="002061A5">
              <w:t>generales</w:t>
            </w:r>
            <w:r w:rsidRPr="002061A5">
              <w:t xml:space="preserve"> para la reestructuración de las Comisiones de Estudio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A: </w:t>
            </w:r>
            <w:r w:rsidR="00152A6B" w:rsidRPr="00487E5A">
              <w:t>Estructura optimizada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B: </w:t>
            </w:r>
            <w:r w:rsidR="00152A6B" w:rsidRPr="00487E5A">
              <w:t>Mandatos claros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C: </w:t>
            </w:r>
            <w:r w:rsidR="00152A6B" w:rsidRPr="00487E5A">
              <w:t>Mejora de la cooperación y coordinación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D: </w:t>
            </w:r>
            <w:r w:rsidR="00152A6B" w:rsidRPr="00487E5A">
              <w:t>Rentabilidad e interés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E: </w:t>
            </w:r>
            <w:r w:rsidR="00152A6B" w:rsidRPr="00487E5A">
              <w:t>Métodos de trabajo eficientes y productivos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</w:pPr>
            <w:r w:rsidRPr="00487E5A">
              <w:t xml:space="preserve">F: </w:t>
            </w:r>
            <w:r w:rsidR="00152A6B" w:rsidRPr="00487E5A">
              <w:t>Identificación oportuna de las necesidades de normalización</w:t>
            </w:r>
          </w:p>
        </w:tc>
      </w:tr>
      <w:tr w:rsidR="00152A6B" w:rsidRPr="00AB38FF" w:rsidTr="00487E5A">
        <w:trPr>
          <w:jc w:val="center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6B" w:rsidRPr="00487E5A" w:rsidRDefault="00865DD5" w:rsidP="00487E5A">
            <w:pPr>
              <w:pStyle w:val="Tabletext"/>
              <w:rPr>
                <w:b/>
                <w:bCs/>
                <w:i/>
                <w:iCs/>
              </w:rPr>
            </w:pPr>
            <w:r w:rsidRPr="00487E5A">
              <w:rPr>
                <w:b/>
                <w:bCs/>
                <w:i/>
                <w:iCs/>
              </w:rPr>
              <w:t xml:space="preserve">G: </w:t>
            </w:r>
            <w:r w:rsidR="00152A6B" w:rsidRPr="00487E5A">
              <w:rPr>
                <w:b/>
                <w:bCs/>
                <w:i/>
                <w:iCs/>
              </w:rPr>
              <w:t>Apoyo para reducir la disparidad en materia de normalización</w:t>
            </w:r>
          </w:p>
        </w:tc>
      </w:tr>
    </w:tbl>
    <w:p w:rsidR="00152A6B" w:rsidRPr="00AB38FF" w:rsidRDefault="00954550" w:rsidP="00487E5A">
      <w:pPr>
        <w:pStyle w:val="Normalaftertitle"/>
      </w:pPr>
      <w:r w:rsidRPr="00AB38FF">
        <w:t xml:space="preserve">Se observó que el principio </w:t>
      </w:r>
      <w:r w:rsidR="00C368CF">
        <w:t>"</w:t>
      </w:r>
      <w:r w:rsidR="00152A6B" w:rsidRPr="00AB38FF">
        <w:t>G</w:t>
      </w:r>
      <w:r w:rsidR="00C368CF">
        <w:t>"</w:t>
      </w:r>
      <w:r w:rsidR="00152A6B" w:rsidRPr="00AB38FF">
        <w:t xml:space="preserve"> </w:t>
      </w:r>
      <w:r w:rsidRPr="00AB38FF">
        <w:t>trata directamente del tema de la disparidad en materia de normalización (</w:t>
      </w:r>
      <w:r w:rsidR="00152A6B" w:rsidRPr="00AB38FF">
        <w:t>BSG</w:t>
      </w:r>
      <w:r w:rsidRPr="00AB38FF">
        <w:t>)</w:t>
      </w:r>
      <w:r w:rsidR="00152A6B" w:rsidRPr="00AB38FF">
        <w:t xml:space="preserve">, </w:t>
      </w:r>
      <w:r w:rsidRPr="00AB38FF">
        <w:t xml:space="preserve">y la descripción de este principio por la </w:t>
      </w:r>
      <w:r w:rsidR="00152A6B" w:rsidRPr="00AB38FF">
        <w:t xml:space="preserve">RevCom </w:t>
      </w:r>
      <w:r w:rsidRPr="00AB38FF">
        <w:t>fue</w:t>
      </w:r>
      <w:r w:rsidR="00152A6B" w:rsidRPr="00AB38FF">
        <w:t xml:space="preserve">: </w:t>
      </w:r>
      <w:r w:rsidR="00C368CF">
        <w:rPr>
          <w:i/>
          <w:iCs/>
        </w:rPr>
        <w:t>"</w:t>
      </w:r>
      <w:r w:rsidR="006B5507" w:rsidRPr="00AB38FF">
        <w:rPr>
          <w:i/>
          <w:iCs/>
        </w:rPr>
        <w:t xml:space="preserve">La nueva estructura debería ayudar a los países en desarrollo a reducir la disparidad en materia de normalización, por ejemplo mediante la </w:t>
      </w:r>
      <w:r w:rsidR="006B5507" w:rsidRPr="00F44D03">
        <w:rPr>
          <w:i/>
          <w:iCs/>
          <w:u w:val="single"/>
        </w:rPr>
        <w:t>identificación de medidas para mejorar su participación en la labor</w:t>
      </w:r>
      <w:r w:rsidR="006B5507" w:rsidRPr="00AB38FF">
        <w:rPr>
          <w:i/>
          <w:iCs/>
        </w:rPr>
        <w:t xml:space="preserve"> de las Comisiones de Estudio, incluida la utilización de </w:t>
      </w:r>
      <w:r w:rsidR="006B5507" w:rsidRPr="00F44D03">
        <w:rPr>
          <w:i/>
          <w:iCs/>
          <w:u w:val="single"/>
        </w:rPr>
        <w:t>métodos de trabajo electrónicos</w:t>
      </w:r>
      <w:r w:rsidR="00C368CF">
        <w:rPr>
          <w:i/>
          <w:iCs/>
        </w:rPr>
        <w:t>"</w:t>
      </w:r>
      <w:r w:rsidR="00152A6B" w:rsidRPr="00AB38FF">
        <w:rPr>
          <w:i/>
          <w:iCs/>
        </w:rPr>
        <w:t>.</w:t>
      </w:r>
    </w:p>
    <w:p w:rsidR="00152A6B" w:rsidRPr="00AB38FF" w:rsidRDefault="00954550" w:rsidP="00AB38FF">
      <w:r w:rsidRPr="00AB38FF">
        <w:t xml:space="preserve">Así, parece que la percepción de la </w:t>
      </w:r>
      <w:r w:rsidR="00152A6B" w:rsidRPr="00AB38FF">
        <w:t xml:space="preserve">BSG </w:t>
      </w:r>
      <w:r w:rsidRPr="00AB38FF">
        <w:t>se limita</w:t>
      </w:r>
      <w:r w:rsidR="00152A6B" w:rsidRPr="00AB38FF">
        <w:t xml:space="preserve">, </w:t>
      </w:r>
      <w:r w:rsidRPr="00AB38FF">
        <w:t>por ejemplo</w:t>
      </w:r>
      <w:r w:rsidR="00152A6B" w:rsidRPr="00AB38FF">
        <w:t xml:space="preserve">, </w:t>
      </w:r>
      <w:r w:rsidRPr="00AB38FF">
        <w:t>a mejorar la participación en las Comision</w:t>
      </w:r>
      <w:r w:rsidR="00923D47" w:rsidRPr="00AB38FF">
        <w:t>e</w:t>
      </w:r>
      <w:r w:rsidRPr="00AB38FF">
        <w:t>s de Estudio, comprendidos los métodos de trabajo electrónicos (</w:t>
      </w:r>
      <w:r w:rsidR="00152A6B" w:rsidRPr="00AB38FF">
        <w:t>EWM</w:t>
      </w:r>
      <w:r w:rsidRPr="00AB38FF">
        <w:t>)</w:t>
      </w:r>
      <w:r w:rsidR="00152A6B" w:rsidRPr="00AB38FF">
        <w:t xml:space="preserve">, </w:t>
      </w:r>
      <w:r w:rsidRPr="00AB38FF">
        <w:t xml:space="preserve">y en muchas ocasiones las actividades relativas a </w:t>
      </w:r>
      <w:r w:rsidR="00152A6B" w:rsidRPr="00AB38FF">
        <w:t xml:space="preserve">BSG </w:t>
      </w:r>
      <w:r w:rsidRPr="00AB38FF">
        <w:t>se concentran principalmente en la capacitación</w:t>
      </w:r>
      <w:r w:rsidR="00152A6B" w:rsidRPr="00AB38FF">
        <w:t xml:space="preserve">. </w:t>
      </w:r>
    </w:p>
    <w:p w:rsidR="00152A6B" w:rsidRPr="00AB38FF" w:rsidRDefault="00923D47" w:rsidP="00AB38FF">
      <w:r w:rsidRPr="00AB38FF">
        <w:t>Si bien estos requisitos son muy importantes, la reestructuración de las Comisiones de Estudio debería abordar aspectos más detallados que contemplen las necesidades y las preocupaciones de los países en desarrollo</w:t>
      </w:r>
      <w:r w:rsidR="00152A6B" w:rsidRPr="00AB38FF">
        <w:t xml:space="preserve">. </w:t>
      </w:r>
      <w:r w:rsidRPr="00AB38FF">
        <w:t xml:space="preserve">De la Constitución de la UIT </w:t>
      </w:r>
      <w:r w:rsidR="00152A6B" w:rsidRPr="00AB38FF">
        <w:t>(CS104)</w:t>
      </w:r>
      <w:r w:rsidRPr="00AB38FF">
        <w:t xml:space="preserve"> se desprende que</w:t>
      </w:r>
      <w:r w:rsidR="00152A6B" w:rsidRPr="00AB38FF">
        <w:t xml:space="preserve"> </w:t>
      </w:r>
      <w:r w:rsidR="00C368CF">
        <w:rPr>
          <w:i/>
          <w:iCs/>
        </w:rPr>
        <w:t>"</w:t>
      </w:r>
      <w:r w:rsidR="006B5507" w:rsidRPr="00AB38FF">
        <w:rPr>
          <w:i/>
          <w:iCs/>
        </w:rPr>
        <w:t>El Sector de Normalización de las Telecomunicaciones tendrá como funciones el logro de los objetivos de la Unión en materia de normalización de las telecomunicaciones enunciados en el Artículo 1 de la presente Constitución, teniendo presentes las preocupaciones particulares de los países en desarrollo</w:t>
      </w:r>
      <w:r w:rsidR="00152A6B" w:rsidRPr="00AB38FF">
        <w:rPr>
          <w:i/>
          <w:iCs/>
        </w:rPr>
        <w:t>,</w:t>
      </w:r>
      <w:r w:rsidR="006B5507" w:rsidRPr="00AB38FF">
        <w:rPr>
          <w:i/>
          <w:iCs/>
        </w:rPr>
        <w:t>…</w:t>
      </w:r>
      <w:r w:rsidR="00C368CF">
        <w:rPr>
          <w:i/>
          <w:iCs/>
        </w:rPr>
        <w:t>"</w:t>
      </w:r>
      <w:r w:rsidR="006B5507" w:rsidRPr="00AB38FF">
        <w:t xml:space="preserve">; </w:t>
      </w:r>
      <w:r w:rsidRPr="00AB38FF">
        <w:t xml:space="preserve">y del preámbulo de la Constitución </w:t>
      </w:r>
      <w:r w:rsidR="00152A6B" w:rsidRPr="00AB38FF">
        <w:t xml:space="preserve">CS: </w:t>
      </w:r>
      <w:r w:rsidR="00C368CF">
        <w:rPr>
          <w:i/>
          <w:iCs/>
        </w:rPr>
        <w:t>"</w:t>
      </w:r>
      <w:r w:rsidR="006B5507" w:rsidRPr="00AB38FF">
        <w:rPr>
          <w:i/>
          <w:iCs/>
        </w:rPr>
        <w:t>con el fin de facilitar las relaciones pacíficas, la cooperación internacional entre los pueblos y el desarrollo económico y social por medio del buen funcionamiento de las telecomunicaciones</w:t>
      </w:r>
      <w:r w:rsidR="00C368CF">
        <w:t>"</w:t>
      </w:r>
      <w:r w:rsidR="00152A6B" w:rsidRPr="00AB38FF">
        <w:t>.</w:t>
      </w:r>
    </w:p>
    <w:p w:rsidR="00152A6B" w:rsidRPr="00AB38FF" w:rsidRDefault="002E545F" w:rsidP="00AB38FF">
      <w:r w:rsidRPr="00AB38FF">
        <w:t xml:space="preserve">En la era de la globalización se ha observado que, el comercio, la competencia y las fuerzas del mercado favorecen principalmente a </w:t>
      </w:r>
      <w:r w:rsidR="00C368CF">
        <w:t>"</w:t>
      </w:r>
      <w:r w:rsidRPr="00AB38FF">
        <w:t>los más fuertes</w:t>
      </w:r>
      <w:r w:rsidR="00C368CF">
        <w:t>"</w:t>
      </w:r>
      <w:r w:rsidR="00152A6B" w:rsidRPr="00AB38FF">
        <w:t xml:space="preserve"> (</w:t>
      </w:r>
      <w:r w:rsidRPr="00AB38FF">
        <w:t>por ejemplo</w:t>
      </w:r>
      <w:r w:rsidR="00152A6B" w:rsidRPr="00AB38FF">
        <w:t xml:space="preserve">, </w:t>
      </w:r>
      <w:r w:rsidR="00C50A2D" w:rsidRPr="00AB38FF">
        <w:t>los que tienen peso significativo en el mercado (SMP)</w:t>
      </w:r>
      <w:r w:rsidR="00152A6B" w:rsidRPr="00AB38FF">
        <w:t xml:space="preserve">), </w:t>
      </w:r>
      <w:r w:rsidR="00C50A2D" w:rsidRPr="00AB38FF">
        <w:t>tanto en los mercados mundiales como en los locales</w:t>
      </w:r>
      <w:r w:rsidR="00152A6B" w:rsidRPr="00AB38FF">
        <w:t xml:space="preserve">. </w:t>
      </w:r>
      <w:r w:rsidR="00C50A2D" w:rsidRPr="00AB38FF">
        <w:t xml:space="preserve">En consecuencia, las Recomendaciones </w:t>
      </w:r>
      <w:r w:rsidR="002061A5">
        <w:t xml:space="preserve">del </w:t>
      </w:r>
      <w:r w:rsidR="00CF26F9" w:rsidRPr="00AB38FF">
        <w:t xml:space="preserve">UIT-T </w:t>
      </w:r>
      <w:r w:rsidR="00C50A2D" w:rsidRPr="00AB38FF">
        <w:t xml:space="preserve">se elaboran para definir </w:t>
      </w:r>
      <w:r w:rsidR="00CF26F9" w:rsidRPr="00AB38FF">
        <w:t>elemento</w:t>
      </w:r>
      <w:r w:rsidR="00C50A2D" w:rsidRPr="00AB38FF">
        <w:t>s</w:t>
      </w:r>
      <w:r w:rsidR="00CF26F9" w:rsidRPr="00AB38FF">
        <w:t xml:space="preserve"> </w:t>
      </w:r>
      <w:r w:rsidR="00C50A2D" w:rsidRPr="00AB38FF">
        <w:t xml:space="preserve">de </w:t>
      </w:r>
      <w:r w:rsidR="00CF26F9" w:rsidRPr="00AB38FF">
        <w:t xml:space="preserve">la infraestructura mundial de las telecomunicaciones/TIC </w:t>
      </w:r>
      <w:r w:rsidR="00C50A2D" w:rsidRPr="00AB38FF">
        <w:t>con el fin de mejorar la conectividad mundial y ofrecer servicios innovadores y asequibles</w:t>
      </w:r>
      <w:r w:rsidR="00152A6B" w:rsidRPr="00AB38FF">
        <w:t xml:space="preserve">, </w:t>
      </w:r>
      <w:r w:rsidR="00C50A2D" w:rsidRPr="00AB38FF">
        <w:t>evitando además las costosas batallas en el mercado sobre las tecnologías preferidas. Ahora bien</w:t>
      </w:r>
      <w:r w:rsidR="00152A6B" w:rsidRPr="00AB38FF">
        <w:t xml:space="preserve">, </w:t>
      </w:r>
      <w:r w:rsidR="00C50A2D" w:rsidRPr="00AB38FF">
        <w:t>esas batallas tecnológicas siguen existiendo en el ámbito internacional y, a veces, dentro del U</w:t>
      </w:r>
      <w:r w:rsidR="00152A6B" w:rsidRPr="00AB38FF">
        <w:t xml:space="preserve">IT-T. </w:t>
      </w:r>
      <w:r w:rsidR="00A26F8B" w:rsidRPr="00AB38FF">
        <w:t>Las necesidades y preocupaciones de los países en desarrollo rara vez se tienen en cuenta en esas batallas</w:t>
      </w:r>
      <w:r w:rsidR="00152A6B" w:rsidRPr="00AB38FF">
        <w:t>.</w:t>
      </w:r>
    </w:p>
    <w:p w:rsidR="00152A6B" w:rsidRPr="00AB38FF" w:rsidRDefault="00A26F8B" w:rsidP="00AB38FF">
      <w:r w:rsidRPr="00AB38FF">
        <w:lastRenderedPageBreak/>
        <w:t>Por ejemplo</w:t>
      </w:r>
      <w:r w:rsidR="00152A6B" w:rsidRPr="00AB38FF">
        <w:t xml:space="preserve">, </w:t>
      </w:r>
      <w:r w:rsidRPr="00AB38FF">
        <w:t>se observa que dos Comisiones de Estudio de las once de que consta el UIT-T se ocupan en gran medida de asuntos normativos y políticos</w:t>
      </w:r>
      <w:r w:rsidR="00152A6B" w:rsidRPr="00AB38FF">
        <w:t xml:space="preserve">; </w:t>
      </w:r>
      <w:r w:rsidR="0038087D" w:rsidRPr="00AB38FF">
        <w:t>y de la experiencia cotidiana parece desprenderse que prácticamente todos los temas con implicaciones normativas o políticas se saldan con consecuencias negativas para los países en desarrollo</w:t>
      </w:r>
      <w:r w:rsidR="00152A6B" w:rsidRPr="00AB38FF">
        <w:t xml:space="preserve"> (</w:t>
      </w:r>
      <w:r w:rsidR="0038087D" w:rsidRPr="00AB38FF">
        <w:t>por ejemplo</w:t>
      </w:r>
      <w:r w:rsidR="00152A6B" w:rsidRPr="00AB38FF">
        <w:t xml:space="preserve">, </w:t>
      </w:r>
      <w:r w:rsidR="0038087D" w:rsidRPr="00AB38FF">
        <w:t>los procedimientos de llamada alternativos y</w:t>
      </w:r>
      <w:r w:rsidR="00CF26F9" w:rsidRPr="00AB38FF">
        <w:t xml:space="preserve"> las llamadas por intermediario, </w:t>
      </w:r>
      <w:r w:rsidR="0038087D" w:rsidRPr="00AB38FF">
        <w:t>utilización indebida de recursos de numeración, la conectividad internacional a Internet</w:t>
      </w:r>
      <w:r w:rsidR="00CF26F9" w:rsidRPr="00AB38FF">
        <w:t xml:space="preserve">, </w:t>
      </w:r>
      <w:r w:rsidR="0038087D" w:rsidRPr="00AB38FF">
        <w:t xml:space="preserve">la falsificación u ocultación de la identificación del origen de la llamada, las llamadas por mayorista, la falsificación de dispositivos, las OTT, las tasas por itinerancia, la utilización extraterritorial de recursos de numeración e identificación </w:t>
      </w:r>
      <w:r w:rsidR="00152A6B" w:rsidRPr="00AB38FF">
        <w:t>, etc.),</w:t>
      </w:r>
      <w:r w:rsidR="00CF26F9" w:rsidRPr="00AB38FF">
        <w:t xml:space="preserve"> </w:t>
      </w:r>
      <w:r w:rsidR="0038087D" w:rsidRPr="00AB38FF">
        <w:t>que causan ingentes pérdidas a los ingresos nacionales de los países en desarrollo, así como a sus empresas de explotación</w:t>
      </w:r>
      <w:r w:rsidR="00152A6B" w:rsidRPr="00AB38FF">
        <w:t xml:space="preserve">. </w:t>
      </w:r>
      <w:r w:rsidR="0038087D" w:rsidRPr="00AB38FF">
        <w:t>Aun cuando la norma actual puede resultar en acceso asequible a los servicios mundiales con independencia de la tecnología subyacente, la lista de temas antes mencionada tiene repercusiones socioeconómicas negativas sobre los países en desarrollo, y las normas correspondientes no bastan en muchos aspectos a este respecto</w:t>
      </w:r>
      <w:r w:rsidR="00152A6B" w:rsidRPr="00AB38FF">
        <w:t>.</w:t>
      </w:r>
      <w:r w:rsidR="00F44D03">
        <w:t xml:space="preserve"> </w:t>
      </w:r>
    </w:p>
    <w:p w:rsidR="00152A6B" w:rsidRPr="00AB38FF" w:rsidRDefault="0087069F" w:rsidP="00AB38FF">
      <w:r w:rsidRPr="00AB38FF">
        <w:t>Estos países y sus empresas de explotación no suelen tener suficiente peso en el mercado</w:t>
      </w:r>
      <w:r w:rsidR="00152A6B" w:rsidRPr="00AB38FF">
        <w:t xml:space="preserve">, </w:t>
      </w:r>
      <w:r w:rsidRPr="00AB38FF">
        <w:t>poder de negociación o conocimientos técnicos para contrarrestar tales prácticas. De hecho, algunas de las tecnologías resultan prometedoras para ofrecer servicios asequibles a largo plazo</w:t>
      </w:r>
      <w:r w:rsidR="00152A6B" w:rsidRPr="00AB38FF">
        <w:t xml:space="preserve"> (</w:t>
      </w:r>
      <w:r w:rsidRPr="00AB38FF">
        <w:t>por ejemplo</w:t>
      </w:r>
      <w:r w:rsidR="00152A6B" w:rsidRPr="00AB38FF">
        <w:t xml:space="preserve">, VoIP, OTT, etc.), </w:t>
      </w:r>
      <w:r w:rsidRPr="00AB38FF">
        <w:t>pero hasta entonces, las normas deben elaborarse teniendo en cuenta el contexto actual</w:t>
      </w:r>
      <w:r w:rsidR="00487E5A">
        <w:t>.</w:t>
      </w:r>
    </w:p>
    <w:p w:rsidR="00152A6B" w:rsidRPr="00AB38FF" w:rsidRDefault="0087069F" w:rsidP="00AB38FF">
      <w:r w:rsidRPr="00AB38FF">
        <w:t>Por consiguiente</w:t>
      </w:r>
      <w:r w:rsidR="00152A6B" w:rsidRPr="00AB38FF">
        <w:t xml:space="preserve">, </w:t>
      </w:r>
      <w:r w:rsidRPr="00AB38FF">
        <w:t xml:space="preserve">los Estados Miembros africanos están investigando una estructura de Comisiones de Estudio </w:t>
      </w:r>
      <w:r w:rsidR="002061A5">
        <w:t xml:space="preserve">del UIT-T </w:t>
      </w:r>
      <w:r w:rsidRPr="00AB38FF">
        <w:t>favorable a la elaboración de normas que respondan de manera efectiva y oportuna a las preocupaciones y necesidades de los países en desarrollo</w:t>
      </w:r>
      <w:r w:rsidR="00E318AC" w:rsidRPr="00AB38FF">
        <w:t>.</w:t>
      </w:r>
    </w:p>
    <w:p w:rsidR="00152A6B" w:rsidRPr="00AB38FF" w:rsidRDefault="00152A6B" w:rsidP="00865DD5">
      <w:pPr>
        <w:pStyle w:val="Proposal"/>
      </w:pPr>
      <w:r w:rsidRPr="00AB38FF">
        <w:tab/>
        <w:t>AFCP/42A32/1</w:t>
      </w:r>
    </w:p>
    <w:p w:rsidR="00865DD5" w:rsidRPr="00865DD5" w:rsidRDefault="0087069F" w:rsidP="00865DD5">
      <w:r w:rsidRPr="00AB38FF">
        <w:t xml:space="preserve">Entre los principios generales de la estructura de las CE, debería haber uno que incluya la </w:t>
      </w:r>
      <w:r w:rsidR="00C368CF">
        <w:t>"</w:t>
      </w:r>
      <w:r w:rsidR="00E318AC" w:rsidRPr="00AB38FF">
        <w:t>Reducción de la disparidad entre los países en desarrollo y desarrollados en materia de normalización</w:t>
      </w:r>
      <w:r w:rsidR="00C368CF">
        <w:t>"</w:t>
      </w:r>
      <w:r w:rsidR="00152A6B" w:rsidRPr="00AB38FF">
        <w:t xml:space="preserve">, </w:t>
      </w:r>
      <w:r w:rsidRPr="00AB38FF">
        <w:t>concretamente</w:t>
      </w:r>
      <w:r w:rsidR="00487E5A">
        <w:t>:</w:t>
      </w:r>
    </w:p>
    <w:p w:rsidR="00152A6B" w:rsidRPr="00865DD5" w:rsidRDefault="00865DD5" w:rsidP="00865DD5">
      <w:pPr>
        <w:pStyle w:val="enumlev1"/>
      </w:pPr>
      <w:r>
        <w:t>•</w:t>
      </w:r>
      <w:r>
        <w:tab/>
      </w:r>
      <w:r w:rsidR="00E318AC" w:rsidRPr="00AB38FF">
        <w:t>La nueva estructura debería ayudar a los países en desarrollo a reducir la disparidad en materia de normalización, por ejemplo</w:t>
      </w:r>
      <w:r w:rsidR="002061A5">
        <w:t>,</w:t>
      </w:r>
      <w:r w:rsidR="00E318AC" w:rsidRPr="00AB38FF">
        <w:t xml:space="preserve"> mediante la identificación de medidas para mejorar su participación en la labor de las Comisiones de Estudio, incluida la utilización de métodos de trabajo electrónicos</w:t>
      </w:r>
      <w:r w:rsidR="00152A6B" w:rsidRPr="00AB38FF">
        <w:t xml:space="preserve">, </w:t>
      </w:r>
      <w:r w:rsidR="0087069F" w:rsidRPr="00AB38FF">
        <w:t>la capacitación, la compartición de información, la transferencia de tecnología</w:t>
      </w:r>
      <w:r w:rsidR="00487E5A">
        <w:t>, etc.</w:t>
      </w:r>
    </w:p>
    <w:p w:rsidR="00152A6B" w:rsidRDefault="00865DD5" w:rsidP="00865DD5">
      <w:pPr>
        <w:pStyle w:val="enumlev1"/>
      </w:pPr>
      <w:r>
        <w:t>•</w:t>
      </w:r>
      <w:r>
        <w:tab/>
      </w:r>
      <w:r w:rsidR="0087069F" w:rsidRPr="00AB38FF">
        <w:t>La nueva estructura debe tener en cuenta las preocupaciones de los países en desarrollo</w:t>
      </w:r>
      <w:r w:rsidR="00152A6B" w:rsidRPr="00AB38FF">
        <w:t xml:space="preserve">, </w:t>
      </w:r>
      <w:r w:rsidR="0087069F" w:rsidRPr="00AB38FF">
        <w:t>e</w:t>
      </w:r>
      <w:r w:rsidR="00152A6B" w:rsidRPr="00AB38FF">
        <w:t xml:space="preserve">n particular </w:t>
      </w:r>
      <w:r w:rsidR="0087069F" w:rsidRPr="00AB38FF">
        <w:t>la de aquellas Comisiones de Estudio que elaboran principalmente Recomendaciones con aspectos normativos</w:t>
      </w:r>
      <w:r w:rsidR="00152A6B" w:rsidRPr="00AB38FF">
        <w:t>.</w:t>
      </w:r>
    </w:p>
    <w:p w:rsidR="00F44D03" w:rsidRPr="00AB38FF" w:rsidRDefault="00F44D03" w:rsidP="00F44D03">
      <w:pPr>
        <w:pStyle w:val="Reasons"/>
      </w:pPr>
    </w:p>
    <w:p w:rsidR="00152A6B" w:rsidRPr="00AB38FF" w:rsidRDefault="00152A6B" w:rsidP="00487E5A">
      <w:pPr>
        <w:pStyle w:val="Heading2"/>
      </w:pPr>
      <w:r w:rsidRPr="00AB38FF">
        <w:t>2.2</w:t>
      </w:r>
      <w:r w:rsidRPr="00AB38FF">
        <w:tab/>
      </w:r>
      <w:r w:rsidR="0087069F" w:rsidRPr="00AB38FF">
        <w:t xml:space="preserve">Ideas de la </w:t>
      </w:r>
      <w:r w:rsidRPr="00AB38FF">
        <w:t xml:space="preserve">TSB </w:t>
      </w:r>
      <w:r w:rsidR="0087069F" w:rsidRPr="00AB38FF">
        <w:t>para la reestructuración del U</w:t>
      </w:r>
      <w:r w:rsidR="00487E5A">
        <w:t>IT-T</w:t>
      </w:r>
    </w:p>
    <w:p w:rsidR="0087069F" w:rsidRPr="00AB38FF" w:rsidRDefault="0087069F" w:rsidP="00865DD5">
      <w:r w:rsidRPr="00AB38FF">
        <w:t xml:space="preserve">Según el </w:t>
      </w:r>
      <w:r w:rsidR="00152A6B" w:rsidRPr="00AB38FF">
        <w:t xml:space="preserve">Director </w:t>
      </w:r>
      <w:r w:rsidRPr="00AB38FF">
        <w:t xml:space="preserve">de la </w:t>
      </w:r>
      <w:r w:rsidR="00152A6B" w:rsidRPr="00AB38FF">
        <w:t xml:space="preserve">TSB, </w:t>
      </w:r>
      <w:r w:rsidRPr="00AB38FF">
        <w:t>la labor del actual U</w:t>
      </w:r>
      <w:r w:rsidR="00152A6B" w:rsidRPr="00AB38FF">
        <w:t xml:space="preserve">IT-T </w:t>
      </w:r>
      <w:r w:rsidRPr="00AB38FF">
        <w:t>no está adaptada a las industrias y a las soluciones del mercado</w:t>
      </w:r>
      <w:r w:rsidR="00152A6B" w:rsidRPr="00AB38FF">
        <w:t xml:space="preserve">. </w:t>
      </w:r>
      <w:r w:rsidRPr="00AB38FF">
        <w:t>Por consiguiente, propone llevar a cabo una reestructuración de los Grupos y Comisiones de Estudio para compensar esta situación y mejorar la eficiencia del U</w:t>
      </w:r>
      <w:r w:rsidR="00152A6B" w:rsidRPr="00AB38FF">
        <w:t>IT-T.</w:t>
      </w:r>
    </w:p>
    <w:p w:rsidR="00865DD5" w:rsidRPr="002061A5" w:rsidRDefault="0087069F" w:rsidP="00865DD5">
      <w:r w:rsidRPr="002061A5">
        <w:t>A tal efecto</w:t>
      </w:r>
      <w:r w:rsidR="00152A6B" w:rsidRPr="002061A5">
        <w:t xml:space="preserve">, </w:t>
      </w:r>
      <w:r w:rsidRPr="002061A5">
        <w:t xml:space="preserve">propone la reducción del número de Comisiones de Estudio </w:t>
      </w:r>
      <w:r w:rsidR="00887AA8" w:rsidRPr="002061A5">
        <w:t>que se corresponderán a cuatro dominios, en función de los aspectos de las telecomunicaciones a los que se dediquen</w:t>
      </w:r>
      <w:r w:rsidR="00152A6B" w:rsidRPr="002061A5">
        <w:t xml:space="preserve">. </w:t>
      </w:r>
      <w:r w:rsidR="00887AA8" w:rsidRPr="002061A5">
        <w:t>La recomendación es</w:t>
      </w:r>
      <w:r w:rsidR="00152A6B" w:rsidRPr="002061A5">
        <w:t>:</w:t>
      </w:r>
    </w:p>
    <w:p w:rsidR="00152A6B" w:rsidRPr="00AB38FF" w:rsidRDefault="00865DD5" w:rsidP="002061A5">
      <w:pPr>
        <w:pStyle w:val="enumlev1"/>
      </w:pPr>
      <w:r w:rsidRPr="00865DD5">
        <w:t>•</w:t>
      </w:r>
      <w:r>
        <w:tab/>
      </w:r>
      <w:r w:rsidR="00F51D09" w:rsidRPr="00AB38FF">
        <w:t xml:space="preserve">Comisiones de Estudio dedicadas a aspectos operativos, políticos y normativos </w:t>
      </w:r>
      <w:r w:rsidR="00152A6B" w:rsidRPr="00AB38FF">
        <w:t>(</w:t>
      </w:r>
      <w:r w:rsidR="00F51D09" w:rsidRPr="00AB38FF">
        <w:t>CE</w:t>
      </w:r>
      <w:r w:rsidR="002061A5">
        <w:t> </w:t>
      </w:r>
      <w:r w:rsidR="00152A6B" w:rsidRPr="00AB38FF">
        <w:t xml:space="preserve">2 </w:t>
      </w:r>
      <w:r w:rsidR="00F51D09" w:rsidRPr="00AB38FF">
        <w:t>y</w:t>
      </w:r>
      <w:r>
        <w:t> </w:t>
      </w:r>
      <w:r w:rsidR="00F51D09" w:rsidRPr="00AB38FF">
        <w:t>CE</w:t>
      </w:r>
      <w:r w:rsidR="002061A5">
        <w:t> </w:t>
      </w:r>
      <w:r w:rsidR="00152A6B" w:rsidRPr="00AB38FF">
        <w:t>3);</w:t>
      </w:r>
    </w:p>
    <w:p w:rsidR="00152A6B" w:rsidRPr="00AB38FF" w:rsidRDefault="00865DD5" w:rsidP="00865DD5">
      <w:pPr>
        <w:pStyle w:val="enumlev1"/>
      </w:pPr>
      <w:r w:rsidRPr="00865DD5">
        <w:t>•</w:t>
      </w:r>
      <w:r>
        <w:tab/>
      </w:r>
      <w:r w:rsidR="00F51D09" w:rsidRPr="00AB38FF">
        <w:t>Comisiones de Estudio dedicadas a funciones contemporáneas</w:t>
      </w:r>
      <w:r w:rsidR="00F44D03">
        <w:t xml:space="preserve"> </w:t>
      </w:r>
      <w:r w:rsidR="00152A6B" w:rsidRPr="00AB38FF">
        <w:t>(</w:t>
      </w:r>
      <w:r w:rsidR="00F51D09" w:rsidRPr="00AB38FF">
        <w:t>CE</w:t>
      </w:r>
      <w:r w:rsidR="002061A5">
        <w:t> </w:t>
      </w:r>
      <w:r w:rsidR="00152A6B" w:rsidRPr="00AB38FF">
        <w:t xml:space="preserve">5, </w:t>
      </w:r>
      <w:r w:rsidR="00F51D09" w:rsidRPr="00AB38FF">
        <w:t>CE</w:t>
      </w:r>
      <w:r w:rsidR="002061A5">
        <w:t> </w:t>
      </w:r>
      <w:r w:rsidR="00152A6B" w:rsidRPr="00AB38FF">
        <w:t xml:space="preserve">12 </w:t>
      </w:r>
      <w:r w:rsidR="00F51D09" w:rsidRPr="00AB38FF">
        <w:t>y CE</w:t>
      </w:r>
      <w:r w:rsidR="002061A5">
        <w:t> </w:t>
      </w:r>
      <w:r w:rsidR="00152A6B" w:rsidRPr="00AB38FF">
        <w:t>17);</w:t>
      </w:r>
    </w:p>
    <w:p w:rsidR="00152A6B" w:rsidRPr="00AB38FF" w:rsidRDefault="00865DD5" w:rsidP="00865DD5">
      <w:pPr>
        <w:pStyle w:val="enumlev1"/>
      </w:pPr>
      <w:r w:rsidRPr="00865DD5">
        <w:t>•</w:t>
      </w:r>
      <w:r>
        <w:tab/>
      </w:r>
      <w:r w:rsidR="00F51D09" w:rsidRPr="00AB38FF">
        <w:t xml:space="preserve">Comisiones de Estudios dedicadas a servicios y aplicaciones </w:t>
      </w:r>
      <w:r w:rsidR="00152A6B" w:rsidRPr="00AB38FF">
        <w:t>(</w:t>
      </w:r>
      <w:r w:rsidR="00F51D09" w:rsidRPr="00AB38FF">
        <w:t>CE</w:t>
      </w:r>
      <w:r w:rsidR="002061A5">
        <w:t> </w:t>
      </w:r>
      <w:r w:rsidR="00152A6B" w:rsidRPr="00AB38FF">
        <w:t xml:space="preserve">9, </w:t>
      </w:r>
      <w:r w:rsidR="00F51D09" w:rsidRPr="00AB38FF">
        <w:t>CE</w:t>
      </w:r>
      <w:r w:rsidR="002061A5">
        <w:t> </w:t>
      </w:r>
      <w:r w:rsidR="00152A6B" w:rsidRPr="00AB38FF">
        <w:t xml:space="preserve">16 </w:t>
      </w:r>
      <w:r w:rsidR="00F51D09" w:rsidRPr="00AB38FF">
        <w:t>y CE</w:t>
      </w:r>
      <w:r w:rsidR="002061A5">
        <w:t> </w:t>
      </w:r>
      <w:r w:rsidR="00152A6B" w:rsidRPr="00AB38FF">
        <w:t>20);</w:t>
      </w:r>
    </w:p>
    <w:p w:rsidR="00152A6B" w:rsidRPr="00AB38FF" w:rsidRDefault="00865DD5" w:rsidP="00865DD5">
      <w:pPr>
        <w:pStyle w:val="enumlev1"/>
      </w:pPr>
      <w:r w:rsidRPr="00865DD5">
        <w:lastRenderedPageBreak/>
        <w:t>•</w:t>
      </w:r>
      <w:r>
        <w:tab/>
      </w:r>
      <w:r w:rsidR="00F51D09" w:rsidRPr="00AB38FF">
        <w:t>Comisiones de Estudio dedicadas a infraestructura</w:t>
      </w:r>
      <w:r w:rsidR="00152A6B" w:rsidRPr="00AB38FF">
        <w:t xml:space="preserve"> (</w:t>
      </w:r>
      <w:r w:rsidR="00F51D09" w:rsidRPr="00AB38FF">
        <w:t>CE</w:t>
      </w:r>
      <w:r w:rsidR="002061A5">
        <w:t> </w:t>
      </w:r>
      <w:r w:rsidR="00152A6B" w:rsidRPr="00AB38FF">
        <w:t xml:space="preserve">11, </w:t>
      </w:r>
      <w:r w:rsidR="00F51D09" w:rsidRPr="00AB38FF">
        <w:t>CE</w:t>
      </w:r>
      <w:r w:rsidR="002061A5">
        <w:t> </w:t>
      </w:r>
      <w:r w:rsidR="00152A6B" w:rsidRPr="00AB38FF">
        <w:t xml:space="preserve">13 </w:t>
      </w:r>
      <w:r w:rsidR="00F51D09" w:rsidRPr="00AB38FF">
        <w:t>y CE</w:t>
      </w:r>
      <w:r w:rsidR="002061A5">
        <w:t> </w:t>
      </w:r>
      <w:r w:rsidR="00152A6B" w:rsidRPr="00AB38FF">
        <w:t>15).</w:t>
      </w:r>
    </w:p>
    <w:p w:rsidR="00152A6B" w:rsidRPr="00AB38FF" w:rsidRDefault="00F51D09" w:rsidP="002061A5">
      <w:r w:rsidRPr="00AB38FF">
        <w:t xml:space="preserve">Los Estados Miembros africanos refrendan en principio la reestructuración propuesta por la </w:t>
      </w:r>
      <w:r w:rsidR="00152A6B" w:rsidRPr="00AB38FF">
        <w:t xml:space="preserve">TSB. </w:t>
      </w:r>
      <w:r w:rsidRPr="00AB38FF">
        <w:t>Habida cuenta de estos principios, sería más eficiente reducir el número de Comisiones de Estudio, a fin de</w:t>
      </w:r>
      <w:r w:rsidR="00152A6B" w:rsidRPr="00AB38FF">
        <w:t>:</w:t>
      </w:r>
    </w:p>
    <w:p w:rsidR="00152A6B" w:rsidRPr="00487E5A" w:rsidRDefault="00865DD5" w:rsidP="00865DD5">
      <w:pPr>
        <w:pStyle w:val="enumlev1"/>
      </w:pPr>
      <w:r w:rsidRPr="00487E5A">
        <w:t>•</w:t>
      </w:r>
      <w:r w:rsidRPr="00487E5A">
        <w:tab/>
      </w:r>
      <w:r w:rsidR="00152A6B" w:rsidRPr="00AB38FF">
        <w:t>facilita</w:t>
      </w:r>
      <w:r w:rsidR="00F51D09" w:rsidRPr="00AB38FF">
        <w:t>r</w:t>
      </w:r>
      <w:r w:rsidR="00152A6B" w:rsidRPr="00AB38FF">
        <w:t xml:space="preserve"> </w:t>
      </w:r>
      <w:r w:rsidR="00F51D09" w:rsidRPr="00AB38FF">
        <w:t>la cooperación entre Comisiones dentro del U</w:t>
      </w:r>
      <w:r w:rsidR="00152A6B" w:rsidRPr="00AB38FF">
        <w:t xml:space="preserve">IT-T </w:t>
      </w:r>
      <w:r w:rsidR="00F51D09" w:rsidRPr="00AB38FF">
        <w:t>y reducir en consecuencia la correspondencia con otras organizaciones de normalización</w:t>
      </w:r>
      <w:r w:rsidR="00152A6B" w:rsidRPr="00AB38FF">
        <w:t>;</w:t>
      </w:r>
    </w:p>
    <w:p w:rsidR="00152A6B" w:rsidRPr="00487E5A" w:rsidRDefault="00865DD5" w:rsidP="00865DD5">
      <w:pPr>
        <w:pStyle w:val="enumlev1"/>
      </w:pPr>
      <w:r w:rsidRPr="00487E5A">
        <w:t>•</w:t>
      </w:r>
      <w:r w:rsidRPr="00487E5A">
        <w:tab/>
      </w:r>
      <w:r w:rsidR="00F51D09" w:rsidRPr="00AB38FF">
        <w:t>evitar la duplicación de tareas</w:t>
      </w:r>
      <w:r w:rsidR="00152A6B" w:rsidRPr="00AB38FF">
        <w:t>;</w:t>
      </w:r>
    </w:p>
    <w:p w:rsidR="00152A6B" w:rsidRPr="00AB38FF" w:rsidRDefault="00865DD5" w:rsidP="00865DD5">
      <w:pPr>
        <w:pStyle w:val="enumlev1"/>
      </w:pPr>
      <w:r w:rsidRPr="00487E5A">
        <w:t>•</w:t>
      </w:r>
      <w:r w:rsidRPr="00487E5A">
        <w:tab/>
      </w:r>
      <w:r w:rsidR="00152A6B" w:rsidRPr="00AB38FF">
        <w:t>facilita</w:t>
      </w:r>
      <w:r w:rsidR="00F51D09" w:rsidRPr="00AB38FF">
        <w:t>r</w:t>
      </w:r>
      <w:r w:rsidR="00152A6B" w:rsidRPr="00AB38FF">
        <w:t xml:space="preserve"> </w:t>
      </w:r>
      <w:r w:rsidR="00F51D09" w:rsidRPr="00AB38FF">
        <w:t>la participación de expertos sobre diversos temas</w:t>
      </w:r>
      <w:r w:rsidR="00152A6B" w:rsidRPr="00AB38FF">
        <w:t>;</w:t>
      </w:r>
    </w:p>
    <w:p w:rsidR="00152A6B" w:rsidRPr="00AB38FF" w:rsidRDefault="00865DD5" w:rsidP="00865DD5">
      <w:pPr>
        <w:pStyle w:val="enumlev1"/>
      </w:pPr>
      <w:r w:rsidRPr="00487E5A">
        <w:t>•</w:t>
      </w:r>
      <w:r w:rsidRPr="00487E5A">
        <w:tab/>
      </w:r>
      <w:r w:rsidR="00F51D09" w:rsidRPr="00AB38FF">
        <w:t>optimizar la gestión del presupuesto de las Comisiones de Estudio</w:t>
      </w:r>
      <w:r w:rsidR="00152A6B" w:rsidRPr="00AB38FF">
        <w:t>;</w:t>
      </w:r>
      <w:r w:rsidR="00F51D09" w:rsidRPr="00AB38FF">
        <w:t xml:space="preserve"> e</w:t>
      </w:r>
      <w:r w:rsidR="00152A6B" w:rsidRPr="00AB38FF">
        <w:t>tc.</w:t>
      </w:r>
    </w:p>
    <w:p w:rsidR="00152A6B" w:rsidRPr="00AB38FF" w:rsidRDefault="00F51D09" w:rsidP="00865DD5">
      <w:r w:rsidRPr="00AB38FF">
        <w:t>Ahora bien</w:t>
      </w:r>
      <w:r w:rsidR="00152A6B" w:rsidRPr="00AB38FF">
        <w:t xml:space="preserve">, </w:t>
      </w:r>
      <w:r w:rsidRPr="00AB38FF">
        <w:t>a fin de no afectar sobremanera las actividades del U</w:t>
      </w:r>
      <w:r w:rsidR="00152A6B" w:rsidRPr="00AB38FF">
        <w:t xml:space="preserve">IT-T </w:t>
      </w:r>
      <w:r w:rsidRPr="00AB38FF">
        <w:t xml:space="preserve">al realizar una transformación </w:t>
      </w:r>
      <w:r w:rsidR="00152A6B" w:rsidRPr="00AB38FF">
        <w:t xml:space="preserve">radical </w:t>
      </w:r>
      <w:r w:rsidRPr="00AB38FF">
        <w:t>que pudiera requerir un tiempo de adaptación relativamente prolongado, lo prudente sería efectuar una reforma más flexible</w:t>
      </w:r>
      <w:r w:rsidR="00152A6B" w:rsidRPr="00AB38FF">
        <w:t xml:space="preserve">. </w:t>
      </w:r>
    </w:p>
    <w:p w:rsidR="00152A6B" w:rsidRPr="00BB517B" w:rsidRDefault="003055D0" w:rsidP="00BB517B">
      <w:pPr>
        <w:pStyle w:val="Headingb"/>
      </w:pPr>
      <w:r w:rsidRPr="00BB517B">
        <w:t>Las propuestas de los Estados Miembros africanos para la reestructuración son las siguientes</w:t>
      </w:r>
      <w:r w:rsidR="00152A6B" w:rsidRPr="00BB517B">
        <w:t>:</w:t>
      </w:r>
    </w:p>
    <w:p w:rsidR="00152A6B" w:rsidRPr="00AB38FF" w:rsidRDefault="00152A6B" w:rsidP="00865DD5">
      <w:pPr>
        <w:pStyle w:val="Proposal"/>
      </w:pPr>
      <w:r w:rsidRPr="00AB38FF">
        <w:tab/>
        <w:t>AFCP/42A32/2</w:t>
      </w:r>
    </w:p>
    <w:p w:rsidR="00152A6B" w:rsidRPr="00AB38FF" w:rsidRDefault="003055D0" w:rsidP="00865DD5">
      <w:r w:rsidRPr="00AB38FF">
        <w:t>Los países africanos proponen que se siga examinando en el próximo periodo de estudio si es necesario realizar una reestructuración y, en su caso, que se definan las condiciones y modalidades para ello</w:t>
      </w:r>
      <w:r w:rsidR="00152A6B" w:rsidRPr="00AB38FF">
        <w:t>.</w:t>
      </w:r>
    </w:p>
    <w:p w:rsidR="00152A6B" w:rsidRPr="00AB38FF" w:rsidRDefault="003055D0" w:rsidP="00865DD5">
      <w:r w:rsidRPr="00AB38FF">
        <w:t>A tal efecto</w:t>
      </w:r>
      <w:r w:rsidR="00152A6B" w:rsidRPr="00AB38FF">
        <w:t xml:space="preserve">, </w:t>
      </w:r>
      <w:r w:rsidRPr="00AB38FF">
        <w:t>los países africanos proponen que se cree un Grupo de Trabajo del GANT</w:t>
      </w:r>
      <w:r w:rsidR="00152A6B" w:rsidRPr="00AB38FF">
        <w:t xml:space="preserve">, </w:t>
      </w:r>
      <w:r w:rsidRPr="00AB38FF">
        <w:t>preferiblemente pequeño</w:t>
      </w:r>
      <w:r w:rsidR="00152A6B" w:rsidRPr="00AB38FF">
        <w:t xml:space="preserve">, </w:t>
      </w:r>
      <w:r w:rsidRPr="00AB38FF">
        <w:t>con el mandato de poner en práctica dicha propuesta</w:t>
      </w:r>
      <w:r w:rsidR="00152A6B" w:rsidRPr="00AB38FF">
        <w:t xml:space="preserve">. </w:t>
      </w:r>
      <w:r w:rsidRPr="00AB38FF">
        <w:t>Así</w:t>
      </w:r>
      <w:r w:rsidR="00152A6B" w:rsidRPr="00AB38FF">
        <w:t xml:space="preserve">, </w:t>
      </w:r>
      <w:r w:rsidRPr="00AB38FF">
        <w:t xml:space="preserve">para llevar a cabo este trabajo, el </w:t>
      </w:r>
      <w:r w:rsidR="002061A5" w:rsidRPr="00AB38FF">
        <w:t xml:space="preserve">Grupo </w:t>
      </w:r>
      <w:r w:rsidRPr="00AB38FF">
        <w:t>puede utilizar el siguiente planteamiento</w:t>
      </w:r>
      <w:r w:rsidR="00152A6B" w:rsidRPr="00AB38FF">
        <w:t>:</w:t>
      </w:r>
    </w:p>
    <w:p w:rsidR="00152A6B" w:rsidRPr="00AB38FF" w:rsidRDefault="00865DD5" w:rsidP="002061A5">
      <w:pPr>
        <w:pStyle w:val="enumlev1"/>
      </w:pPr>
      <w:r w:rsidRPr="00487E5A">
        <w:t>•</w:t>
      </w:r>
      <w:r w:rsidRPr="00487E5A">
        <w:tab/>
      </w:r>
      <w:r w:rsidR="002061A5">
        <w:t>e</w:t>
      </w:r>
      <w:r w:rsidR="003055D0" w:rsidRPr="00AB38FF">
        <w:t>valuar las virtudes y deficiencias de la estructura y organización actuales de las Comisiones de Estudio del U</w:t>
      </w:r>
      <w:r w:rsidR="00152A6B" w:rsidRPr="00AB38FF">
        <w:t>IT-T;</w:t>
      </w:r>
    </w:p>
    <w:p w:rsidR="00152A6B" w:rsidRPr="00AB38FF" w:rsidRDefault="00865DD5" w:rsidP="002061A5">
      <w:pPr>
        <w:pStyle w:val="enumlev1"/>
      </w:pPr>
      <w:r w:rsidRPr="00487E5A">
        <w:t>•</w:t>
      </w:r>
      <w:r w:rsidRPr="00487E5A">
        <w:tab/>
      </w:r>
      <w:r w:rsidR="002061A5">
        <w:t>e</w:t>
      </w:r>
      <w:r w:rsidR="003055D0" w:rsidRPr="00AB38FF">
        <w:t>valuar las Recomendaciones del U</w:t>
      </w:r>
      <w:r w:rsidR="00152A6B" w:rsidRPr="00AB38FF">
        <w:t xml:space="preserve">IT-T </w:t>
      </w:r>
      <w:r w:rsidR="003055D0" w:rsidRPr="00AB38FF">
        <w:t xml:space="preserve">y su aplicación por los </w:t>
      </w:r>
      <w:r w:rsidR="002061A5">
        <w:t>m</w:t>
      </w:r>
      <w:r w:rsidR="003055D0" w:rsidRPr="00AB38FF">
        <w:t xml:space="preserve">iembros y el </w:t>
      </w:r>
      <w:r w:rsidR="00152A6B" w:rsidRPr="00AB38FF">
        <w:t>Sector;</w:t>
      </w:r>
    </w:p>
    <w:p w:rsidR="00152A6B" w:rsidRPr="00AB38FF" w:rsidRDefault="00865DD5" w:rsidP="002061A5">
      <w:pPr>
        <w:pStyle w:val="enumlev1"/>
      </w:pPr>
      <w:r w:rsidRPr="00487E5A">
        <w:t>•</w:t>
      </w:r>
      <w:r w:rsidRPr="00487E5A">
        <w:tab/>
      </w:r>
      <w:r w:rsidR="002061A5">
        <w:t>d</w:t>
      </w:r>
      <w:r w:rsidR="00152A6B" w:rsidRPr="00AB38FF">
        <w:t>etermin</w:t>
      </w:r>
      <w:r w:rsidR="003055D0" w:rsidRPr="00AB38FF">
        <w:t>ar</w:t>
      </w:r>
      <w:r w:rsidR="00152A6B" w:rsidRPr="00AB38FF">
        <w:t xml:space="preserve"> </w:t>
      </w:r>
      <w:r w:rsidR="003055D0" w:rsidRPr="00AB38FF">
        <w:t>la reestructuración óptima</w:t>
      </w:r>
      <w:r w:rsidR="00152A6B" w:rsidRPr="00AB38FF">
        <w:t>;</w:t>
      </w:r>
    </w:p>
    <w:p w:rsidR="00152A6B" w:rsidRPr="00487E5A" w:rsidRDefault="00865DD5" w:rsidP="00487E5A">
      <w:pPr>
        <w:pStyle w:val="enumlev1"/>
      </w:pPr>
      <w:r w:rsidRPr="00487E5A">
        <w:t>•</w:t>
      </w:r>
      <w:r w:rsidRPr="00487E5A">
        <w:tab/>
      </w:r>
      <w:r w:rsidR="002061A5" w:rsidRPr="00487E5A">
        <w:t>e</w:t>
      </w:r>
      <w:r w:rsidR="003055D0" w:rsidRPr="00487E5A">
        <w:t>fectuar propuestas</w:t>
      </w:r>
      <w:r w:rsidR="00152A6B" w:rsidRPr="00487E5A">
        <w:t>.</w:t>
      </w:r>
    </w:p>
    <w:p w:rsidR="00152A6B" w:rsidRPr="00AB38FF" w:rsidRDefault="003055D0" w:rsidP="00865DD5">
      <w:r w:rsidRPr="00AB38FF">
        <w:t>El GANT transmitirá el informe de la labor que realice este Grupo de Trabajo a las Comisiones de Estudio del U</w:t>
      </w:r>
      <w:r w:rsidR="00152A6B" w:rsidRPr="00AB38FF">
        <w:t xml:space="preserve">IT-T </w:t>
      </w:r>
      <w:r w:rsidRPr="00AB38FF">
        <w:t>a más tardar un año antes de la AMNT</w:t>
      </w:r>
      <w:r w:rsidR="00152A6B" w:rsidRPr="00AB38FF">
        <w:t xml:space="preserve">-20 </w:t>
      </w:r>
      <w:r w:rsidRPr="00AB38FF">
        <w:t>con el fin de recabar comentarios y opiniones para su posible adopción en la AMNT</w:t>
      </w:r>
      <w:r w:rsidR="00152A6B" w:rsidRPr="00AB38FF">
        <w:t>-20.</w:t>
      </w:r>
    </w:p>
    <w:p w:rsidR="00152A6B" w:rsidRPr="00AB38FF" w:rsidRDefault="003055D0" w:rsidP="00865DD5">
      <w:r w:rsidRPr="00AB38FF">
        <w:t>La UIT</w:t>
      </w:r>
      <w:r w:rsidR="00152A6B" w:rsidRPr="00AB38FF">
        <w:t xml:space="preserve"> </w:t>
      </w:r>
      <w:r w:rsidRPr="00AB38FF">
        <w:t>también invitará a los Miembros a manifestar su opinión dentro de ese mismo plazo</w:t>
      </w:r>
      <w:r w:rsidR="00152A6B" w:rsidRPr="00AB38FF">
        <w:t>.</w:t>
      </w:r>
    </w:p>
    <w:p w:rsidR="00B07178" w:rsidRPr="00AB38FF" w:rsidRDefault="00B07178" w:rsidP="00F44D03">
      <w:pPr>
        <w:pStyle w:val="Reasons"/>
      </w:pPr>
    </w:p>
    <w:p w:rsidR="00B81D47" w:rsidRDefault="00B81D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br w:type="page"/>
      </w:r>
    </w:p>
    <w:p w:rsidR="00E47679" w:rsidRPr="00AB38FF" w:rsidRDefault="002061A5" w:rsidP="00AB38FF">
      <w:pPr>
        <w:pStyle w:val="Proposal"/>
      </w:pPr>
      <w:r>
        <w:lastRenderedPageBreak/>
        <w:tab/>
      </w:r>
      <w:r w:rsidR="00CF26F9" w:rsidRPr="00AB38FF">
        <w:t>AFCP/42A32/3</w:t>
      </w:r>
    </w:p>
    <w:p w:rsidR="00E318AC" w:rsidRPr="00AB38FF" w:rsidRDefault="003055D0" w:rsidP="00AB38FF">
      <w:pPr>
        <w:spacing w:after="120"/>
      </w:pPr>
      <w:r w:rsidRPr="00AB38FF">
        <w:t>Propuestas para la reestructuración de las Comisiones de Estudio</w:t>
      </w:r>
      <w:r w:rsidR="00E318AC" w:rsidRPr="00AB38FF"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17"/>
        <w:gridCol w:w="2410"/>
        <w:gridCol w:w="4257"/>
      </w:tblGrid>
      <w:tr w:rsidR="00E318AC" w:rsidRPr="00F44D03" w:rsidTr="00B81D47">
        <w:trPr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C" w:rsidRPr="00DC7E5A" w:rsidRDefault="003055D0" w:rsidP="00487E5A">
            <w:pPr>
              <w:pStyle w:val="Tablehead"/>
              <w:rPr>
                <w:lang w:val="fr-CH"/>
              </w:rPr>
            </w:pPr>
            <w:r w:rsidRPr="00DC7E5A">
              <w:rPr>
                <w:lang w:val="fr-CH"/>
              </w:rPr>
              <w:t>Actuales CE del U</w:t>
            </w:r>
            <w:r w:rsidR="00E318AC" w:rsidRPr="00DC7E5A">
              <w:rPr>
                <w:lang w:val="fr-CH"/>
              </w:rPr>
              <w:t>IT</w:t>
            </w:r>
            <w:r w:rsidR="00E318AC" w:rsidRPr="00DC7E5A">
              <w:rPr>
                <w:lang w:val="fr-CH"/>
              </w:rPr>
              <w:noBreakHyphen/>
              <w:t xml:space="preserve">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C" w:rsidRPr="00487E5A" w:rsidRDefault="003055D0" w:rsidP="00487E5A">
            <w:pPr>
              <w:pStyle w:val="Tablehead"/>
            </w:pPr>
            <w:r w:rsidRPr="00487E5A">
              <w:t>Medida propuesta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C" w:rsidRPr="00487E5A" w:rsidRDefault="003055D0" w:rsidP="00487E5A">
            <w:pPr>
              <w:pStyle w:val="Tablehead"/>
            </w:pPr>
            <w:r w:rsidRPr="00487E5A">
              <w:t>Descripción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C" w:rsidRPr="00487E5A" w:rsidRDefault="003055D0" w:rsidP="00487E5A">
            <w:pPr>
              <w:pStyle w:val="Tablehead"/>
            </w:pPr>
            <w:r w:rsidRPr="00487E5A">
              <w:t>Motivos y estructura de las CE resultante</w:t>
            </w:r>
          </w:p>
        </w:tc>
      </w:tr>
      <w:tr w:rsidR="00E318AC" w:rsidRPr="00F44D03" w:rsidTr="00B81D47"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8AC" w:rsidRPr="00487E5A" w:rsidRDefault="00E318AC" w:rsidP="00487E5A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TSAG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8AC" w:rsidRPr="00487E5A" w:rsidRDefault="00E318AC" w:rsidP="00487E5A">
            <w:pPr>
              <w:pStyle w:val="Tabletext"/>
            </w:pPr>
          </w:p>
        </w:tc>
      </w:tr>
      <w:tr w:rsidR="00E318AC" w:rsidRPr="00F44D03" w:rsidTr="00B81D47"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BB517B" w:rsidRDefault="003055D0" w:rsidP="00BB517B">
            <w:pPr>
              <w:pStyle w:val="Tabletext"/>
              <w:jc w:val="center"/>
            </w:pPr>
            <w:r w:rsidRPr="00BB517B">
              <w:t>Opción</w:t>
            </w:r>
            <w:r w:rsidR="002061A5" w:rsidRPr="00BB517B">
              <w:t xml:space="preserve"> 1</w:t>
            </w:r>
            <w:r w:rsidR="00E318AC" w:rsidRPr="00BB517B">
              <w:t>:</w:t>
            </w:r>
            <w:r w:rsidR="00BB517B">
              <w:br/>
            </w:r>
            <w:r w:rsidR="00E318AC" w:rsidRPr="00BB517B">
              <w:t xml:space="preserve">SUP </w:t>
            </w:r>
            <w:r w:rsidRPr="00BB517B">
              <w:t>GT</w:t>
            </w:r>
            <w:r w:rsidR="002061A5" w:rsidRPr="00BB517B">
              <w:t> </w:t>
            </w:r>
            <w:r w:rsidR="00E318AC" w:rsidRPr="00BB517B">
              <w:t>2/2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  <w:r w:rsidRPr="00487E5A">
              <w:t>Transfer</w:t>
            </w:r>
            <w:r w:rsidR="003055D0" w:rsidRPr="00487E5A">
              <w:t>ir el GT</w:t>
            </w:r>
            <w:r w:rsidR="002061A5" w:rsidRPr="00487E5A">
              <w:t> </w:t>
            </w:r>
            <w:r w:rsidRPr="00487E5A">
              <w:t xml:space="preserve">2/2 </w:t>
            </w:r>
            <w:r w:rsidR="002C279F" w:rsidRPr="00487E5A">
              <w:t>a la </w:t>
            </w:r>
            <w:r w:rsidR="003055D0" w:rsidRPr="00487E5A">
              <w:t>CE</w:t>
            </w:r>
            <w:r w:rsidR="002061A5" w:rsidRPr="00487E5A">
              <w:t> </w:t>
            </w:r>
            <w:r w:rsidRPr="00487E5A">
              <w:t>13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BB517B" w:rsidP="00F44D03">
            <w:pPr>
              <w:pStyle w:val="Tabletext"/>
            </w:pPr>
            <w:r>
              <w:t xml:space="preserve">La </w:t>
            </w:r>
            <w:r w:rsidR="003055D0" w:rsidRPr="00487E5A">
              <w:t>CE</w:t>
            </w:r>
            <w:r w:rsidR="002061A5" w:rsidRPr="00487E5A">
              <w:t> </w:t>
            </w:r>
            <w:r w:rsidR="00E318AC" w:rsidRPr="00487E5A">
              <w:t xml:space="preserve">2 </w:t>
            </w:r>
            <w:r w:rsidR="003055D0" w:rsidRPr="00487E5A">
              <w:t xml:space="preserve">se concentrará en </w:t>
            </w:r>
            <w:r w:rsidR="00E318AC" w:rsidRPr="00487E5A">
              <w:t>NNAI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vMerge/>
            <w:shd w:val="clear" w:color="auto" w:fill="auto"/>
            <w:vAlign w:val="center"/>
          </w:tcPr>
          <w:p w:rsidR="00E318AC" w:rsidRPr="00F44D03" w:rsidRDefault="00E318AC" w:rsidP="002C279F">
            <w:pPr>
              <w:pStyle w:val="Tabletext"/>
              <w:jc w:val="center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3055D0" w:rsidP="00BB517B">
            <w:pPr>
              <w:pStyle w:val="Tabletext"/>
              <w:jc w:val="center"/>
            </w:pPr>
            <w:r w:rsidRPr="00487E5A">
              <w:t xml:space="preserve">Opción </w:t>
            </w:r>
            <w:r w:rsidR="002061A5" w:rsidRPr="00487E5A">
              <w:t>2</w:t>
            </w:r>
            <w:r w:rsidR="00E318AC" w:rsidRPr="00487E5A">
              <w:t>:</w:t>
            </w:r>
            <w:r w:rsidR="00BB517B">
              <w:br/>
            </w:r>
            <w:r w:rsidR="00E318AC" w:rsidRPr="00487E5A">
              <w:t xml:space="preserve">NOC </w:t>
            </w:r>
            <w:r w:rsidRPr="00487E5A">
              <w:t>GT</w:t>
            </w:r>
            <w:r w:rsidR="002061A5" w:rsidRPr="00487E5A">
              <w:t> </w:t>
            </w:r>
            <w:r w:rsidR="00E318AC" w:rsidRPr="00487E5A">
              <w:t>2/2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3055D0" w:rsidP="00DC7E5A">
            <w:pPr>
              <w:pStyle w:val="Tabletext"/>
              <w:jc w:val="center"/>
            </w:pPr>
            <w:r w:rsidRPr="00487E5A">
              <w:t>Mantener el estado actual del</w:t>
            </w:r>
            <w:r w:rsidR="00E318AC" w:rsidRPr="00487E5A">
              <w:t xml:space="preserve"> </w:t>
            </w:r>
            <w:r w:rsidRPr="00487E5A">
              <w:t>GT</w:t>
            </w:r>
            <w:r w:rsidR="002061A5" w:rsidRPr="00487E5A">
              <w:t> </w:t>
            </w:r>
            <w:r w:rsidR="00E318AC" w:rsidRPr="00487E5A">
              <w:t>2/2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BB517B" w:rsidP="00F44D03">
            <w:pPr>
              <w:pStyle w:val="Tabletext"/>
            </w:pPr>
            <w:r>
              <w:t xml:space="preserve">El </w:t>
            </w:r>
            <w:r w:rsidR="003055D0" w:rsidRPr="00487E5A">
              <w:t>GT</w:t>
            </w:r>
            <w:r w:rsidR="002061A5" w:rsidRPr="00487E5A">
              <w:t> </w:t>
            </w:r>
            <w:r w:rsidR="00E318AC" w:rsidRPr="00487E5A">
              <w:t xml:space="preserve">2/2 </w:t>
            </w:r>
            <w:r w:rsidR="003055D0" w:rsidRPr="00487E5A">
              <w:t>trata de los aspectos operativos, en consonancia con el mandato de la CE</w:t>
            </w:r>
            <w:r w:rsidR="002061A5" w:rsidRPr="00487E5A">
              <w:t> </w:t>
            </w:r>
            <w:r w:rsidR="00E318AC" w:rsidRPr="00487E5A">
              <w:t>2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vMerge/>
            <w:shd w:val="clear" w:color="auto" w:fill="auto"/>
            <w:vAlign w:val="center"/>
          </w:tcPr>
          <w:p w:rsidR="00E318AC" w:rsidRPr="00F44D03" w:rsidRDefault="00E318AC" w:rsidP="002C279F">
            <w:pPr>
              <w:pStyle w:val="Tabletext"/>
              <w:jc w:val="center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061A5">
            <w:pPr>
              <w:pStyle w:val="Tabletext"/>
              <w:jc w:val="center"/>
            </w:pPr>
            <w:r w:rsidRPr="00487E5A">
              <w:t xml:space="preserve">SUP </w:t>
            </w:r>
            <w:r w:rsidR="002061A5" w:rsidRPr="00487E5A">
              <w:t>C</w:t>
            </w:r>
            <w:r w:rsidRPr="00487E5A">
              <w:t>4/2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2C279F" w:rsidP="00DC7E5A">
            <w:pPr>
              <w:pStyle w:val="Tabletext"/>
              <w:jc w:val="center"/>
            </w:pPr>
            <w:r w:rsidRPr="00487E5A">
              <w:t>Transferir la Cuestión </w:t>
            </w:r>
            <w:r w:rsidR="00E318AC" w:rsidRPr="00487E5A">
              <w:t xml:space="preserve">4/2 </w:t>
            </w:r>
            <w:r w:rsidR="003055D0" w:rsidRPr="00487E5A">
              <w:t>a la CE</w:t>
            </w:r>
            <w:r w:rsidR="002061A5" w:rsidRPr="00487E5A">
              <w:t> </w:t>
            </w:r>
            <w:r w:rsidR="00E318AC" w:rsidRPr="00487E5A">
              <w:t>16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3055D0" w:rsidP="00F44D03">
            <w:pPr>
              <w:pStyle w:val="Tabletext"/>
            </w:pPr>
            <w:r w:rsidRPr="00487E5A">
              <w:t>Transferir los factores humanos a la CE</w:t>
            </w:r>
            <w:r w:rsidR="002061A5" w:rsidRPr="00487E5A">
              <w:t> </w:t>
            </w:r>
            <w:r w:rsidR="00E318AC" w:rsidRPr="00487E5A">
              <w:t xml:space="preserve">16 </w:t>
            </w:r>
            <w:r w:rsidRPr="00487E5A">
              <w:t>pero en una Cuestión diferente de la de accesibilidad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3055D0" w:rsidP="00F44D03">
            <w:pPr>
              <w:pStyle w:val="Tabletext"/>
            </w:pPr>
            <w:r w:rsidRPr="00487E5A">
              <w:t>CE</w:t>
            </w:r>
            <w:r w:rsidR="00E318AC" w:rsidRPr="00487E5A">
              <w:t xml:space="preserve"> </w:t>
            </w:r>
            <w:r w:rsidRPr="00487E5A">
              <w:t xml:space="preserve">estable de importancia </w:t>
            </w:r>
            <w:r w:rsidR="00E318AC" w:rsidRPr="00487E5A">
              <w:t xml:space="preserve">considerable </w:t>
            </w:r>
            <w:r w:rsidRPr="00487E5A">
              <w:t>para los países en desarrollo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3055D0" w:rsidP="00F44D03">
            <w:pPr>
              <w:pStyle w:val="Tabletext"/>
            </w:pPr>
            <w:r w:rsidRPr="00487E5A">
              <w:t>CE estable de importancia considerable para los países en desarrollo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  <w:r w:rsidRPr="00487E5A">
              <w:t>Transfer</w:t>
            </w:r>
            <w:r w:rsidR="007B1C0A" w:rsidRPr="00487E5A">
              <w:t xml:space="preserve">ir las Cuestiones relacionadas con la </w:t>
            </w:r>
            <w:r w:rsidRPr="00487E5A">
              <w:t xml:space="preserve">QoS </w:t>
            </w:r>
            <w:r w:rsidR="007B1C0A" w:rsidRPr="00487E5A">
              <w:t xml:space="preserve">a la </w:t>
            </w:r>
            <w:r w:rsidR="003055D0" w:rsidRPr="00487E5A">
              <w:t>CE</w:t>
            </w:r>
            <w:r w:rsidR="002061A5" w:rsidRPr="00487E5A">
              <w:t> </w:t>
            </w:r>
            <w:r w:rsidRPr="00487E5A">
              <w:t>12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DC7E5A" w:rsidP="00F44D03">
            <w:pPr>
              <w:pStyle w:val="Tabletext"/>
            </w:pPr>
            <w:r>
              <w:t xml:space="preserve">Las </w:t>
            </w:r>
            <w:r w:rsidR="007B1C0A" w:rsidRPr="00487E5A">
              <w:t xml:space="preserve">Cuestiones relacionadas con la </w:t>
            </w:r>
            <w:r w:rsidR="00E318AC" w:rsidRPr="00487E5A">
              <w:t xml:space="preserve">QoS </w:t>
            </w:r>
            <w:r w:rsidR="007B1C0A" w:rsidRPr="00487E5A">
              <w:t xml:space="preserve">deben estudiarse en la </w:t>
            </w:r>
            <w:r w:rsidR="003055D0" w:rsidRPr="00487E5A">
              <w:t>CE</w:t>
            </w:r>
            <w:r w:rsidR="002061A5" w:rsidRPr="00487E5A">
              <w:t> </w:t>
            </w:r>
            <w:r w:rsidR="00E318AC" w:rsidRPr="00487E5A">
              <w:t xml:space="preserve">12, </w:t>
            </w:r>
            <w:r w:rsidR="007B1C0A" w:rsidRPr="00487E5A">
              <w:t xml:space="preserve">cuyo mandato abarca los temas relativos a la </w:t>
            </w:r>
            <w:r w:rsidR="00E318AC" w:rsidRPr="00487E5A">
              <w:t>QoS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3055D0" w:rsidP="00F44D03">
            <w:pPr>
              <w:pStyle w:val="Tabletext"/>
            </w:pPr>
            <w:r w:rsidRPr="00487E5A">
              <w:t>CE</w:t>
            </w:r>
            <w:r w:rsidR="00E318AC" w:rsidRPr="00487E5A">
              <w:t xml:space="preserve"> </w:t>
            </w:r>
            <w:r w:rsidR="007B1C0A" w:rsidRPr="00487E5A">
              <w:t xml:space="preserve">importante que debe proseguir su mandato, en </w:t>
            </w:r>
            <w:r w:rsidR="00E318AC" w:rsidRPr="00487E5A">
              <w:t xml:space="preserve">particular </w:t>
            </w:r>
            <w:r w:rsidR="007B1C0A" w:rsidRPr="00487E5A">
              <w:t>en lo relativo a la C+I y la falsificación</w:t>
            </w:r>
            <w:r w:rsidR="002C279F" w:rsidRPr="00487E5A">
              <w:t>.</w:t>
            </w:r>
          </w:p>
          <w:p w:rsidR="00E318AC" w:rsidRPr="00487E5A" w:rsidRDefault="007B1C0A" w:rsidP="00F44D03">
            <w:pPr>
              <w:pStyle w:val="Tabletext"/>
            </w:pPr>
            <w:r w:rsidRPr="00487E5A">
              <w:t xml:space="preserve">Reuniones paralelas con las de la </w:t>
            </w:r>
            <w:r w:rsidR="003055D0" w:rsidRPr="00487E5A">
              <w:t>CE</w:t>
            </w:r>
            <w:r w:rsidR="002061A5" w:rsidRPr="00487E5A">
              <w:t> </w:t>
            </w:r>
            <w:r w:rsidR="00E318AC" w:rsidRPr="00487E5A">
              <w:t>13.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  <w:r w:rsidRPr="00487E5A">
              <w:t>Insert</w:t>
            </w:r>
            <w:r w:rsidR="007B1C0A" w:rsidRPr="00487E5A">
              <w:t xml:space="preserve">ar Cuestiones sobre </w:t>
            </w:r>
            <w:r w:rsidRPr="00487E5A">
              <w:t xml:space="preserve">QoS </w:t>
            </w:r>
            <w:r w:rsidR="007B1C0A" w:rsidRPr="00487E5A">
              <w:t xml:space="preserve">de la </w:t>
            </w:r>
            <w:r w:rsidR="003055D0" w:rsidRPr="00487E5A">
              <w:t>CE</w:t>
            </w:r>
            <w:r w:rsidR="002061A5" w:rsidRPr="00487E5A">
              <w:t> </w:t>
            </w:r>
            <w:r w:rsidRPr="00487E5A">
              <w:t>9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7B1C0A" w:rsidP="00F44D03">
            <w:pPr>
              <w:pStyle w:val="Tabletext"/>
            </w:pPr>
            <w:r w:rsidRPr="00487E5A">
              <w:t xml:space="preserve">Tener en cuenta todos los aspectos de la </w:t>
            </w:r>
            <w:r w:rsidR="00E318AC" w:rsidRPr="00487E5A">
              <w:t>QoS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vMerge w:val="restart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br w:type="page"/>
            </w:r>
            <w:r w:rsidR="003055D0"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Pr="00487E5A">
              <w:rPr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7B1C0A" w:rsidP="00DC7E5A">
            <w:pPr>
              <w:pStyle w:val="Tabletext"/>
              <w:jc w:val="center"/>
            </w:pPr>
            <w:r w:rsidRPr="00487E5A">
              <w:t xml:space="preserve">Opción </w:t>
            </w:r>
            <w:r w:rsidR="00E318AC" w:rsidRPr="00487E5A">
              <w:t>1: Insert</w:t>
            </w:r>
            <w:r w:rsidRPr="00487E5A">
              <w:t>ar Cuestiones que aborda el</w:t>
            </w:r>
            <w:r w:rsidR="00B81D47">
              <w:t> </w:t>
            </w:r>
            <w:r w:rsidR="003055D0" w:rsidRPr="00487E5A">
              <w:t>GT</w:t>
            </w:r>
            <w:r w:rsidR="002061A5" w:rsidRPr="00487E5A">
              <w:t> </w:t>
            </w:r>
            <w:r w:rsidR="00E318AC" w:rsidRPr="00487E5A">
              <w:t>2/2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BB517B" w:rsidP="00F44D03">
            <w:pPr>
              <w:pStyle w:val="Tabletext"/>
            </w:pPr>
            <w:r>
              <w:t xml:space="preserve">La </w:t>
            </w:r>
            <w:r w:rsidR="003055D0" w:rsidRPr="00487E5A">
              <w:t>CE</w:t>
            </w:r>
            <w:r w:rsidR="002061A5" w:rsidRPr="00487E5A">
              <w:t> </w:t>
            </w:r>
            <w:r w:rsidR="00E318AC" w:rsidRPr="00487E5A">
              <w:t xml:space="preserve">13 </w:t>
            </w:r>
            <w:r w:rsidR="007B1C0A" w:rsidRPr="00487E5A">
              <w:t>será la CE rectora sobre gestión de red para las redes presentes y futuras</w:t>
            </w:r>
            <w:r w:rsidR="00B81D47">
              <w:t>.</w:t>
            </w:r>
          </w:p>
        </w:tc>
      </w:tr>
      <w:tr w:rsidR="00E318AC" w:rsidRPr="00F44D03" w:rsidTr="00B81D47">
        <w:tc>
          <w:tcPr>
            <w:tcW w:w="1545" w:type="dxa"/>
            <w:vMerge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F44D03" w:rsidP="00DC7E5A">
            <w:pPr>
              <w:pStyle w:val="Tabletext"/>
              <w:jc w:val="center"/>
            </w:pPr>
            <w:r w:rsidRPr="00487E5A">
              <w:t>Opció</w:t>
            </w:r>
            <w:r w:rsidR="002061A5" w:rsidRPr="00487E5A">
              <w:t>n 2</w:t>
            </w:r>
            <w:r w:rsidR="00E318AC" w:rsidRPr="00487E5A">
              <w:t>:</w:t>
            </w:r>
            <w:r w:rsidR="002061A5" w:rsidRPr="00487E5A">
              <w:t xml:space="preserve"> </w:t>
            </w:r>
            <w:r w:rsidR="00E318AC" w:rsidRPr="00487E5A">
              <w:t>NOC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E318AC" w:rsidP="00F44D03">
            <w:pPr>
              <w:pStyle w:val="Tabletext"/>
            </w:pP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E318AC" w:rsidP="00F44D03">
            <w:pPr>
              <w:pStyle w:val="Tabletext"/>
            </w:pP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2061A5" w:rsidP="002C279F">
            <w:pPr>
              <w:pStyle w:val="Tabletext"/>
              <w:jc w:val="center"/>
            </w:pPr>
            <w:r w:rsidRPr="00487E5A"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  <w:r w:rsidRPr="00487E5A">
              <w:t>Insert</w:t>
            </w:r>
            <w:r w:rsidR="007B1C0A" w:rsidRPr="00487E5A">
              <w:t xml:space="preserve">ar la Cuestión </w:t>
            </w:r>
            <w:r w:rsidRPr="00487E5A">
              <w:t xml:space="preserve">4/2 </w:t>
            </w:r>
            <w:r w:rsidR="007B1C0A" w:rsidRPr="00487E5A">
              <w:t xml:space="preserve">de la </w:t>
            </w:r>
            <w:r w:rsidR="003055D0" w:rsidRPr="00487E5A">
              <w:t>CE</w:t>
            </w:r>
            <w:r w:rsidR="002061A5" w:rsidRPr="00487E5A">
              <w:t> </w:t>
            </w:r>
            <w:r w:rsidRPr="00487E5A">
              <w:t>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7B1C0A" w:rsidP="00F44D03">
            <w:pPr>
              <w:pStyle w:val="Tabletext"/>
            </w:pPr>
            <w:r w:rsidRPr="00487E5A">
              <w:t xml:space="preserve">Trata de temas de </w:t>
            </w:r>
            <w:r w:rsidR="00E318AC" w:rsidRPr="00487E5A">
              <w:t xml:space="preserve">MM, </w:t>
            </w:r>
            <w:r w:rsidRPr="00487E5A">
              <w:t>accesibilidad y factores humanos</w:t>
            </w:r>
            <w:r w:rsidR="00E318AC" w:rsidRPr="00487E5A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3055D0" w:rsidP="00F44D03">
            <w:pPr>
              <w:pStyle w:val="Tabletext"/>
            </w:pPr>
            <w:r w:rsidRPr="00487E5A">
              <w:t>CE estable de importancia considerable para los países en desarrollo</w:t>
            </w:r>
            <w:r w:rsidR="00E318AC" w:rsidRPr="00487E5A">
              <w:t>.</w:t>
            </w:r>
          </w:p>
        </w:tc>
      </w:tr>
      <w:tr w:rsidR="00E318AC" w:rsidRPr="00F44D03" w:rsidTr="00B81D47">
        <w:tc>
          <w:tcPr>
            <w:tcW w:w="1545" w:type="dxa"/>
            <w:shd w:val="clear" w:color="auto" w:fill="auto"/>
            <w:vAlign w:val="center"/>
          </w:tcPr>
          <w:p w:rsidR="00E318AC" w:rsidRPr="00487E5A" w:rsidRDefault="003055D0" w:rsidP="002C279F">
            <w:pPr>
              <w:pStyle w:val="Tabletext"/>
              <w:jc w:val="center"/>
              <w:rPr>
                <w:b/>
                <w:bCs/>
              </w:rPr>
            </w:pPr>
            <w:r w:rsidRPr="00487E5A">
              <w:rPr>
                <w:b/>
                <w:bCs/>
              </w:rPr>
              <w:t>CE</w:t>
            </w:r>
            <w:r w:rsidR="002061A5" w:rsidRPr="00487E5A">
              <w:rPr>
                <w:b/>
                <w:bCs/>
              </w:rPr>
              <w:t> </w:t>
            </w:r>
            <w:r w:rsidR="00E318AC" w:rsidRPr="00487E5A">
              <w:rPr>
                <w:b/>
                <w:bCs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8AC" w:rsidRPr="00487E5A" w:rsidRDefault="00E318AC" w:rsidP="002C279F">
            <w:pPr>
              <w:pStyle w:val="Tabletext"/>
              <w:jc w:val="center"/>
            </w:pPr>
            <w:r w:rsidRPr="00487E5A"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18AC" w:rsidRPr="00487E5A" w:rsidRDefault="00E318AC" w:rsidP="00DC7E5A">
            <w:pPr>
              <w:pStyle w:val="Tabletext"/>
              <w:jc w:val="center"/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E318AC" w:rsidRPr="00487E5A" w:rsidRDefault="007B1C0A" w:rsidP="00F44D03">
            <w:pPr>
              <w:pStyle w:val="Tabletext"/>
            </w:pPr>
            <w:r w:rsidRPr="00487E5A">
              <w:t>Los Estados Miembros africanos refrendan la creación, la</w:t>
            </w:r>
            <w:r w:rsidR="002C279F" w:rsidRPr="00487E5A">
              <w:t>s cuestiones y el mandato de la </w:t>
            </w:r>
            <w:r w:rsidR="003055D0" w:rsidRPr="00487E5A">
              <w:t>CE</w:t>
            </w:r>
            <w:r w:rsidR="002061A5" w:rsidRPr="00487E5A">
              <w:t> </w:t>
            </w:r>
            <w:r w:rsidR="00E318AC" w:rsidRPr="00487E5A">
              <w:t xml:space="preserve">20, </w:t>
            </w:r>
            <w:r w:rsidRPr="00487E5A">
              <w:t>que reviste</w:t>
            </w:r>
            <w:r w:rsidR="00E318AC" w:rsidRPr="00487E5A">
              <w:t xml:space="preserve"> considerabl</w:t>
            </w:r>
            <w:r w:rsidRPr="00487E5A">
              <w:t>e importancia para los países en desarrollo</w:t>
            </w:r>
            <w:r w:rsidR="00E318AC" w:rsidRPr="00487E5A">
              <w:t>.</w:t>
            </w:r>
          </w:p>
        </w:tc>
      </w:tr>
    </w:tbl>
    <w:p w:rsidR="00E318AC" w:rsidRPr="00F44D03" w:rsidRDefault="00E318AC" w:rsidP="00F44D03">
      <w:pPr>
        <w:pStyle w:val="Reasons"/>
      </w:pPr>
    </w:p>
    <w:p w:rsidR="00E318AC" w:rsidRPr="00AB38FF" w:rsidRDefault="00E318AC" w:rsidP="002C279F">
      <w:pPr>
        <w:pStyle w:val="Heading1"/>
      </w:pPr>
      <w:r w:rsidRPr="00AB38FF">
        <w:t>3</w:t>
      </w:r>
      <w:r w:rsidRPr="00AB38FF">
        <w:tab/>
      </w:r>
      <w:r w:rsidR="00DA55F7" w:rsidRPr="00AB38FF">
        <w:t>Comité de Examen (</w:t>
      </w:r>
      <w:r w:rsidRPr="00AB38FF">
        <w:t>RevCom</w:t>
      </w:r>
      <w:r w:rsidR="00DA55F7" w:rsidRPr="00AB38FF">
        <w:t>)</w:t>
      </w:r>
    </w:p>
    <w:p w:rsidR="00E47679" w:rsidRPr="00AB38FF" w:rsidRDefault="00DA55F7" w:rsidP="00AB38FF">
      <w:r w:rsidRPr="00AB38FF">
        <w:rPr>
          <w:noProof/>
        </w:rPr>
        <w:t xml:space="preserve">Habida cuenta de que el Comité de Examen ha llevado a buen término su mandato, los Estados Miembros africanos opinan que la </w:t>
      </w:r>
      <w:r w:rsidR="00E318AC" w:rsidRPr="00AB38FF">
        <w:rPr>
          <w:noProof/>
        </w:rPr>
        <w:t xml:space="preserve">RevCom </w:t>
      </w:r>
      <w:r w:rsidRPr="00AB38FF">
        <w:rPr>
          <w:noProof/>
        </w:rPr>
        <w:t xml:space="preserve">debe terminar su actividad en la AMNT-16 y, en consecuencia, que se debe suprimir la Resolución </w:t>
      </w:r>
      <w:r w:rsidR="00E318AC" w:rsidRPr="00AB38FF">
        <w:rPr>
          <w:noProof/>
        </w:rPr>
        <w:t xml:space="preserve">82 </w:t>
      </w:r>
      <w:r w:rsidRPr="00AB38FF">
        <w:rPr>
          <w:noProof/>
        </w:rPr>
        <w:t>de la AMNT</w:t>
      </w:r>
      <w:r w:rsidR="00E318AC" w:rsidRPr="00AB38FF">
        <w:rPr>
          <w:noProof/>
        </w:rPr>
        <w:t>.</w:t>
      </w:r>
    </w:p>
    <w:p w:rsidR="00E47679" w:rsidRPr="00AB38FF" w:rsidRDefault="00CF26F9" w:rsidP="00AB38FF">
      <w:pPr>
        <w:pStyle w:val="Proposal"/>
      </w:pPr>
      <w:r w:rsidRPr="00AB38FF">
        <w:tab/>
        <w:t>AFCP/42A32/4</w:t>
      </w:r>
    </w:p>
    <w:p w:rsidR="00E47679" w:rsidRDefault="00E318AC" w:rsidP="00AB38FF">
      <w:r w:rsidRPr="00AB38FF">
        <w:t xml:space="preserve">RevCom </w:t>
      </w:r>
      <w:r w:rsidR="00DA55F7" w:rsidRPr="00AB38FF">
        <w:t>termina sus actividades en la AMNT</w:t>
      </w:r>
      <w:r w:rsidRPr="00AB38FF">
        <w:t>-16.</w:t>
      </w:r>
    </w:p>
    <w:p w:rsidR="00F44D03" w:rsidRPr="00AB38FF" w:rsidRDefault="00F44D03" w:rsidP="00F44D03">
      <w:pPr>
        <w:pStyle w:val="Reasons"/>
      </w:pPr>
    </w:p>
    <w:p w:rsidR="00E47679" w:rsidRPr="00AB38FF" w:rsidRDefault="00CF26F9" w:rsidP="00AB38FF">
      <w:pPr>
        <w:pStyle w:val="Proposal"/>
      </w:pPr>
      <w:r w:rsidRPr="00AB38FF">
        <w:lastRenderedPageBreak/>
        <w:t>SUP</w:t>
      </w:r>
      <w:r w:rsidRPr="00AB38FF">
        <w:tab/>
        <w:t>AFCP/42A32/5</w:t>
      </w:r>
    </w:p>
    <w:p w:rsidR="00DA55F7" w:rsidRPr="00AB38FF" w:rsidRDefault="00CF26F9" w:rsidP="00AB38FF">
      <w:pPr>
        <w:pStyle w:val="ResNo"/>
      </w:pPr>
      <w:r w:rsidRPr="00AB38FF">
        <w:t xml:space="preserve">RESOLUCIÓN </w:t>
      </w:r>
      <w:r w:rsidRPr="00AB38FF">
        <w:rPr>
          <w:rStyle w:val="href"/>
          <w:rFonts w:eastAsia="MS Mincho"/>
        </w:rPr>
        <w:t>82</w:t>
      </w:r>
      <w:r w:rsidRPr="00AB38FF">
        <w:t xml:space="preserve"> (Dubái, 2012)</w:t>
      </w:r>
    </w:p>
    <w:p w:rsidR="00DA55F7" w:rsidRPr="00AB38FF" w:rsidRDefault="00CF26F9" w:rsidP="00AB38FF">
      <w:pPr>
        <w:pStyle w:val="Restitle"/>
      </w:pPr>
      <w:r w:rsidRPr="00AB38FF">
        <w:t>Examen estratégico y estructural del UIT-T</w:t>
      </w:r>
    </w:p>
    <w:p w:rsidR="00DA55F7" w:rsidRPr="00AB38FF" w:rsidRDefault="00CF26F9" w:rsidP="00487E5A">
      <w:pPr>
        <w:pStyle w:val="Resref"/>
      </w:pPr>
      <w:r w:rsidRPr="00AB38FF">
        <w:t>(Dubái, 2012)</w:t>
      </w:r>
    </w:p>
    <w:p w:rsidR="00E318AC" w:rsidRDefault="00F44D03" w:rsidP="00F44D03">
      <w:pPr>
        <w:pStyle w:val="Normalaftertitle"/>
        <w:rPr>
          <w:lang w:val="es-ES"/>
        </w:rPr>
      </w:pPr>
      <w:r w:rsidRPr="00D74C21">
        <w:rPr>
          <w:lang w:val="es-ES"/>
        </w:rPr>
        <w:t>La Asamblea Mundial de Normalización de las Telecomunicaciones</w:t>
      </w:r>
      <w:r>
        <w:rPr>
          <w:lang w:val="es-ES"/>
        </w:rPr>
        <w:t xml:space="preserve"> (Dubái, 2012),</w:t>
      </w:r>
    </w:p>
    <w:p w:rsidR="00F44D03" w:rsidRPr="00F44D03" w:rsidRDefault="00F44D03" w:rsidP="00F44D03">
      <w:pPr>
        <w:pStyle w:val="Reasons"/>
        <w:rPr>
          <w:lang w:val="es-ES"/>
        </w:rPr>
      </w:pPr>
    </w:p>
    <w:p w:rsidR="00E47679" w:rsidRPr="00AB38FF" w:rsidRDefault="00E318AC" w:rsidP="00F44D03">
      <w:pPr>
        <w:jc w:val="center"/>
      </w:pPr>
      <w:r w:rsidRPr="00AB38FF">
        <w:t>______________</w:t>
      </w:r>
      <w:bookmarkStart w:id="0" w:name="_GoBack"/>
      <w:bookmarkEnd w:id="0"/>
    </w:p>
    <w:sectPr w:rsidR="00E47679" w:rsidRPr="00AB38F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F7" w:rsidRDefault="00DA55F7">
      <w:r>
        <w:separator/>
      </w:r>
    </w:p>
  </w:endnote>
  <w:endnote w:type="continuationSeparator" w:id="0">
    <w:p w:rsidR="00DA55F7" w:rsidRDefault="00DA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F7" w:rsidRDefault="00DA55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5F7" w:rsidRPr="006E0078" w:rsidRDefault="00DA55F7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368CF">
      <w:rPr>
        <w:noProof/>
        <w:lang w:val="fr-CH"/>
      </w:rPr>
      <w:t>P:\ESP\ITU-T\CONF-T\WTSA16\000\042ADD32S.docx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0F04">
      <w:rPr>
        <w:noProof/>
      </w:rPr>
      <w:t>20.10.16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68CF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F7" w:rsidRPr="002061A5" w:rsidRDefault="00DA55F7" w:rsidP="002C279F">
    <w:pPr>
      <w:pStyle w:val="Footer"/>
      <w:rPr>
        <w:lang w:val="fr-CH"/>
      </w:rPr>
    </w:pPr>
    <w:r>
      <w:fldChar w:fldCharType="begin"/>
    </w:r>
    <w:r w:rsidRPr="002061A5">
      <w:rPr>
        <w:lang w:val="fr-CH"/>
      </w:rPr>
      <w:instrText xml:space="preserve"> FILENAME \p  \* MERGEFORMAT </w:instrText>
    </w:r>
    <w:r>
      <w:fldChar w:fldCharType="separate"/>
    </w:r>
    <w:r w:rsidR="00C368CF">
      <w:rPr>
        <w:lang w:val="fr-CH"/>
      </w:rPr>
      <w:t>P:\ESP\ITU-T\CONF-T\WTSA16\000\042ADD32S.docx</w:t>
    </w:r>
    <w:r>
      <w:fldChar w:fldCharType="end"/>
    </w:r>
    <w:r w:rsidRPr="002061A5">
      <w:rPr>
        <w:lang w:val="fr-CH"/>
      </w:rPr>
      <w:t xml:space="preserve"> (406704)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A5" w:rsidRPr="002061A5" w:rsidRDefault="002061A5" w:rsidP="002061A5">
    <w:pPr>
      <w:pStyle w:val="Footer"/>
      <w:rPr>
        <w:lang w:val="fr-CH"/>
      </w:rPr>
    </w:pPr>
    <w:r>
      <w:fldChar w:fldCharType="begin"/>
    </w:r>
    <w:r w:rsidRPr="002061A5">
      <w:rPr>
        <w:lang w:val="fr-CH"/>
      </w:rPr>
      <w:instrText xml:space="preserve"> FILENAME \p  \* MERGEFORMAT </w:instrText>
    </w:r>
    <w:r>
      <w:fldChar w:fldCharType="separate"/>
    </w:r>
    <w:r w:rsidR="00C368CF">
      <w:rPr>
        <w:lang w:val="fr-CH"/>
      </w:rPr>
      <w:t>P:\ESP\ITU-T\CONF-T\WTSA16\000\042ADD32S.docx</w:t>
    </w:r>
    <w:r>
      <w:fldChar w:fldCharType="end"/>
    </w:r>
    <w:r w:rsidRPr="002061A5">
      <w:rPr>
        <w:lang w:val="fr-CH"/>
      </w:rPr>
      <w:t xml:space="preserve"> (406704)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F7" w:rsidRDefault="00DA55F7">
      <w:r>
        <w:rPr>
          <w:b/>
        </w:rPr>
        <w:t>_______________</w:t>
      </w:r>
    </w:p>
  </w:footnote>
  <w:footnote w:type="continuationSeparator" w:id="0">
    <w:p w:rsidR="00DA55F7" w:rsidRDefault="00DA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F7" w:rsidRDefault="00DA55F7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50F04">
      <w:rPr>
        <w:noProof/>
      </w:rPr>
      <w:t>6</w:t>
    </w:r>
    <w:r>
      <w:fldChar w:fldCharType="end"/>
    </w:r>
  </w:p>
  <w:p w:rsidR="00DA55F7" w:rsidRPr="00C72D5C" w:rsidRDefault="00DA55F7" w:rsidP="00E83D45">
    <w:pPr>
      <w:pStyle w:val="Header"/>
    </w:pPr>
    <w:r>
      <w:t>AMNT16/42(Add.32)-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4193164"/>
    <w:multiLevelType w:val="hybridMultilevel"/>
    <w:tmpl w:val="E8C46C0E"/>
    <w:lvl w:ilvl="0" w:tplc="15CEE11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096A5B"/>
    <w:multiLevelType w:val="hybridMultilevel"/>
    <w:tmpl w:val="C1AA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C3F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5336"/>
    <w:multiLevelType w:val="hybridMultilevel"/>
    <w:tmpl w:val="153AC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275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22222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614B"/>
    <w:multiLevelType w:val="hybridMultilevel"/>
    <w:tmpl w:val="BEE0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0F04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2913"/>
    <w:rsid w:val="00123CC5"/>
    <w:rsid w:val="0015142D"/>
    <w:rsid w:val="00152A6B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61A5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279F"/>
    <w:rsid w:val="002C79B8"/>
    <w:rsid w:val="002E545F"/>
    <w:rsid w:val="002E701F"/>
    <w:rsid w:val="003055D0"/>
    <w:rsid w:val="003237B0"/>
    <w:rsid w:val="003248A9"/>
    <w:rsid w:val="00324FFA"/>
    <w:rsid w:val="0032680B"/>
    <w:rsid w:val="00363A65"/>
    <w:rsid w:val="00377EC9"/>
    <w:rsid w:val="0038087D"/>
    <w:rsid w:val="003B1E8C"/>
    <w:rsid w:val="003C2508"/>
    <w:rsid w:val="003D0AA3"/>
    <w:rsid w:val="004104AC"/>
    <w:rsid w:val="00454553"/>
    <w:rsid w:val="00476FB2"/>
    <w:rsid w:val="00487E5A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A5257"/>
    <w:rsid w:val="006B0F54"/>
    <w:rsid w:val="006B5507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B1C0A"/>
    <w:rsid w:val="007C2317"/>
    <w:rsid w:val="007C39FA"/>
    <w:rsid w:val="007D330A"/>
    <w:rsid w:val="007E667F"/>
    <w:rsid w:val="00865DD5"/>
    <w:rsid w:val="00866AE6"/>
    <w:rsid w:val="00866BBD"/>
    <w:rsid w:val="0087069F"/>
    <w:rsid w:val="00873B75"/>
    <w:rsid w:val="008750A8"/>
    <w:rsid w:val="00887AA8"/>
    <w:rsid w:val="008E35DA"/>
    <w:rsid w:val="008E4453"/>
    <w:rsid w:val="0090121B"/>
    <w:rsid w:val="009144C9"/>
    <w:rsid w:val="00916196"/>
    <w:rsid w:val="00923D47"/>
    <w:rsid w:val="0094091F"/>
    <w:rsid w:val="00954550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26F8B"/>
    <w:rsid w:val="00A4450C"/>
    <w:rsid w:val="00A97264"/>
    <w:rsid w:val="00AA5E6C"/>
    <w:rsid w:val="00AB38FF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1D47"/>
    <w:rsid w:val="00B824A2"/>
    <w:rsid w:val="00B8288C"/>
    <w:rsid w:val="00BA7C45"/>
    <w:rsid w:val="00BB517B"/>
    <w:rsid w:val="00BD5FE4"/>
    <w:rsid w:val="00BE2E80"/>
    <w:rsid w:val="00BE5EDD"/>
    <w:rsid w:val="00BE6A1F"/>
    <w:rsid w:val="00C126C4"/>
    <w:rsid w:val="00C368CF"/>
    <w:rsid w:val="00C50A2D"/>
    <w:rsid w:val="00C614DC"/>
    <w:rsid w:val="00C63EB5"/>
    <w:rsid w:val="00C760EA"/>
    <w:rsid w:val="00C858D0"/>
    <w:rsid w:val="00CA1F40"/>
    <w:rsid w:val="00CB35C9"/>
    <w:rsid w:val="00CC01E0"/>
    <w:rsid w:val="00CD5FEE"/>
    <w:rsid w:val="00CD663E"/>
    <w:rsid w:val="00CE60D2"/>
    <w:rsid w:val="00CF26F9"/>
    <w:rsid w:val="00D0288A"/>
    <w:rsid w:val="00D56781"/>
    <w:rsid w:val="00D72A5D"/>
    <w:rsid w:val="00DA55F7"/>
    <w:rsid w:val="00DC629B"/>
    <w:rsid w:val="00DC7E5A"/>
    <w:rsid w:val="00E05BFF"/>
    <w:rsid w:val="00E21778"/>
    <w:rsid w:val="00E262F1"/>
    <w:rsid w:val="00E318AC"/>
    <w:rsid w:val="00E32BEE"/>
    <w:rsid w:val="00E47679"/>
    <w:rsid w:val="00E47B44"/>
    <w:rsid w:val="00E71D14"/>
    <w:rsid w:val="00E756E3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44D03"/>
    <w:rsid w:val="00F51D09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152A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52A6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2A6B"/>
    <w:rPr>
      <w:b/>
      <w:bCs/>
    </w:rPr>
  </w:style>
  <w:style w:type="character" w:customStyle="1" w:styleId="enumlev1Char">
    <w:name w:val="enumlev1 Char"/>
    <w:basedOn w:val="DefaultParagraphFont"/>
    <w:link w:val="enumlev1"/>
    <w:rsid w:val="00152A6B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F26F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22605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ff8672-924e-4bff-99a1-4fb815692fdc">Documents Proposals Manager (DPM)</DPM_x0020_Author>
    <DPM_x0020_File_x0020_name xmlns="e1ff8672-924e-4bff-99a1-4fb815692fdc">T13-WTSA.16-C-0042!A32!MSW-S</DPM_x0020_File_x0020_name>
    <DPM_x0020_Version xmlns="e1ff8672-924e-4bff-99a1-4fb815692fdc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ff8672-924e-4bff-99a1-4fb815692fdc" targetNamespace="http://schemas.microsoft.com/office/2006/metadata/properties" ma:root="true" ma:fieldsID="d41af5c836d734370eb92e7ee5f83852" ns2:_="" ns3:_="">
    <xsd:import namespace="996b2e75-67fd-4955-a3b0-5ab9934cb50b"/>
    <xsd:import namespace="e1ff8672-924e-4bff-99a1-4fb815692f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f8672-924e-4bff-99a1-4fb815692f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purl.org/dc/elements/1.1/"/>
    <ds:schemaRef ds:uri="e1ff8672-924e-4bff-99a1-4fb815692fdc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ff8672-924e-4bff-99a1-4fb81569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F37F0-A033-4994-A2AE-1A0EF0AD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2074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T13-WTSA.16-C-0042!A32!MSW-S</vt:lpstr>
    </vt:vector>
  </TitlesOfParts>
  <Manager>Secretaría General - Pool</Manager>
  <Company>International Telecommunication Union (ITU)</Company>
  <LinksUpToDate>false</LinksUpToDate>
  <CharactersWithSpaces>13207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T13-WTSA.16-C-0042!A32!MSW-S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FHernández</cp:lastModifiedBy>
  <cp:revision>10</cp:revision>
  <cp:lastPrinted>2016-10-19T14:22:00Z</cp:lastPrinted>
  <dcterms:created xsi:type="dcterms:W3CDTF">2016-10-19T09:03:00Z</dcterms:created>
  <dcterms:modified xsi:type="dcterms:W3CDTF">2016-10-20T08:11:00Z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