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000" w:firstRow="0" w:lastRow="0" w:firstColumn="0" w:lastColumn="0" w:noHBand="0" w:noVBand="0"/>
      </w:tblPr>
      <w:tblGrid>
        <w:gridCol w:w="1382"/>
        <w:gridCol w:w="5422"/>
        <w:gridCol w:w="567"/>
        <w:gridCol w:w="2440"/>
      </w:tblGrid>
      <w:tr w:rsidR="001D581B" w:rsidRPr="003F01CD" w:rsidTr="00530525">
        <w:trPr>
          <w:cantSplit/>
        </w:trPr>
        <w:tc>
          <w:tcPr>
            <w:tcW w:w="1382" w:type="dxa"/>
            <w:vAlign w:val="center"/>
          </w:tcPr>
          <w:p w:rsidR="00CF1E9D" w:rsidRPr="003F01CD" w:rsidRDefault="00CF1E9D" w:rsidP="003F01CD">
            <w:pPr>
              <w:rPr>
                <w:rFonts w:ascii="Verdana" w:hAnsi="Verdana" w:cs="Times New Roman Bold"/>
                <w:b/>
                <w:bCs/>
                <w:sz w:val="22"/>
                <w:szCs w:val="22"/>
              </w:rPr>
            </w:pPr>
            <w:r w:rsidRPr="003F01CD">
              <w:rPr>
                <w:noProof/>
                <w:lang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3" name="Picture 3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9" w:type="dxa"/>
            <w:gridSpan w:val="2"/>
            <w:vAlign w:val="center"/>
          </w:tcPr>
          <w:p w:rsidR="00CF1E9D" w:rsidRPr="003F01CD" w:rsidRDefault="001D581B" w:rsidP="003F01CD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CH"/>
              </w:rPr>
            </w:pPr>
            <w:r w:rsidRPr="003F01CD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 xml:space="preserve">Assemblée mondiale de normalisation </w:t>
            </w:r>
            <w:r w:rsidR="00C26BA2" w:rsidRPr="003F01CD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br/>
            </w:r>
            <w:r w:rsidRPr="003F01CD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 xml:space="preserve">des télécommunications </w:t>
            </w:r>
            <w:r w:rsidR="00CF1E9D" w:rsidRPr="003F01CD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(</w:t>
            </w:r>
            <w:r w:rsidRPr="003F01CD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AMNT</w:t>
            </w:r>
            <w:r w:rsidR="00CF1E9D" w:rsidRPr="003F01CD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-16)</w:t>
            </w:r>
            <w:r w:rsidR="00CF1E9D" w:rsidRPr="003F01CD">
              <w:rPr>
                <w:rFonts w:ascii="Verdana" w:hAnsi="Verdana" w:cs="Times New Roman Bold"/>
                <w:b/>
                <w:bCs/>
                <w:sz w:val="22"/>
                <w:szCs w:val="22"/>
                <w:lang w:val="fr-CH"/>
              </w:rPr>
              <w:br/>
            </w:r>
            <w:r w:rsidR="00CF1E9D" w:rsidRPr="003F01CD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Hammamet, 25 </w:t>
            </w:r>
            <w:r w:rsidRPr="003F01CD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o</w:t>
            </w:r>
            <w:r w:rsidR="00CF1E9D" w:rsidRPr="003F01CD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ct</w:t>
            </w:r>
            <w:r w:rsidR="00C26BA2" w:rsidRPr="003F01CD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obre </w:t>
            </w:r>
            <w:r w:rsidR="00CF1E9D" w:rsidRPr="003F01CD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-</w:t>
            </w:r>
            <w:r w:rsidR="00C26BA2" w:rsidRPr="003F01CD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CF1E9D" w:rsidRPr="003F01CD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3 </w:t>
            </w:r>
            <w:r w:rsidRPr="003F01CD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n</w:t>
            </w:r>
            <w:r w:rsidR="00CF1E9D" w:rsidRPr="003F01CD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ov</w:t>
            </w:r>
            <w:r w:rsidR="00C26BA2" w:rsidRPr="003F01CD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embre</w:t>
            </w:r>
            <w:r w:rsidR="00CF1E9D" w:rsidRPr="003F01CD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 2016</w:t>
            </w:r>
          </w:p>
        </w:tc>
        <w:tc>
          <w:tcPr>
            <w:tcW w:w="2440" w:type="dxa"/>
            <w:vAlign w:val="center"/>
          </w:tcPr>
          <w:p w:rsidR="00CF1E9D" w:rsidRPr="003F01CD" w:rsidRDefault="00CF1E9D" w:rsidP="003F01CD">
            <w:pPr>
              <w:spacing w:before="0"/>
              <w:jc w:val="right"/>
            </w:pPr>
            <w:r w:rsidRPr="003F01CD">
              <w:rPr>
                <w:noProof/>
                <w:lang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81B" w:rsidRPr="003F01CD" w:rsidTr="00530525">
        <w:trPr>
          <w:cantSplit/>
        </w:trPr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:rsidR="00595780" w:rsidRPr="003F01CD" w:rsidRDefault="00595780" w:rsidP="003F01CD">
            <w:pPr>
              <w:spacing w:before="0"/>
            </w:pPr>
          </w:p>
        </w:tc>
        <w:tc>
          <w:tcPr>
            <w:tcW w:w="3007" w:type="dxa"/>
            <w:gridSpan w:val="2"/>
            <w:tcBorders>
              <w:bottom w:val="single" w:sz="12" w:space="0" w:color="auto"/>
            </w:tcBorders>
          </w:tcPr>
          <w:p w:rsidR="00595780" w:rsidRPr="003F01CD" w:rsidRDefault="00595780" w:rsidP="003F01CD">
            <w:pPr>
              <w:spacing w:before="0"/>
            </w:pPr>
          </w:p>
        </w:tc>
      </w:tr>
      <w:tr w:rsidR="001D581B" w:rsidRPr="003F01CD" w:rsidTr="00530525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:rsidR="00595780" w:rsidRPr="003F01CD" w:rsidRDefault="00595780" w:rsidP="003F01CD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Pr="003F01CD" w:rsidRDefault="00595780" w:rsidP="003F01CD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26BA2" w:rsidRPr="003F01CD" w:rsidTr="00530525">
        <w:trPr>
          <w:cantSplit/>
        </w:trPr>
        <w:tc>
          <w:tcPr>
            <w:tcW w:w="6804" w:type="dxa"/>
            <w:gridSpan w:val="2"/>
          </w:tcPr>
          <w:p w:rsidR="00C26BA2" w:rsidRPr="003F01CD" w:rsidRDefault="00C26BA2" w:rsidP="003F01CD">
            <w:pPr>
              <w:spacing w:before="0"/>
            </w:pPr>
            <w:r w:rsidRPr="003F01C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007" w:type="dxa"/>
            <w:gridSpan w:val="2"/>
          </w:tcPr>
          <w:p w:rsidR="00C26BA2" w:rsidRPr="003F01CD" w:rsidRDefault="00C26BA2" w:rsidP="003F01CD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 w:rsidRPr="003F01CD">
              <w:rPr>
                <w:rFonts w:ascii="Verdana" w:hAnsi="Verdana"/>
                <w:b/>
                <w:sz w:val="20"/>
                <w:lang w:val="en-US"/>
              </w:rPr>
              <w:t>Addendum 32 au</w:t>
            </w:r>
            <w:r w:rsidRPr="003F01CD">
              <w:rPr>
                <w:rFonts w:ascii="Verdana" w:hAnsi="Verdana"/>
                <w:b/>
                <w:sz w:val="20"/>
                <w:lang w:val="en-US"/>
              </w:rPr>
              <w:br/>
              <w:t>Document 42-F</w:t>
            </w:r>
          </w:p>
        </w:tc>
      </w:tr>
      <w:tr w:rsidR="001D581B" w:rsidRPr="003F01CD" w:rsidTr="00530525">
        <w:trPr>
          <w:cantSplit/>
        </w:trPr>
        <w:tc>
          <w:tcPr>
            <w:tcW w:w="6804" w:type="dxa"/>
            <w:gridSpan w:val="2"/>
          </w:tcPr>
          <w:p w:rsidR="00595780" w:rsidRPr="003F01CD" w:rsidRDefault="00595780" w:rsidP="003F01CD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Pr="003F01CD" w:rsidRDefault="00C26BA2" w:rsidP="003F01CD">
            <w:pPr>
              <w:spacing w:before="0"/>
            </w:pPr>
            <w:r w:rsidRPr="003F01CD">
              <w:rPr>
                <w:rFonts w:ascii="Verdana" w:hAnsi="Verdana"/>
                <w:b/>
                <w:sz w:val="20"/>
                <w:lang w:val="en-US"/>
              </w:rPr>
              <w:t>10 octobre 2016</w:t>
            </w:r>
          </w:p>
        </w:tc>
      </w:tr>
      <w:tr w:rsidR="001D581B" w:rsidRPr="003F01CD" w:rsidTr="00530525">
        <w:trPr>
          <w:cantSplit/>
        </w:trPr>
        <w:tc>
          <w:tcPr>
            <w:tcW w:w="6804" w:type="dxa"/>
            <w:gridSpan w:val="2"/>
          </w:tcPr>
          <w:p w:rsidR="00595780" w:rsidRPr="003F01CD" w:rsidRDefault="00595780" w:rsidP="003F01CD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Pr="003F01CD" w:rsidRDefault="00C26BA2" w:rsidP="003F01CD">
            <w:pPr>
              <w:spacing w:before="0"/>
            </w:pPr>
            <w:r w:rsidRPr="003F01CD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0032AD" w:rsidRPr="003F01CD" w:rsidTr="00530525">
        <w:trPr>
          <w:cantSplit/>
        </w:trPr>
        <w:tc>
          <w:tcPr>
            <w:tcW w:w="9811" w:type="dxa"/>
            <w:gridSpan w:val="4"/>
          </w:tcPr>
          <w:p w:rsidR="000032AD" w:rsidRPr="003F01CD" w:rsidRDefault="000032AD" w:rsidP="003F01CD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95780" w:rsidRPr="009D7EF7" w:rsidTr="00530525">
        <w:trPr>
          <w:cantSplit/>
        </w:trPr>
        <w:tc>
          <w:tcPr>
            <w:tcW w:w="9811" w:type="dxa"/>
            <w:gridSpan w:val="4"/>
          </w:tcPr>
          <w:p w:rsidR="00595780" w:rsidRPr="003F01CD" w:rsidRDefault="00C26BA2" w:rsidP="003F01CD">
            <w:pPr>
              <w:pStyle w:val="Source"/>
              <w:rPr>
                <w:lang w:val="fr-FR"/>
              </w:rPr>
            </w:pPr>
            <w:r w:rsidRPr="003F01CD">
              <w:rPr>
                <w:lang w:val="fr-FR"/>
              </w:rPr>
              <w:t>Administrations des pays membres de l'Union africaine des télécommunications</w:t>
            </w:r>
          </w:p>
        </w:tc>
      </w:tr>
      <w:tr w:rsidR="00595780" w:rsidRPr="009D7EF7" w:rsidTr="00530525">
        <w:trPr>
          <w:cantSplit/>
        </w:trPr>
        <w:tc>
          <w:tcPr>
            <w:tcW w:w="9811" w:type="dxa"/>
            <w:gridSpan w:val="4"/>
          </w:tcPr>
          <w:p w:rsidR="00595780" w:rsidRPr="00032CF8" w:rsidRDefault="00FE214C" w:rsidP="00F651FA">
            <w:pPr>
              <w:pStyle w:val="Title1"/>
              <w:rPr>
                <w:lang w:val="fr-CH"/>
              </w:rPr>
            </w:pPr>
            <w:r w:rsidRPr="00032CF8">
              <w:rPr>
                <w:lang w:val="fr-CH"/>
              </w:rPr>
              <w:t>position des Etats Membres africains CONCERNANT LA RESTRUCTURATION DE L</w:t>
            </w:r>
            <w:r w:rsidR="003F01CD" w:rsidRPr="00032CF8">
              <w:rPr>
                <w:lang w:val="fr-CH"/>
              </w:rPr>
              <w:t>'</w:t>
            </w:r>
            <w:r w:rsidRPr="00032CF8">
              <w:rPr>
                <w:lang w:val="fr-CH"/>
              </w:rPr>
              <w:t>UIT</w:t>
            </w:r>
            <w:r w:rsidRPr="00032CF8">
              <w:rPr>
                <w:lang w:val="fr-CH"/>
              </w:rPr>
              <w:noBreakHyphen/>
              <w:t>T</w:t>
            </w:r>
          </w:p>
        </w:tc>
      </w:tr>
      <w:tr w:rsidR="00595780" w:rsidRPr="009D7EF7" w:rsidTr="00530525">
        <w:trPr>
          <w:cantSplit/>
        </w:trPr>
        <w:tc>
          <w:tcPr>
            <w:tcW w:w="9811" w:type="dxa"/>
            <w:gridSpan w:val="4"/>
          </w:tcPr>
          <w:p w:rsidR="00595780" w:rsidRPr="003F01CD" w:rsidRDefault="00595780" w:rsidP="00541830">
            <w:pPr>
              <w:pStyle w:val="Title2"/>
              <w:spacing w:before="120"/>
              <w:rPr>
                <w:lang w:val="fr-CH"/>
              </w:rPr>
            </w:pPr>
          </w:p>
        </w:tc>
      </w:tr>
      <w:tr w:rsidR="00C26BA2" w:rsidRPr="009D7EF7" w:rsidTr="00530525">
        <w:trPr>
          <w:cantSplit/>
        </w:trPr>
        <w:tc>
          <w:tcPr>
            <w:tcW w:w="9811" w:type="dxa"/>
            <w:gridSpan w:val="4"/>
          </w:tcPr>
          <w:p w:rsidR="00C26BA2" w:rsidRPr="003F01CD" w:rsidRDefault="00C26BA2" w:rsidP="003F01CD">
            <w:pPr>
              <w:pStyle w:val="Agendaitem"/>
              <w:rPr>
                <w:lang w:val="fr-CH"/>
              </w:rPr>
            </w:pPr>
          </w:p>
        </w:tc>
      </w:tr>
    </w:tbl>
    <w:p w:rsidR="00E11197" w:rsidRPr="003F01CD" w:rsidRDefault="00E11197" w:rsidP="003F01CD">
      <w:pPr>
        <w:rPr>
          <w:lang w:val="fr-CH"/>
        </w:rPr>
      </w:pPr>
    </w:p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912"/>
        <w:gridCol w:w="7899"/>
      </w:tblGrid>
      <w:tr w:rsidR="00E11197" w:rsidRPr="009D7EF7" w:rsidTr="00137FF5">
        <w:trPr>
          <w:cantSplit/>
        </w:trPr>
        <w:tc>
          <w:tcPr>
            <w:tcW w:w="1912" w:type="dxa"/>
          </w:tcPr>
          <w:p w:rsidR="00E11197" w:rsidRPr="003F01CD" w:rsidRDefault="00E11197" w:rsidP="003F01CD">
            <w:r w:rsidRPr="003F01CD">
              <w:rPr>
                <w:b/>
                <w:bCs/>
              </w:rPr>
              <w:t>Résumé:</w:t>
            </w:r>
          </w:p>
        </w:tc>
        <w:sdt>
          <w:sdtPr>
            <w:rPr>
              <w:lang w:val="fr-CH"/>
            </w:rPr>
            <w:alias w:val="Abstract"/>
            <w:tag w:val="Abstract"/>
            <w:id w:val="-939903723"/>
            <w:placeholder>
              <w:docPart w:val="CEF0515E39224C1BB445B352EB3113A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7899" w:type="dxa"/>
              </w:tcPr>
              <w:p w:rsidR="00E11197" w:rsidRPr="003F01CD" w:rsidRDefault="00541419" w:rsidP="00541419">
                <w:pPr>
                  <w:rPr>
                    <w:color w:val="000000" w:themeColor="text1"/>
                    <w:lang w:val="fr-CH"/>
                  </w:rPr>
                </w:pPr>
                <w:r w:rsidRPr="00032CF8">
                  <w:rPr>
                    <w:lang w:val="fr-CH"/>
                  </w:rPr>
                  <w:t>La présente proposition commune africaine traite des principes de haut niveau régissant la structure, ainsi que des propositions relatives à la restructuration des commissions d'études de l'UIT-T. Dans la présente contribution, il est proposé de supprimer la Résolution 82, en vue de mettre fin aux activités du Comité d'examen lors de l'AMNT-16.</w:t>
                </w:r>
              </w:p>
            </w:tc>
          </w:sdtContent>
        </w:sdt>
      </w:tr>
    </w:tbl>
    <w:p w:rsidR="00137FF5" w:rsidRPr="003F01CD" w:rsidRDefault="00137FF5" w:rsidP="003F01CD">
      <w:pPr>
        <w:pStyle w:val="Heading1"/>
        <w:rPr>
          <w:lang w:val="fr-FR"/>
        </w:rPr>
      </w:pPr>
      <w:r w:rsidRPr="003F01CD">
        <w:rPr>
          <w:lang w:val="fr-FR"/>
        </w:rPr>
        <w:t>1</w:t>
      </w:r>
      <w:r w:rsidRPr="003F01CD">
        <w:rPr>
          <w:lang w:val="fr-FR"/>
        </w:rPr>
        <w:tab/>
        <w:t xml:space="preserve">Introduction </w:t>
      </w:r>
    </w:p>
    <w:p w:rsidR="00FE214C" w:rsidRPr="00541419" w:rsidRDefault="00FE214C" w:rsidP="003F01CD">
      <w:pPr>
        <w:rPr>
          <w:lang w:val="fr-CH"/>
        </w:rPr>
      </w:pPr>
      <w:r w:rsidRPr="003F01CD">
        <w:rPr>
          <w:lang w:val="fr-CH"/>
        </w:rPr>
        <w:t>L</w:t>
      </w:r>
      <w:r w:rsidR="003F01CD">
        <w:rPr>
          <w:lang w:val="fr-CH"/>
        </w:rPr>
        <w:t>'</w:t>
      </w:r>
      <w:r w:rsidR="00541419" w:rsidRPr="003F01CD">
        <w:rPr>
          <w:lang w:val="fr-CH"/>
        </w:rPr>
        <w:t>A</w:t>
      </w:r>
      <w:r w:rsidRPr="003F01CD">
        <w:rPr>
          <w:lang w:val="fr-CH"/>
        </w:rPr>
        <w:t>ssemblée mondiale de normalisation des télécommunications (AMNT), qui se tient tous les quatre ans, définit la structure, le fonctionnement et les activités de l</w:t>
      </w:r>
      <w:r w:rsidR="003F01CD">
        <w:rPr>
          <w:lang w:val="fr-CH"/>
        </w:rPr>
        <w:t>'</w:t>
      </w:r>
      <w:r w:rsidR="00541830">
        <w:rPr>
          <w:lang w:val="fr-CH"/>
        </w:rPr>
        <w:t>UIT-T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pour la période d'études à venir. La dernière AMNT a eu lieu du 20 au 29 novembre 2012 à Dubaï et la prochaine AMNT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 xml:space="preserve">doit se tenir du 25 octobre </w:t>
      </w:r>
      <w:r w:rsidR="00541419">
        <w:rPr>
          <w:lang w:val="fr-CH"/>
        </w:rPr>
        <w:t xml:space="preserve">au </w:t>
      </w:r>
      <w:r w:rsidRPr="003F01CD">
        <w:rPr>
          <w:lang w:val="fr-CH"/>
        </w:rPr>
        <w:t>3 novembre 2016.</w:t>
      </w:r>
      <w:r w:rsidR="003F01CD">
        <w:rPr>
          <w:lang w:val="fr-CH"/>
        </w:rPr>
        <w:t xml:space="preserve"> </w:t>
      </w:r>
    </w:p>
    <w:p w:rsidR="00FE214C" w:rsidRPr="003F01CD" w:rsidRDefault="00541419" w:rsidP="005E5EE6">
      <w:pPr>
        <w:rPr>
          <w:lang w:val="fr-CH"/>
        </w:rPr>
      </w:pPr>
      <w:r>
        <w:rPr>
          <w:lang w:val="fr-CH"/>
        </w:rPr>
        <w:t>En vue de la</w:t>
      </w:r>
      <w:r w:rsidR="00FE214C" w:rsidRPr="003F01CD">
        <w:rPr>
          <w:lang w:val="fr-CH"/>
        </w:rPr>
        <w:t xml:space="preserve"> formul</w:t>
      </w:r>
      <w:r>
        <w:rPr>
          <w:lang w:val="fr-CH"/>
        </w:rPr>
        <w:t>ation</w:t>
      </w:r>
      <w:r w:rsidR="00FE214C" w:rsidRPr="003F01CD">
        <w:rPr>
          <w:lang w:val="fr-CH"/>
        </w:rPr>
        <w:t xml:space="preserve"> de propositions africaines communes sur les questions qui seront examinées lors de </w:t>
      </w:r>
      <w:r>
        <w:rPr>
          <w:lang w:val="fr-CH"/>
        </w:rPr>
        <w:t>l'</w:t>
      </w:r>
      <w:r w:rsidR="00FE214C" w:rsidRPr="003F01CD">
        <w:rPr>
          <w:lang w:val="fr-CH"/>
        </w:rPr>
        <w:t>AMNT</w:t>
      </w:r>
      <w:r>
        <w:rPr>
          <w:lang w:val="fr-CH"/>
        </w:rPr>
        <w:t>-16</w:t>
      </w:r>
      <w:r w:rsidR="00FE214C" w:rsidRPr="003F01CD">
        <w:rPr>
          <w:lang w:val="fr-CH"/>
        </w:rPr>
        <w:t>, l</w:t>
      </w:r>
      <w:r w:rsidR="003F01CD">
        <w:rPr>
          <w:lang w:val="fr-CH"/>
        </w:rPr>
        <w:t>'</w:t>
      </w:r>
      <w:r w:rsidRPr="003F01CD">
        <w:rPr>
          <w:lang w:val="fr-CH"/>
        </w:rPr>
        <w:t>U</w:t>
      </w:r>
      <w:r w:rsidR="00FE214C" w:rsidRPr="003F01CD">
        <w:rPr>
          <w:lang w:val="fr-CH"/>
        </w:rPr>
        <w:t>nion africaine des télécommunications a const</w:t>
      </w:r>
      <w:r>
        <w:rPr>
          <w:lang w:val="fr-CH"/>
        </w:rPr>
        <w:t>itué quatre groupes de travail</w:t>
      </w:r>
      <w:r w:rsidR="00FE214C" w:rsidRPr="003F01CD">
        <w:rPr>
          <w:lang w:val="fr-CH"/>
        </w:rPr>
        <w:t xml:space="preserve"> </w:t>
      </w:r>
      <w:r>
        <w:rPr>
          <w:lang w:val="fr-CH"/>
        </w:rPr>
        <w:t>(</w:t>
      </w:r>
      <w:r w:rsidRPr="003F01CD">
        <w:rPr>
          <w:lang w:val="fr-CH"/>
        </w:rPr>
        <w:t>G</w:t>
      </w:r>
      <w:r w:rsidR="00FE214C" w:rsidRPr="003F01CD">
        <w:rPr>
          <w:lang w:val="fr-CH"/>
        </w:rPr>
        <w:t xml:space="preserve">roupes </w:t>
      </w:r>
      <w:r>
        <w:rPr>
          <w:lang w:val="fr-CH"/>
        </w:rPr>
        <w:t xml:space="preserve">de travail </w:t>
      </w:r>
      <w:r w:rsidR="00FE214C" w:rsidRPr="003F01CD">
        <w:rPr>
          <w:lang w:val="fr-CH"/>
        </w:rPr>
        <w:t>1, 2, 3 et 4</w:t>
      </w:r>
      <w:r>
        <w:rPr>
          <w:lang w:val="fr-CH"/>
        </w:rPr>
        <w:t>)</w:t>
      </w:r>
      <w:r w:rsidR="00FE214C" w:rsidRPr="003F01CD">
        <w:rPr>
          <w:lang w:val="fr-CH"/>
        </w:rPr>
        <w:t xml:space="preserve">, </w:t>
      </w:r>
      <w:r>
        <w:rPr>
          <w:lang w:val="fr-CH"/>
        </w:rPr>
        <w:t>et les</w:t>
      </w:r>
      <w:r w:rsidR="00FE214C" w:rsidRPr="003F01CD">
        <w:rPr>
          <w:lang w:val="fr-CH"/>
        </w:rPr>
        <w:t xml:space="preserve"> a chargé</w:t>
      </w:r>
      <w:r>
        <w:rPr>
          <w:lang w:val="fr-CH"/>
        </w:rPr>
        <w:t>s</w:t>
      </w:r>
      <w:r w:rsidR="00FE214C" w:rsidRPr="003F01CD">
        <w:rPr>
          <w:lang w:val="fr-CH"/>
        </w:rPr>
        <w:t xml:space="preserve"> de réfléchir à la restructuration de l</w:t>
      </w:r>
      <w:r w:rsidR="003F01CD">
        <w:rPr>
          <w:lang w:val="fr-CH"/>
        </w:rPr>
        <w:t>'</w:t>
      </w:r>
      <w:r w:rsidR="00541830">
        <w:rPr>
          <w:lang w:val="fr-CH"/>
        </w:rPr>
        <w:t>UIT</w:t>
      </w:r>
      <w:r w:rsidR="005E5EE6">
        <w:rPr>
          <w:lang w:val="fr-CH"/>
        </w:rPr>
        <w:noBreakHyphen/>
      </w:r>
      <w:r w:rsidR="00541830">
        <w:rPr>
          <w:lang w:val="fr-CH"/>
        </w:rPr>
        <w:t>T</w:t>
      </w:r>
      <w:r w:rsidR="00FE214C" w:rsidRPr="003F01CD">
        <w:rPr>
          <w:lang w:val="fr-CH"/>
        </w:rPr>
        <w:t>, aux méthodes de travail de ce Secteur, aux questions</w:t>
      </w:r>
      <w:r w:rsidR="003F01CD">
        <w:rPr>
          <w:lang w:val="fr-CH"/>
        </w:rPr>
        <w:t xml:space="preserve"> </w:t>
      </w:r>
      <w:r w:rsidR="005E5EE6">
        <w:rPr>
          <w:lang w:val="fr-CH"/>
        </w:rPr>
        <w:t>de normalisation</w:t>
      </w:r>
      <w:r w:rsidR="00FE214C" w:rsidRPr="003F01CD">
        <w:rPr>
          <w:lang w:val="fr-CH"/>
        </w:rPr>
        <w:t>, aux enjeux</w:t>
      </w:r>
      <w:r w:rsidR="003F01CD">
        <w:rPr>
          <w:lang w:val="fr-CH"/>
        </w:rPr>
        <w:t xml:space="preserve"> </w:t>
      </w:r>
      <w:r w:rsidR="00FE214C" w:rsidRPr="003F01CD">
        <w:rPr>
          <w:lang w:val="fr-CH"/>
        </w:rPr>
        <w:t>liés à la réduction de l</w:t>
      </w:r>
      <w:r w:rsidR="003F01CD">
        <w:rPr>
          <w:lang w:val="fr-CH"/>
        </w:rPr>
        <w:t>'</w:t>
      </w:r>
      <w:r w:rsidR="00FE214C" w:rsidRPr="003F01CD">
        <w:rPr>
          <w:lang w:val="fr-CH"/>
        </w:rPr>
        <w:t>écart en matière de normalisation et à d</w:t>
      </w:r>
      <w:r w:rsidR="003F01CD">
        <w:rPr>
          <w:lang w:val="fr-CH"/>
        </w:rPr>
        <w:t>'</w:t>
      </w:r>
      <w:r w:rsidR="00FE214C" w:rsidRPr="003F01CD">
        <w:rPr>
          <w:lang w:val="fr-CH"/>
        </w:rPr>
        <w:t>autres questions connexes.</w:t>
      </w:r>
      <w:r w:rsidR="003F01CD">
        <w:rPr>
          <w:lang w:val="fr-CH"/>
        </w:rPr>
        <w:t xml:space="preserve"> </w:t>
      </w:r>
    </w:p>
    <w:p w:rsidR="00FE214C" w:rsidRPr="003F01CD" w:rsidRDefault="00FE214C" w:rsidP="00541419">
      <w:pPr>
        <w:rPr>
          <w:lang w:val="fr-CH"/>
        </w:rPr>
      </w:pPr>
      <w:r w:rsidRPr="003F01CD">
        <w:rPr>
          <w:lang w:val="fr-CH"/>
        </w:rPr>
        <w:t>On trouvera dans le présent document les conclusions du Groupe de travail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 xml:space="preserve">1, qui </w:t>
      </w:r>
      <w:r w:rsidR="00541419">
        <w:rPr>
          <w:lang w:val="fr-CH"/>
        </w:rPr>
        <w:t>traduisent</w:t>
      </w:r>
      <w:r w:rsidRPr="003F01CD">
        <w:rPr>
          <w:lang w:val="fr-CH"/>
        </w:rPr>
        <w:t xml:space="preserve"> la position de l</w:t>
      </w:r>
      <w:r w:rsidR="003F01CD">
        <w:rPr>
          <w:lang w:val="fr-CH"/>
        </w:rPr>
        <w:t>'</w:t>
      </w:r>
      <w:r w:rsidRPr="003F01CD">
        <w:rPr>
          <w:lang w:val="fr-CH"/>
        </w:rPr>
        <w:t>Afrique sur la question de la restructuration de l</w:t>
      </w:r>
      <w:r w:rsidR="003F01CD">
        <w:rPr>
          <w:lang w:val="fr-CH"/>
        </w:rPr>
        <w:t>'</w:t>
      </w:r>
      <w:r w:rsidR="00541830">
        <w:rPr>
          <w:lang w:val="fr-CH"/>
        </w:rPr>
        <w:t>UIT-T</w:t>
      </w:r>
      <w:r w:rsidRPr="003F01CD">
        <w:rPr>
          <w:lang w:val="fr-CH"/>
        </w:rPr>
        <w:t>.</w:t>
      </w:r>
      <w:r w:rsidR="003F01CD">
        <w:rPr>
          <w:lang w:val="fr-CH"/>
        </w:rPr>
        <w:t xml:space="preserve"> </w:t>
      </w:r>
    </w:p>
    <w:p w:rsidR="00137FF5" w:rsidRPr="003F01CD" w:rsidRDefault="00137FF5" w:rsidP="003F01CD">
      <w:pPr>
        <w:pStyle w:val="Heading1"/>
        <w:rPr>
          <w:lang w:val="fr-FR"/>
        </w:rPr>
      </w:pPr>
      <w:r w:rsidRPr="003F01CD">
        <w:rPr>
          <w:lang w:val="fr-FR"/>
        </w:rPr>
        <w:t>2</w:t>
      </w:r>
      <w:r w:rsidRPr="003F01CD">
        <w:rPr>
          <w:lang w:val="fr-FR"/>
        </w:rPr>
        <w:tab/>
      </w:r>
      <w:r w:rsidR="00FE214C" w:rsidRPr="003F01CD">
        <w:rPr>
          <w:lang w:val="fr-FR"/>
        </w:rPr>
        <w:t>Propositions initiales concernant la restructuration de l</w:t>
      </w:r>
      <w:r w:rsidR="003F01CD">
        <w:rPr>
          <w:lang w:val="fr-FR"/>
        </w:rPr>
        <w:t>'</w:t>
      </w:r>
      <w:r w:rsidR="00FE214C" w:rsidRPr="003F01CD">
        <w:rPr>
          <w:lang w:val="fr-FR"/>
        </w:rPr>
        <w:t>UIT-T</w:t>
      </w:r>
    </w:p>
    <w:p w:rsidR="00FE214C" w:rsidRPr="003F01CD" w:rsidRDefault="00FE214C" w:rsidP="00205166">
      <w:pPr>
        <w:rPr>
          <w:lang w:val="fr-CH"/>
        </w:rPr>
      </w:pPr>
      <w:r w:rsidRPr="003F01CD">
        <w:rPr>
          <w:lang w:val="fr-CH"/>
        </w:rPr>
        <w:t>Sur la base de</w:t>
      </w:r>
      <w:r w:rsidR="00205166">
        <w:rPr>
          <w:lang w:val="fr-CH"/>
        </w:rPr>
        <w:t xml:space="preserve"> propositions formulées par les E</w:t>
      </w:r>
      <w:r w:rsidRPr="003F01CD">
        <w:rPr>
          <w:lang w:val="fr-CH"/>
        </w:rPr>
        <w:t>tats-Unis d</w:t>
      </w:r>
      <w:r w:rsidR="003F01CD">
        <w:rPr>
          <w:lang w:val="fr-CH"/>
        </w:rPr>
        <w:t>'</w:t>
      </w:r>
      <w:r w:rsidRPr="003F01CD">
        <w:rPr>
          <w:lang w:val="fr-CH"/>
        </w:rPr>
        <w:t>Amérique et le Canada, le GCNT, à sa réunion de février 2016, a approuvé les principes à prendre en considération pour la restructuration des commissions d</w:t>
      </w:r>
      <w:r w:rsidR="003F01CD">
        <w:rPr>
          <w:lang w:val="fr-CH"/>
        </w:rPr>
        <w:t>'</w:t>
      </w:r>
      <w:r w:rsidRPr="003F01CD">
        <w:rPr>
          <w:lang w:val="fr-CH"/>
        </w:rPr>
        <w:t>études de l</w:t>
      </w:r>
      <w:r w:rsidR="003F01CD">
        <w:rPr>
          <w:lang w:val="fr-CH"/>
        </w:rPr>
        <w:t>'</w:t>
      </w:r>
      <w:r w:rsidR="00541830">
        <w:rPr>
          <w:lang w:val="fr-CH"/>
        </w:rPr>
        <w:t>UIT-T</w:t>
      </w:r>
      <w:r w:rsidRPr="003F01CD">
        <w:rPr>
          <w:lang w:val="fr-CH"/>
        </w:rPr>
        <w:t>.</w:t>
      </w:r>
    </w:p>
    <w:p w:rsidR="00137FF5" w:rsidRPr="003F01CD" w:rsidRDefault="00FE214C" w:rsidP="003F01CD">
      <w:pPr>
        <w:rPr>
          <w:lang w:val="fr-CH"/>
        </w:rPr>
      </w:pPr>
      <w:r w:rsidRPr="003F01CD">
        <w:rPr>
          <w:lang w:val="fr-CH"/>
        </w:rPr>
        <w:lastRenderedPageBreak/>
        <w:t>En outre, le Directeur du TSB a formulé dans l</w:t>
      </w:r>
      <w:r w:rsidR="003F01CD">
        <w:rPr>
          <w:lang w:val="fr-CH"/>
        </w:rPr>
        <w:t>'</w:t>
      </w:r>
      <w:r w:rsidRPr="003F01CD">
        <w:rPr>
          <w:lang w:val="fr-CH"/>
        </w:rPr>
        <w:t>intervalle des propositions concernant la structure des commissions d</w:t>
      </w:r>
      <w:r w:rsidR="003F01CD">
        <w:rPr>
          <w:lang w:val="fr-CH"/>
        </w:rPr>
        <w:t>'</w:t>
      </w:r>
      <w:r w:rsidRPr="003F01CD">
        <w:rPr>
          <w:lang w:val="fr-CH"/>
        </w:rPr>
        <w:t>études de l</w:t>
      </w:r>
      <w:r w:rsidR="003F01CD">
        <w:rPr>
          <w:lang w:val="fr-CH"/>
        </w:rPr>
        <w:t>'</w:t>
      </w:r>
      <w:r w:rsidR="00541830">
        <w:rPr>
          <w:lang w:val="fr-CH"/>
        </w:rPr>
        <w:t>UIT-T</w:t>
      </w:r>
      <w:r w:rsidRPr="003F01CD">
        <w:rPr>
          <w:lang w:val="fr-CH"/>
        </w:rPr>
        <w:t>.</w:t>
      </w:r>
    </w:p>
    <w:p w:rsidR="00137FF5" w:rsidRPr="003F01CD" w:rsidRDefault="00137FF5" w:rsidP="003F01CD">
      <w:pPr>
        <w:pStyle w:val="Heading2"/>
        <w:rPr>
          <w:lang w:val="fr-CH"/>
        </w:rPr>
      </w:pPr>
      <w:r w:rsidRPr="003F01CD">
        <w:rPr>
          <w:lang w:val="fr-CH"/>
        </w:rPr>
        <w:t xml:space="preserve">2.1 </w:t>
      </w:r>
      <w:r w:rsidRPr="003F01CD">
        <w:rPr>
          <w:lang w:val="fr-CH"/>
        </w:rPr>
        <w:tab/>
      </w:r>
      <w:r w:rsidR="00FE214C" w:rsidRPr="003F01CD">
        <w:rPr>
          <w:lang w:val="fr-CH"/>
        </w:rPr>
        <w:t>Principes régissant la restructuration</w:t>
      </w:r>
      <w:r w:rsidR="003F01CD">
        <w:rPr>
          <w:lang w:val="fr-CH"/>
        </w:rPr>
        <w:t xml:space="preserve"> </w:t>
      </w:r>
      <w:r w:rsidR="00FE214C" w:rsidRPr="003F01CD">
        <w:rPr>
          <w:lang w:val="fr-CH"/>
        </w:rPr>
        <w:t>(GCNT)</w:t>
      </w:r>
    </w:p>
    <w:p w:rsidR="00FE214C" w:rsidRPr="003F01CD" w:rsidRDefault="00FE214C" w:rsidP="00205166">
      <w:pPr>
        <w:rPr>
          <w:lang w:val="fr-CH"/>
        </w:rPr>
      </w:pPr>
      <w:r w:rsidRPr="003F01CD">
        <w:rPr>
          <w:lang w:val="fr-CH"/>
        </w:rPr>
        <w:t>Le GCNT a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approuvé sept principes de haut niveau applicables à la str</w:t>
      </w:r>
      <w:r w:rsidR="00205166">
        <w:rPr>
          <w:lang w:val="fr-CH"/>
        </w:rPr>
        <w:t>ucture des commissions d'études</w:t>
      </w:r>
      <w:r w:rsidRPr="003F01CD">
        <w:rPr>
          <w:lang w:val="fr-CH"/>
        </w:rPr>
        <w:t>, que le GCNT devrait adopter officiellement afin d</w:t>
      </w:r>
      <w:r w:rsidR="003F01CD">
        <w:rPr>
          <w:lang w:val="fr-CH"/>
        </w:rPr>
        <w:t>'</w:t>
      </w:r>
      <w:r w:rsidRPr="003F01CD">
        <w:rPr>
          <w:lang w:val="fr-CH"/>
        </w:rPr>
        <w:t>orienter les débats en vue de la restructuration des commissions d</w:t>
      </w:r>
      <w:r w:rsidR="003F01CD">
        <w:rPr>
          <w:lang w:val="fr-CH"/>
        </w:rPr>
        <w:t>'</w:t>
      </w:r>
      <w:r w:rsidRPr="003F01CD">
        <w:rPr>
          <w:lang w:val="fr-CH"/>
        </w:rPr>
        <w:t>études. Cependant, ces principes n</w:t>
      </w:r>
      <w:r w:rsidR="003F01CD">
        <w:rPr>
          <w:lang w:val="fr-CH"/>
        </w:rPr>
        <w:t>'</w:t>
      </w:r>
      <w:r w:rsidRPr="003F01CD">
        <w:rPr>
          <w:lang w:val="fr-CH"/>
        </w:rPr>
        <w:t>ont pas été explicités et présentés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 xml:space="preserve">de manière </w:t>
      </w:r>
      <w:r w:rsidR="00205166">
        <w:rPr>
          <w:lang w:val="fr-CH"/>
        </w:rPr>
        <w:t xml:space="preserve">suffisamment </w:t>
      </w:r>
      <w:r w:rsidRPr="003F01CD">
        <w:rPr>
          <w:lang w:val="fr-CH"/>
        </w:rPr>
        <w:t>détaillée</w:t>
      </w:r>
      <w:r w:rsidR="007319CC">
        <w:rPr>
          <w:lang w:val="fr-CH"/>
        </w:rPr>
        <w:t>.</w:t>
      </w:r>
    </w:p>
    <w:p w:rsidR="00FE214C" w:rsidRPr="003F01CD" w:rsidRDefault="00205166" w:rsidP="00205166">
      <w:pPr>
        <w:rPr>
          <w:lang w:val="fr-CH"/>
        </w:rPr>
      </w:pPr>
      <w:r>
        <w:rPr>
          <w:lang w:val="fr-CH"/>
        </w:rPr>
        <w:t>Dans les</w:t>
      </w:r>
      <w:r w:rsidR="00FE214C" w:rsidRPr="003F01CD">
        <w:rPr>
          <w:lang w:val="fr-CH"/>
        </w:rPr>
        <w:t xml:space="preserve"> contributions soumises à</w:t>
      </w:r>
      <w:r w:rsidR="003F01CD">
        <w:rPr>
          <w:lang w:val="fr-CH"/>
        </w:rPr>
        <w:t xml:space="preserve"> </w:t>
      </w:r>
      <w:r w:rsidR="00FE214C" w:rsidRPr="003F01CD">
        <w:rPr>
          <w:lang w:val="fr-CH"/>
        </w:rPr>
        <w:t>l</w:t>
      </w:r>
      <w:r w:rsidR="003F01CD">
        <w:rPr>
          <w:lang w:val="fr-CH"/>
        </w:rPr>
        <w:t>'</w:t>
      </w:r>
      <w:r w:rsidR="00FE214C" w:rsidRPr="003F01CD">
        <w:rPr>
          <w:lang w:val="fr-CH"/>
        </w:rPr>
        <w:t>AMNT-16</w:t>
      </w:r>
      <w:r>
        <w:rPr>
          <w:lang w:val="fr-CH"/>
        </w:rPr>
        <w:t>, les auteurs</w:t>
      </w:r>
      <w:r w:rsidR="00FE214C" w:rsidRPr="003F01CD">
        <w:rPr>
          <w:lang w:val="fr-CH"/>
        </w:rPr>
        <w:t xml:space="preserve"> analysent </w:t>
      </w:r>
      <w:r>
        <w:rPr>
          <w:lang w:val="fr-CH"/>
        </w:rPr>
        <w:t>davantage</w:t>
      </w:r>
      <w:r w:rsidR="00FE214C" w:rsidRPr="003F01CD">
        <w:rPr>
          <w:lang w:val="fr-CH"/>
        </w:rPr>
        <w:t xml:space="preserve"> les principes régissant la structure de l</w:t>
      </w:r>
      <w:r w:rsidR="003F01CD">
        <w:rPr>
          <w:lang w:val="fr-CH"/>
        </w:rPr>
        <w:t>'</w:t>
      </w:r>
      <w:r w:rsidR="00541830">
        <w:rPr>
          <w:lang w:val="fr-CH"/>
        </w:rPr>
        <w:t>UIT-T</w:t>
      </w:r>
      <w:r>
        <w:rPr>
          <w:lang w:val="fr-CH"/>
        </w:rPr>
        <w:t>; à cet égard et les E</w:t>
      </w:r>
      <w:r w:rsidR="00FE214C" w:rsidRPr="003F01CD">
        <w:rPr>
          <w:lang w:val="fr-CH"/>
        </w:rPr>
        <w:t xml:space="preserve">tats </w:t>
      </w:r>
      <w:r w:rsidRPr="003F01CD">
        <w:rPr>
          <w:lang w:val="fr-CH"/>
        </w:rPr>
        <w:t>M</w:t>
      </w:r>
      <w:r w:rsidR="00FE214C" w:rsidRPr="003F01CD">
        <w:rPr>
          <w:lang w:val="fr-CH"/>
        </w:rPr>
        <w:t xml:space="preserve">embres africains sont préoccupés par les </w:t>
      </w:r>
      <w:r>
        <w:rPr>
          <w:lang w:val="fr-CH"/>
        </w:rPr>
        <w:t>aspects</w:t>
      </w:r>
      <w:r w:rsidR="00FE214C" w:rsidRPr="003F01CD">
        <w:rPr>
          <w:lang w:val="fr-CH"/>
        </w:rPr>
        <w:t xml:space="preserve"> </w:t>
      </w:r>
      <w:r>
        <w:rPr>
          <w:lang w:val="fr-CH"/>
        </w:rPr>
        <w:t>détaillés de</w:t>
      </w:r>
      <w:r w:rsidR="00FE214C" w:rsidRPr="003F01CD">
        <w:rPr>
          <w:lang w:val="fr-CH"/>
        </w:rPr>
        <w:t xml:space="preserve"> certains de ces</w:t>
      </w:r>
      <w:r w:rsidR="003F01CD">
        <w:rPr>
          <w:lang w:val="fr-CH"/>
        </w:rPr>
        <w:t xml:space="preserve"> </w:t>
      </w:r>
      <w:r w:rsidR="00FE214C" w:rsidRPr="003F01CD">
        <w:rPr>
          <w:lang w:val="fr-CH"/>
        </w:rPr>
        <w:t>principes, qu</w:t>
      </w:r>
      <w:r w:rsidR="003F01CD">
        <w:rPr>
          <w:lang w:val="fr-CH"/>
        </w:rPr>
        <w:t>'</w:t>
      </w:r>
      <w:r w:rsidR="00FE214C" w:rsidRPr="003F01CD">
        <w:rPr>
          <w:lang w:val="fr-CH"/>
        </w:rPr>
        <w:t>il faudra</w:t>
      </w:r>
      <w:r w:rsidR="003F01CD">
        <w:rPr>
          <w:lang w:val="fr-CH"/>
        </w:rPr>
        <w:t xml:space="preserve"> </w:t>
      </w:r>
      <w:r w:rsidR="00FE214C" w:rsidRPr="003F01CD">
        <w:rPr>
          <w:lang w:val="fr-CH"/>
        </w:rPr>
        <w:t>peut-être réexaminer.</w:t>
      </w:r>
      <w:r w:rsidR="003F01CD">
        <w:rPr>
          <w:lang w:val="fr-CH"/>
        </w:rPr>
        <w:t xml:space="preserve"> </w:t>
      </w:r>
    </w:p>
    <w:p w:rsidR="00FE214C" w:rsidRPr="003F01CD" w:rsidRDefault="00FE214C" w:rsidP="00205166">
      <w:pPr>
        <w:spacing w:after="240"/>
        <w:rPr>
          <w:lang w:val="fr-CH"/>
        </w:rPr>
      </w:pPr>
      <w:r w:rsidRPr="003F01CD">
        <w:rPr>
          <w:lang w:val="fr-CH"/>
        </w:rPr>
        <w:t>En premier lieu, il convient de rappeler que les sept principes approuvés par le GCNT sont les suivants</w:t>
      </w:r>
      <w:r w:rsidR="003F01CD">
        <w:rPr>
          <w:lang w:val="fr-CH"/>
        </w:rPr>
        <w:t>:</w:t>
      </w:r>
      <w:r w:rsidRPr="003F01CD">
        <w:rPr>
          <w:lang w:val="fr-CH"/>
        </w:rPr>
        <w:t xml:space="preserve"> 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22"/>
      </w:tblGrid>
      <w:tr w:rsidR="00EA2B1A" w:rsidRPr="009D7EF7" w:rsidTr="00EA2B1A">
        <w:trPr>
          <w:tblHeader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A2B1A" w:rsidRPr="003F01CD" w:rsidRDefault="007319CC" w:rsidP="00A76689">
            <w:pPr>
              <w:pStyle w:val="Tablehead"/>
              <w:keepNext w:val="0"/>
              <w:spacing w:before="120" w:after="120"/>
              <w:rPr>
                <w:sz w:val="22"/>
                <w:lang w:val="fr-FR" w:eastAsia="zh-CN"/>
              </w:rPr>
            </w:pPr>
            <w:r w:rsidRPr="003F01CD">
              <w:rPr>
                <w:lang w:val="fr-FR" w:eastAsia="ja-JP"/>
              </w:rPr>
              <w:t>P</w:t>
            </w:r>
            <w:r w:rsidR="00EA2B1A" w:rsidRPr="003F01CD">
              <w:rPr>
                <w:lang w:val="fr-FR" w:eastAsia="ja-JP"/>
              </w:rPr>
              <w:t>rincipes de haut niveau régissant la restructuration des commissions d'études</w:t>
            </w:r>
          </w:p>
        </w:tc>
      </w:tr>
      <w:tr w:rsidR="00EA2B1A" w:rsidRPr="003F01CD" w:rsidTr="00EA2B1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2B1A" w:rsidRPr="003F01CD" w:rsidRDefault="00EA2B1A" w:rsidP="00A76689">
            <w:pPr>
              <w:pStyle w:val="Tabletext"/>
              <w:spacing w:before="120" w:after="120"/>
              <w:rPr>
                <w:lang w:eastAsia="zh-CN"/>
              </w:rPr>
            </w:pPr>
            <w:r w:rsidRPr="003F01CD">
              <w:rPr>
                <w:lang w:eastAsia="zh-CN"/>
              </w:rPr>
              <w:t xml:space="preserve">A: </w:t>
            </w:r>
            <w:r w:rsidRPr="003F01CD">
              <w:rPr>
                <w:lang w:val="fr-FR"/>
              </w:rPr>
              <w:t>Structure optimisée</w:t>
            </w:r>
          </w:p>
        </w:tc>
      </w:tr>
      <w:tr w:rsidR="00EA2B1A" w:rsidRPr="003F01CD" w:rsidTr="00EA2B1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2B1A" w:rsidRPr="003F01CD" w:rsidRDefault="00EA2B1A" w:rsidP="00A76689">
            <w:pPr>
              <w:pStyle w:val="Tabletext"/>
              <w:spacing w:before="120" w:after="120"/>
              <w:rPr>
                <w:lang w:eastAsia="zh-CN"/>
              </w:rPr>
            </w:pPr>
            <w:r w:rsidRPr="003F01CD">
              <w:rPr>
                <w:lang w:eastAsia="zh-CN"/>
              </w:rPr>
              <w:t xml:space="preserve">B: </w:t>
            </w:r>
            <w:r w:rsidRPr="003F01CD">
              <w:rPr>
                <w:lang w:val="fr-FR"/>
              </w:rPr>
              <w:t>Mandats clairs</w:t>
            </w:r>
          </w:p>
        </w:tc>
      </w:tr>
      <w:tr w:rsidR="00EA2B1A" w:rsidRPr="009D7EF7" w:rsidTr="00EA2B1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2B1A" w:rsidRPr="003F01CD" w:rsidRDefault="00EA2B1A" w:rsidP="00A76689">
            <w:pPr>
              <w:pStyle w:val="Tabletext"/>
              <w:spacing w:before="120" w:after="120"/>
              <w:rPr>
                <w:lang w:val="fr-FR" w:eastAsia="zh-CN"/>
              </w:rPr>
            </w:pPr>
            <w:r w:rsidRPr="003F01CD">
              <w:rPr>
                <w:lang w:val="fr-FR" w:eastAsia="zh-CN"/>
              </w:rPr>
              <w:t xml:space="preserve">C: </w:t>
            </w:r>
            <w:r w:rsidRPr="003F01CD">
              <w:rPr>
                <w:lang w:val="fr-FR"/>
              </w:rPr>
              <w:t>Coordination et coopération accrues</w:t>
            </w:r>
          </w:p>
        </w:tc>
      </w:tr>
      <w:tr w:rsidR="00EA2B1A" w:rsidRPr="009D7EF7" w:rsidTr="00EA2B1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2B1A" w:rsidRPr="003F01CD" w:rsidRDefault="00EA2B1A" w:rsidP="003F01CD">
            <w:pPr>
              <w:pStyle w:val="Tabletext"/>
              <w:spacing w:before="120" w:after="120"/>
              <w:rPr>
                <w:lang w:val="fr-FR" w:eastAsia="zh-CN"/>
              </w:rPr>
            </w:pPr>
            <w:r w:rsidRPr="003F01CD">
              <w:rPr>
                <w:lang w:val="fr-FR" w:eastAsia="zh-CN"/>
              </w:rPr>
              <w:t xml:space="preserve">D: </w:t>
            </w:r>
            <w:r w:rsidRPr="003F01CD">
              <w:rPr>
                <w:lang w:val="fr-FR"/>
              </w:rPr>
              <w:t>Rentabilité économique et attractivité</w:t>
            </w:r>
          </w:p>
        </w:tc>
      </w:tr>
      <w:tr w:rsidR="00EA2B1A" w:rsidRPr="009D7EF7" w:rsidTr="00EA2B1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2B1A" w:rsidRPr="003F01CD" w:rsidRDefault="00EA2B1A" w:rsidP="003F01CD">
            <w:pPr>
              <w:pStyle w:val="Tabletext"/>
              <w:spacing w:before="120" w:after="120"/>
              <w:rPr>
                <w:lang w:val="fr-FR" w:eastAsia="zh-CN"/>
              </w:rPr>
            </w:pPr>
            <w:r w:rsidRPr="003F01CD">
              <w:rPr>
                <w:lang w:val="fr-FR" w:eastAsia="zh-CN"/>
              </w:rPr>
              <w:t xml:space="preserve">E: </w:t>
            </w:r>
            <w:r w:rsidRPr="003F01CD">
              <w:rPr>
                <w:lang w:val="fr-FR"/>
              </w:rPr>
              <w:t>Méthodes de travail efficientes et efficaces</w:t>
            </w:r>
          </w:p>
        </w:tc>
      </w:tr>
      <w:tr w:rsidR="00EA2B1A" w:rsidRPr="009D7EF7" w:rsidTr="00EA2B1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2B1A" w:rsidRPr="003F01CD" w:rsidRDefault="00EA2B1A" w:rsidP="003F01CD">
            <w:pPr>
              <w:pStyle w:val="Tabletext"/>
              <w:spacing w:before="120" w:after="120"/>
              <w:rPr>
                <w:lang w:val="fr-FR" w:eastAsia="zh-CN"/>
              </w:rPr>
            </w:pPr>
            <w:r w:rsidRPr="003F01CD">
              <w:rPr>
                <w:lang w:val="fr-FR" w:eastAsia="zh-CN"/>
              </w:rPr>
              <w:t xml:space="preserve">F: </w:t>
            </w:r>
            <w:r w:rsidRPr="003F01CD">
              <w:rPr>
                <w:lang w:val="fr-FR"/>
              </w:rPr>
              <w:t>Identification rapide des besoins en matière de normalisation</w:t>
            </w:r>
          </w:p>
        </w:tc>
      </w:tr>
      <w:tr w:rsidR="00EA2B1A" w:rsidRPr="009D7EF7" w:rsidTr="00EA2B1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2B1A" w:rsidRPr="003F01CD" w:rsidRDefault="00EA2B1A" w:rsidP="003F01CD">
            <w:pPr>
              <w:pStyle w:val="Tabletext"/>
              <w:spacing w:before="120" w:after="120"/>
              <w:rPr>
                <w:lang w:val="fr-FR"/>
              </w:rPr>
            </w:pPr>
            <w:r w:rsidRPr="003F01CD">
              <w:rPr>
                <w:b/>
                <w:bCs/>
                <w:i/>
                <w:iCs/>
                <w:lang w:val="fr-FR" w:eastAsia="zh-CN"/>
              </w:rPr>
              <w:t xml:space="preserve">G: </w:t>
            </w:r>
            <w:r w:rsidRPr="003F01CD">
              <w:rPr>
                <w:rFonts w:eastAsia="Malgun Gothic"/>
                <w:b/>
                <w:bCs/>
                <w:i/>
                <w:iCs/>
                <w:lang w:val="fr-FR" w:eastAsia="zh-CN"/>
              </w:rPr>
              <w:t>Contribution à la réduction de l'écart en matière de normalisation</w:t>
            </w:r>
          </w:p>
        </w:tc>
      </w:tr>
    </w:tbl>
    <w:p w:rsidR="00FE214C" w:rsidRPr="00BF23BA" w:rsidRDefault="00FE214C" w:rsidP="00BF23BA">
      <w:pPr>
        <w:spacing w:before="240"/>
        <w:rPr>
          <w:lang w:val="fr-CH"/>
        </w:rPr>
      </w:pPr>
      <w:r w:rsidRPr="003F01CD">
        <w:rPr>
          <w:lang w:val="fr-CH"/>
        </w:rPr>
        <w:t xml:space="preserve">Il a été noté que le principe </w:t>
      </w:r>
      <w:r w:rsidR="00205166">
        <w:rPr>
          <w:lang w:val="fr-CH"/>
        </w:rPr>
        <w:t>"</w:t>
      </w:r>
      <w:r w:rsidRPr="003F01CD">
        <w:rPr>
          <w:lang w:val="fr-CH"/>
        </w:rPr>
        <w:t>G</w:t>
      </w:r>
      <w:r w:rsidR="00205166">
        <w:rPr>
          <w:lang w:val="fr-CH"/>
        </w:rPr>
        <w:t>"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traite directement de la question de la réduction de l</w:t>
      </w:r>
      <w:r w:rsidR="003F01CD">
        <w:rPr>
          <w:lang w:val="fr-CH"/>
        </w:rPr>
        <w:t>'</w:t>
      </w:r>
      <w:r w:rsidRPr="003F01CD">
        <w:rPr>
          <w:lang w:val="fr-CH"/>
        </w:rPr>
        <w:t>écart en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matière de normalisation</w:t>
      </w:r>
      <w:r w:rsidR="00BF23BA">
        <w:rPr>
          <w:lang w:val="fr-CH"/>
        </w:rPr>
        <w:t>; ce principe</w:t>
      </w:r>
      <w:r w:rsidRPr="003F01CD">
        <w:rPr>
          <w:lang w:val="fr-CH"/>
        </w:rPr>
        <w:t xml:space="preserve"> a été décrit de la façon suivante par le </w:t>
      </w:r>
      <w:r w:rsidR="00BF23BA" w:rsidRPr="003F01CD">
        <w:rPr>
          <w:lang w:val="fr-CH"/>
        </w:rPr>
        <w:t>C</w:t>
      </w:r>
      <w:r w:rsidRPr="003F01CD">
        <w:rPr>
          <w:lang w:val="fr-CH"/>
        </w:rPr>
        <w:t>omité d</w:t>
      </w:r>
      <w:r w:rsidR="003F01CD">
        <w:rPr>
          <w:lang w:val="fr-CH"/>
        </w:rPr>
        <w:t>'</w:t>
      </w:r>
      <w:r w:rsidRPr="003F01CD">
        <w:rPr>
          <w:lang w:val="fr-CH"/>
        </w:rPr>
        <w:t>examen</w:t>
      </w:r>
      <w:r w:rsidR="003F01CD">
        <w:rPr>
          <w:lang w:val="fr-CH"/>
        </w:rPr>
        <w:t xml:space="preserve">: </w:t>
      </w:r>
      <w:r w:rsidR="00BF23BA" w:rsidRPr="00BF23BA">
        <w:rPr>
          <w:i/>
          <w:iCs/>
          <w:lang w:val="fr-CH"/>
        </w:rPr>
        <w:t>"</w:t>
      </w:r>
      <w:r w:rsidRPr="00BF23BA">
        <w:rPr>
          <w:i/>
          <w:iCs/>
          <w:color w:val="000000"/>
          <w:lang w:val="fr-CH"/>
        </w:rPr>
        <w:t xml:space="preserve">La nouvelle structure devrait aider les pays en développement à réduire l'écart en matière de normalisation, </w:t>
      </w:r>
      <w:r w:rsidRPr="00BF23BA">
        <w:rPr>
          <w:i/>
          <w:iCs/>
          <w:color w:val="000000"/>
          <w:u w:val="single"/>
          <w:lang w:val="fr-CH"/>
        </w:rPr>
        <w:t>notamment par la définition de mesures visant à renforcer la participation aux travaux</w:t>
      </w:r>
      <w:r w:rsidRPr="00BF23BA">
        <w:rPr>
          <w:i/>
          <w:iCs/>
          <w:color w:val="000000"/>
          <w:lang w:val="fr-CH"/>
        </w:rPr>
        <w:t xml:space="preserve"> des commissions d'études (utilisation de </w:t>
      </w:r>
      <w:r w:rsidRPr="00BF23BA">
        <w:rPr>
          <w:i/>
          <w:iCs/>
          <w:color w:val="000000"/>
          <w:u w:val="single"/>
          <w:lang w:val="fr-CH"/>
        </w:rPr>
        <w:t>méthodes de travail électroniques</w:t>
      </w:r>
      <w:r w:rsidRPr="00BF23BA">
        <w:rPr>
          <w:i/>
          <w:iCs/>
          <w:color w:val="000000"/>
          <w:lang w:val="fr-CH"/>
        </w:rPr>
        <w:t>, par exemple)</w:t>
      </w:r>
      <w:r w:rsidR="00BF23BA" w:rsidRPr="00BF23BA">
        <w:rPr>
          <w:i/>
          <w:iCs/>
          <w:color w:val="000000"/>
          <w:lang w:val="fr-CH"/>
        </w:rPr>
        <w:t>"</w:t>
      </w:r>
      <w:r w:rsidRPr="003F01CD">
        <w:rPr>
          <w:color w:val="000000"/>
          <w:lang w:val="fr-CH"/>
        </w:rPr>
        <w:t>.</w:t>
      </w:r>
    </w:p>
    <w:p w:rsidR="00FE214C" w:rsidRPr="003F01CD" w:rsidRDefault="00FE214C" w:rsidP="00344272">
      <w:pPr>
        <w:rPr>
          <w:lang w:val="fr-CH"/>
        </w:rPr>
      </w:pPr>
      <w:r w:rsidRPr="003F01CD">
        <w:rPr>
          <w:lang w:val="fr-CH"/>
        </w:rPr>
        <w:t>En conséquence, il semble que la façon de considérer la réduction de l</w:t>
      </w:r>
      <w:r w:rsidR="003F01CD">
        <w:rPr>
          <w:lang w:val="fr-CH"/>
        </w:rPr>
        <w:t>'</w:t>
      </w:r>
      <w:r w:rsidRPr="003F01CD">
        <w:rPr>
          <w:lang w:val="fr-CH"/>
        </w:rPr>
        <w:t>écart en matière de normalisation soit limitée, puisqu</w:t>
      </w:r>
      <w:r w:rsidR="003F01CD">
        <w:rPr>
          <w:lang w:val="fr-CH"/>
        </w:rPr>
        <w:t>'</w:t>
      </w:r>
      <w:r w:rsidRPr="003F01CD">
        <w:rPr>
          <w:lang w:val="fr-CH"/>
        </w:rPr>
        <w:t xml:space="preserve">il est question du </w:t>
      </w:r>
      <w:r w:rsidRPr="003F01CD">
        <w:rPr>
          <w:color w:val="000000"/>
          <w:lang w:val="fr-CH"/>
        </w:rPr>
        <w:t>renforcement de la</w:t>
      </w:r>
      <w:r w:rsidR="003F01CD">
        <w:rPr>
          <w:color w:val="000000"/>
          <w:lang w:val="fr-CH"/>
        </w:rPr>
        <w:t xml:space="preserve"> </w:t>
      </w:r>
      <w:r w:rsidRPr="003F01CD">
        <w:rPr>
          <w:color w:val="000000"/>
          <w:lang w:val="fr-CH"/>
        </w:rPr>
        <w:t>participation aux t</w:t>
      </w:r>
      <w:r w:rsidR="00BF23BA">
        <w:rPr>
          <w:color w:val="000000"/>
          <w:lang w:val="fr-CH"/>
        </w:rPr>
        <w:t>ravaux des commissions d'études</w:t>
      </w:r>
      <w:r w:rsidRPr="003F01CD">
        <w:rPr>
          <w:color w:val="000000"/>
          <w:lang w:val="fr-CH"/>
        </w:rPr>
        <w:t>,</w:t>
      </w:r>
      <w:r w:rsidR="003F01CD">
        <w:rPr>
          <w:lang w:val="fr-CH"/>
        </w:rPr>
        <w:t xml:space="preserve"> </w:t>
      </w:r>
      <w:r w:rsidRPr="003F01CD">
        <w:rPr>
          <w:color w:val="000000"/>
          <w:lang w:val="fr-CH"/>
        </w:rPr>
        <w:t>y compris par l'utilisation de méthodes de travail électroniques.</w:t>
      </w:r>
      <w:r w:rsidRPr="003F01CD">
        <w:rPr>
          <w:lang w:val="fr-CH"/>
        </w:rPr>
        <w:t xml:space="preserve"> </w:t>
      </w:r>
      <w:r w:rsidR="00344272">
        <w:rPr>
          <w:lang w:val="fr-CH"/>
        </w:rPr>
        <w:t>Or</w:t>
      </w:r>
      <w:r w:rsidRPr="003F01CD">
        <w:rPr>
          <w:lang w:val="fr-CH"/>
        </w:rPr>
        <w:t>, bien souvent, les activités liées à la réduction de</w:t>
      </w:r>
      <w:r w:rsidR="00344272">
        <w:rPr>
          <w:lang w:val="fr-CH"/>
        </w:rPr>
        <w:t xml:space="preserve"> l'écart en matière de</w:t>
      </w:r>
      <w:r w:rsidRPr="003F01CD">
        <w:rPr>
          <w:lang w:val="fr-CH"/>
        </w:rPr>
        <w:t xml:space="preserve"> normalisation portent essentiellement sur le renforcement des capacités.</w:t>
      </w:r>
      <w:r w:rsidR="003F01CD">
        <w:rPr>
          <w:lang w:val="fr-CH"/>
        </w:rPr>
        <w:t xml:space="preserve"> </w:t>
      </w:r>
    </w:p>
    <w:p w:rsidR="00FE214C" w:rsidRPr="00BF23BA" w:rsidRDefault="00FE214C" w:rsidP="00032CF8">
      <w:pPr>
        <w:rPr>
          <w:lang w:val="fr-CH"/>
        </w:rPr>
      </w:pPr>
      <w:r w:rsidRPr="003F01CD">
        <w:rPr>
          <w:lang w:val="fr-CH"/>
        </w:rPr>
        <w:t xml:space="preserve">Ces principes sont certes </w:t>
      </w:r>
      <w:r w:rsidR="00344272">
        <w:rPr>
          <w:lang w:val="fr-CH"/>
        </w:rPr>
        <w:t>très importants</w:t>
      </w:r>
      <w:r w:rsidRPr="003F01CD">
        <w:rPr>
          <w:lang w:val="fr-CH"/>
        </w:rPr>
        <w:t>, mais il conviendrait que la structure des commissions d</w:t>
      </w:r>
      <w:r w:rsidR="003F01CD">
        <w:rPr>
          <w:lang w:val="fr-CH"/>
        </w:rPr>
        <w:t>'</w:t>
      </w:r>
      <w:r w:rsidRPr="003F01CD">
        <w:rPr>
          <w:lang w:val="fr-CH"/>
        </w:rPr>
        <w:t xml:space="preserve">études </w:t>
      </w:r>
      <w:r w:rsidR="00344272">
        <w:rPr>
          <w:lang w:val="fr-CH"/>
        </w:rPr>
        <w:t>tienne</w:t>
      </w:r>
      <w:r w:rsidRPr="003F01CD">
        <w:rPr>
          <w:lang w:val="fr-CH"/>
        </w:rPr>
        <w:t xml:space="preserve"> davantage </w:t>
      </w:r>
      <w:r w:rsidR="00344272">
        <w:rPr>
          <w:lang w:val="fr-CH"/>
        </w:rPr>
        <w:t xml:space="preserve">compte de considérations </w:t>
      </w:r>
      <w:r w:rsidRPr="003F01CD">
        <w:rPr>
          <w:lang w:val="fr-CH"/>
        </w:rPr>
        <w:t xml:space="preserve">qui tiennent compte des besoins et des préoccupations de pays en développement, </w:t>
      </w:r>
      <w:r w:rsidR="00344272">
        <w:rPr>
          <w:lang w:val="fr-CH"/>
        </w:rPr>
        <w:t>comme indiqué</w:t>
      </w:r>
      <w:r w:rsidRPr="003F01CD">
        <w:rPr>
          <w:lang w:val="fr-CH"/>
        </w:rPr>
        <w:t xml:space="preserve"> dans la Constitution de l</w:t>
      </w:r>
      <w:r w:rsidR="003F01CD">
        <w:rPr>
          <w:lang w:val="fr-CH"/>
        </w:rPr>
        <w:t>'</w:t>
      </w:r>
      <w:r w:rsidRPr="003F01CD">
        <w:rPr>
          <w:lang w:val="fr-CH"/>
        </w:rPr>
        <w:t>UIT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 xml:space="preserve">(CS104) </w:t>
      </w:r>
      <w:r w:rsidR="00021941" w:rsidRPr="00D7189F">
        <w:rPr>
          <w:i/>
          <w:iCs/>
          <w:lang w:val="fr-CH"/>
        </w:rPr>
        <w:t>"</w:t>
      </w:r>
      <w:r w:rsidRPr="00D7189F">
        <w:rPr>
          <w:i/>
          <w:iCs/>
          <w:color w:val="000000"/>
          <w:lang w:val="fr-CH"/>
        </w:rPr>
        <w:t>Les fonctions du Secteur de la normalisation des télécommunications consistent, en gardant à l'esprit les préoccupations particulières des pays en développement</w:t>
      </w:r>
      <w:r w:rsidR="00D7189F" w:rsidRPr="00D7189F">
        <w:rPr>
          <w:i/>
          <w:iCs/>
          <w:color w:val="000000"/>
          <w:lang w:val="fr-CH"/>
        </w:rPr>
        <w:t>,</w:t>
      </w:r>
      <w:r w:rsidR="00D7189F">
        <w:rPr>
          <w:i/>
          <w:iCs/>
          <w:color w:val="000000"/>
          <w:lang w:val="fr-CH"/>
        </w:rPr>
        <w:t>...</w:t>
      </w:r>
      <w:r w:rsidR="00D7189F" w:rsidRPr="00D7189F">
        <w:rPr>
          <w:i/>
          <w:iCs/>
          <w:color w:val="000000"/>
          <w:lang w:val="fr-CH"/>
        </w:rPr>
        <w:t>"</w:t>
      </w:r>
      <w:r w:rsidRPr="00D7189F">
        <w:rPr>
          <w:i/>
          <w:iCs/>
          <w:lang w:val="fr-CH"/>
        </w:rPr>
        <w:t xml:space="preserve"> </w:t>
      </w:r>
      <w:r w:rsidRPr="00D7189F">
        <w:rPr>
          <w:lang w:val="fr-CH"/>
        </w:rPr>
        <w:t>ainsi que dans le préambule de la Constitution,</w:t>
      </w:r>
      <w:r w:rsidR="00D7189F" w:rsidRPr="00D7189F">
        <w:rPr>
          <w:lang w:val="fr-CH"/>
        </w:rPr>
        <w:t xml:space="preserve"> qui est libellé comme suit:</w:t>
      </w:r>
      <w:r w:rsidRPr="00D7189F">
        <w:rPr>
          <w:i/>
          <w:iCs/>
          <w:lang w:val="fr-CH"/>
        </w:rPr>
        <w:t xml:space="preserve"> </w:t>
      </w:r>
      <w:r w:rsidR="00021941" w:rsidRPr="00D7189F">
        <w:rPr>
          <w:i/>
          <w:iCs/>
          <w:lang w:val="fr-CH"/>
        </w:rPr>
        <w:t>"</w:t>
      </w:r>
      <w:r w:rsidR="00D7189F">
        <w:rPr>
          <w:i/>
          <w:iCs/>
          <w:lang w:val="fr-CH"/>
        </w:rPr>
        <w:t xml:space="preserve">aux fins de </w:t>
      </w:r>
      <w:r w:rsidRPr="00D7189F">
        <w:rPr>
          <w:i/>
          <w:iCs/>
          <w:color w:val="000000"/>
          <w:lang w:val="fr-CH"/>
        </w:rPr>
        <w:t>faciliter les relations pacifiques et la coopération internationale entre les peuples ainsi que le développement économique et social par le bon fonctionnement des télécommunications</w:t>
      </w:r>
      <w:r w:rsidR="00021941" w:rsidRPr="00D7189F">
        <w:rPr>
          <w:i/>
          <w:iCs/>
          <w:color w:val="000000"/>
          <w:lang w:val="fr-CH"/>
        </w:rPr>
        <w:t>"</w:t>
      </w:r>
      <w:r w:rsidR="00021941">
        <w:rPr>
          <w:color w:val="000000"/>
          <w:lang w:val="fr-CH"/>
        </w:rPr>
        <w:t>.</w:t>
      </w:r>
    </w:p>
    <w:p w:rsidR="00FE214C" w:rsidRPr="001A59B4" w:rsidRDefault="00FE214C" w:rsidP="001A59B4">
      <w:pPr>
        <w:rPr>
          <w:lang w:val="fr-CH"/>
        </w:rPr>
      </w:pPr>
      <w:r w:rsidRPr="003F01CD">
        <w:rPr>
          <w:lang w:val="fr-CH"/>
        </w:rPr>
        <w:lastRenderedPageBreak/>
        <w:t>Il convient de souligner qu</w:t>
      </w:r>
      <w:r w:rsidR="003F01CD">
        <w:rPr>
          <w:lang w:val="fr-CH"/>
        </w:rPr>
        <w:t>'</w:t>
      </w:r>
      <w:r w:rsidRPr="003F01CD">
        <w:rPr>
          <w:lang w:val="fr-CH"/>
        </w:rPr>
        <w:t>à l</w:t>
      </w:r>
      <w:r w:rsidR="003F01CD">
        <w:rPr>
          <w:lang w:val="fr-CH"/>
        </w:rPr>
        <w:t>'</w:t>
      </w:r>
      <w:r w:rsidRPr="003F01CD">
        <w:rPr>
          <w:lang w:val="fr-CH"/>
        </w:rPr>
        <w:t>ère de la mondialisation,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la commercialisation, la concurrence et les mécanismes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du marché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 xml:space="preserve">avantagent essentiellement </w:t>
      </w:r>
      <w:r w:rsidR="00C95D76">
        <w:rPr>
          <w:lang w:val="fr-CH"/>
        </w:rPr>
        <w:t>"</w:t>
      </w:r>
      <w:r w:rsidRPr="003F01CD">
        <w:rPr>
          <w:lang w:val="fr-CH"/>
        </w:rPr>
        <w:t>le</w:t>
      </w:r>
      <w:r w:rsidR="001A59B4">
        <w:rPr>
          <w:lang w:val="fr-CH"/>
        </w:rPr>
        <w:t>s</w:t>
      </w:r>
      <w:r w:rsidRPr="003F01CD">
        <w:rPr>
          <w:lang w:val="fr-CH"/>
        </w:rPr>
        <w:t xml:space="preserve"> plus fort</w:t>
      </w:r>
      <w:r w:rsidR="001A59B4">
        <w:rPr>
          <w:lang w:val="fr-CH"/>
        </w:rPr>
        <w:t>s</w:t>
      </w:r>
      <w:r w:rsidR="00C95D76">
        <w:rPr>
          <w:lang w:val="fr-CH"/>
        </w:rPr>
        <w:t>"</w:t>
      </w:r>
      <w:r w:rsidRPr="003F01CD">
        <w:rPr>
          <w:lang w:val="fr-CH"/>
        </w:rPr>
        <w:t xml:space="preserve"> (par exemple ce</w:t>
      </w:r>
      <w:r w:rsidR="001A59B4">
        <w:rPr>
          <w:lang w:val="fr-CH"/>
        </w:rPr>
        <w:t>ux</w:t>
      </w:r>
      <w:r w:rsidRPr="003F01CD">
        <w:rPr>
          <w:lang w:val="fr-CH"/>
        </w:rPr>
        <w:t xml:space="preserve"> qui </w:t>
      </w:r>
      <w:r w:rsidR="001A59B4">
        <w:rPr>
          <w:lang w:val="fr-CH"/>
        </w:rPr>
        <w:t>ont</w:t>
      </w:r>
      <w:r w:rsidRPr="003F01CD">
        <w:rPr>
          <w:lang w:val="fr-CH"/>
        </w:rPr>
        <w:t xml:space="preserve"> </w:t>
      </w:r>
      <w:r w:rsidR="00032CF8">
        <w:rPr>
          <w:lang w:val="fr-CH"/>
        </w:rPr>
        <w:t xml:space="preserve">une </w:t>
      </w:r>
      <w:r w:rsidR="001A59B4">
        <w:rPr>
          <w:lang w:val="fr-CH"/>
        </w:rPr>
        <w:t>position de force sur le marché</w:t>
      </w:r>
      <w:r w:rsidRPr="003F01CD">
        <w:rPr>
          <w:lang w:val="fr-CH"/>
        </w:rPr>
        <w:t>)</w:t>
      </w:r>
      <w:r w:rsidR="001A59B4">
        <w:rPr>
          <w:lang w:val="fr-CH"/>
        </w:rPr>
        <w:t>,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 xml:space="preserve">constat </w:t>
      </w:r>
      <w:r w:rsidR="001A59B4">
        <w:rPr>
          <w:lang w:val="fr-CH"/>
        </w:rPr>
        <w:t xml:space="preserve">qui </w:t>
      </w:r>
      <w:r w:rsidRPr="003F01CD">
        <w:rPr>
          <w:lang w:val="fr-CH"/>
        </w:rPr>
        <w:t>vaut aussi bien pour les marchés mondiaux que pour les marchés locaux</w:t>
      </w:r>
      <w:r w:rsidR="003F01CD">
        <w:rPr>
          <w:lang w:val="fr-CH"/>
        </w:rPr>
        <w:t>.</w:t>
      </w:r>
      <w:r w:rsidRPr="003F01CD">
        <w:rPr>
          <w:lang w:val="fr-CH"/>
        </w:rPr>
        <w:t xml:space="preserve"> En conséquence, les </w:t>
      </w:r>
      <w:r w:rsidR="001A59B4" w:rsidRPr="003F01CD">
        <w:rPr>
          <w:lang w:val="fr-CH"/>
        </w:rPr>
        <w:t>R</w:t>
      </w:r>
      <w:r w:rsidRPr="003F01CD">
        <w:rPr>
          <w:lang w:val="fr-CH"/>
        </w:rPr>
        <w:t xml:space="preserve">ecommandations </w:t>
      </w:r>
      <w:r w:rsidR="00541830">
        <w:rPr>
          <w:lang w:val="fr-CH"/>
        </w:rPr>
        <w:t>UIT-T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sont élaborées de façon à définir les éléments de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 xml:space="preserve">l'infrastructure mondiale des télécommunications/TIC, </w:t>
      </w:r>
      <w:r w:rsidR="001A59B4">
        <w:rPr>
          <w:lang w:val="fr-CH"/>
        </w:rPr>
        <w:t>en vue</w:t>
      </w:r>
      <w:r w:rsidRPr="003F01CD">
        <w:rPr>
          <w:lang w:val="fr-CH"/>
        </w:rPr>
        <w:t xml:space="preserve"> d</w:t>
      </w:r>
      <w:r w:rsidR="003F01CD">
        <w:rPr>
          <w:lang w:val="fr-CH"/>
        </w:rPr>
        <w:t>'</w:t>
      </w:r>
      <w:r w:rsidRPr="003F01CD">
        <w:rPr>
          <w:lang w:val="fr-CH"/>
        </w:rPr>
        <w:t>améliorer la connectivité à l</w:t>
      </w:r>
      <w:r w:rsidR="003F01CD">
        <w:rPr>
          <w:lang w:val="fr-CH"/>
        </w:rPr>
        <w:t>'</w:t>
      </w:r>
      <w:r w:rsidRPr="003F01CD">
        <w:rPr>
          <w:lang w:val="fr-CH"/>
        </w:rPr>
        <w:t>échelle mondiale et d</w:t>
      </w:r>
      <w:r w:rsidR="003F01CD">
        <w:rPr>
          <w:lang w:val="fr-CH"/>
        </w:rPr>
        <w:t>'</w:t>
      </w:r>
      <w:r w:rsidRPr="003F01CD">
        <w:rPr>
          <w:lang w:val="fr-CH"/>
        </w:rPr>
        <w:t>offrir des services innovants et financièrement abordables, t</w:t>
      </w:r>
      <w:r w:rsidR="005E5EE6">
        <w:rPr>
          <w:lang w:val="fr-CH"/>
        </w:rPr>
        <w:t>out en évitant que soit engagée</w:t>
      </w:r>
      <w:r w:rsidRPr="003F01CD">
        <w:rPr>
          <w:lang w:val="fr-CH"/>
        </w:rPr>
        <w:t>s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des batailles commerciales coûteuses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concernant les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 xml:space="preserve">technologies les plus convoitées. Cependant, les batailles concernant telle ou telle technologie existent toujours </w:t>
      </w:r>
      <w:r w:rsidR="001A59B4">
        <w:rPr>
          <w:lang w:val="fr-CH"/>
        </w:rPr>
        <w:t xml:space="preserve">sur la scène </w:t>
      </w:r>
      <w:r w:rsidRPr="003F01CD">
        <w:rPr>
          <w:lang w:val="fr-CH"/>
        </w:rPr>
        <w:t xml:space="preserve">mondiale, et parfois même </w:t>
      </w:r>
      <w:r w:rsidR="001A59B4">
        <w:rPr>
          <w:lang w:val="fr-CH"/>
        </w:rPr>
        <w:t>au sein de</w:t>
      </w:r>
      <w:r w:rsidRPr="003F01CD">
        <w:rPr>
          <w:lang w:val="fr-CH"/>
        </w:rPr>
        <w:t xml:space="preserve"> l</w:t>
      </w:r>
      <w:r w:rsidR="003F01CD">
        <w:rPr>
          <w:lang w:val="fr-CH"/>
        </w:rPr>
        <w:t>'</w:t>
      </w:r>
      <w:r w:rsidRPr="003F01CD">
        <w:rPr>
          <w:lang w:val="fr-CH"/>
        </w:rPr>
        <w:t>UIT-T, et les besoins et préoccupations des pays en développement sont rarement pris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en considération à ces occasions.</w:t>
      </w:r>
      <w:r w:rsidR="003F01CD">
        <w:rPr>
          <w:lang w:val="fr-CH"/>
        </w:rPr>
        <w:t xml:space="preserve"> </w:t>
      </w:r>
    </w:p>
    <w:p w:rsidR="00FE214C" w:rsidRPr="003F01CD" w:rsidRDefault="00FE214C" w:rsidP="00787C16">
      <w:pPr>
        <w:rPr>
          <w:lang w:val="fr-CH"/>
        </w:rPr>
      </w:pPr>
      <w:r w:rsidRPr="003F01CD">
        <w:rPr>
          <w:lang w:val="fr-CH"/>
        </w:rPr>
        <w:t>Ainsi, il convient de noter que deux commissions d</w:t>
      </w:r>
      <w:r w:rsidR="003F01CD">
        <w:rPr>
          <w:lang w:val="fr-CH"/>
        </w:rPr>
        <w:t>'</w:t>
      </w:r>
      <w:r w:rsidRPr="003F01CD">
        <w:rPr>
          <w:lang w:val="fr-CH"/>
        </w:rPr>
        <w:t>études, parmi les onze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que compte l</w:t>
      </w:r>
      <w:r w:rsidR="003F01CD">
        <w:rPr>
          <w:lang w:val="fr-CH"/>
        </w:rPr>
        <w:t>'</w:t>
      </w:r>
      <w:r w:rsidR="00541830">
        <w:rPr>
          <w:lang w:val="fr-CH"/>
        </w:rPr>
        <w:t>UIT-T</w:t>
      </w:r>
      <w:r w:rsidRPr="003F01CD">
        <w:rPr>
          <w:lang w:val="fr-CH"/>
        </w:rPr>
        <w:t>, s</w:t>
      </w:r>
      <w:r w:rsidR="003F01CD">
        <w:rPr>
          <w:lang w:val="fr-CH"/>
        </w:rPr>
        <w:t>'</w:t>
      </w:r>
      <w:r w:rsidRPr="003F01CD">
        <w:rPr>
          <w:lang w:val="fr-CH"/>
        </w:rPr>
        <w:t>occupent dans une large mesure de questions de nature réglementaire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ou politi</w:t>
      </w:r>
      <w:r w:rsidR="00C95D76">
        <w:rPr>
          <w:lang w:val="fr-CH"/>
        </w:rPr>
        <w:t>que.</w:t>
      </w:r>
      <w:r w:rsidRPr="003F01CD">
        <w:rPr>
          <w:lang w:val="fr-CH"/>
        </w:rPr>
        <w:t xml:space="preserve"> Or, il ressort de la pratique courante que la quasi-totalité des questions ayant une dimension réglementaire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ou politique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s</w:t>
      </w:r>
      <w:r w:rsidR="003F01CD">
        <w:rPr>
          <w:lang w:val="fr-CH"/>
        </w:rPr>
        <w:t>'</w:t>
      </w:r>
      <w:r w:rsidRPr="003F01CD">
        <w:rPr>
          <w:lang w:val="fr-CH"/>
        </w:rPr>
        <w:t>accompagnent de conséquences négatives pour les pays en développement! (</w:t>
      </w:r>
      <w:r w:rsidR="00787C16">
        <w:rPr>
          <w:lang w:val="fr-CH"/>
        </w:rPr>
        <w:t>on citera par exemple les</w:t>
      </w:r>
      <w:r w:rsidRPr="003F01CD">
        <w:rPr>
          <w:lang w:val="fr-CH"/>
        </w:rPr>
        <w:t xml:space="preserve"> </w:t>
      </w:r>
      <w:r w:rsidR="00787C16" w:rsidRPr="003F01CD">
        <w:rPr>
          <w:color w:val="000000"/>
          <w:lang w:val="fr-CH"/>
        </w:rPr>
        <w:t>p</w:t>
      </w:r>
      <w:r w:rsidRPr="003F01CD">
        <w:rPr>
          <w:color w:val="000000"/>
          <w:lang w:val="fr-CH"/>
        </w:rPr>
        <w:t>rocédures d'appel alternatives</w:t>
      </w:r>
      <w:r w:rsidR="00787C16">
        <w:rPr>
          <w:lang w:val="fr-CH"/>
        </w:rPr>
        <w:t xml:space="preserve"> et</w:t>
      </w:r>
      <w:r w:rsidRPr="003F01CD">
        <w:rPr>
          <w:lang w:val="fr-CH"/>
        </w:rPr>
        <w:t xml:space="preserve"> </w:t>
      </w:r>
      <w:r w:rsidRPr="003F01CD">
        <w:rPr>
          <w:color w:val="000000"/>
          <w:lang w:val="fr-CH"/>
        </w:rPr>
        <w:t>l'utilisation abusive des ressources de numérotage,</w:t>
      </w:r>
      <w:r w:rsidRPr="003F01CD">
        <w:rPr>
          <w:lang w:val="fr-CH"/>
        </w:rPr>
        <w:t xml:space="preserve"> </w:t>
      </w:r>
      <w:r w:rsidR="00787C16">
        <w:rPr>
          <w:lang w:val="fr-CH"/>
        </w:rPr>
        <w:t xml:space="preserve">la </w:t>
      </w:r>
      <w:r w:rsidRPr="003F01CD">
        <w:rPr>
          <w:color w:val="000000"/>
          <w:lang w:val="fr-CH"/>
        </w:rPr>
        <w:t>connectivité Internet internationale</w:t>
      </w:r>
      <w:r w:rsidRPr="003F01CD">
        <w:rPr>
          <w:lang w:val="fr-CH"/>
        </w:rPr>
        <w:t xml:space="preserve">, </w:t>
      </w:r>
      <w:r w:rsidR="00787C16">
        <w:rPr>
          <w:lang w:val="fr-CH"/>
        </w:rPr>
        <w:t>l'</w:t>
      </w:r>
      <w:r w:rsidRPr="003F01CD">
        <w:rPr>
          <w:lang w:val="fr-CH"/>
        </w:rPr>
        <w:t xml:space="preserve">usurpation </w:t>
      </w:r>
      <w:r w:rsidRPr="003F01CD">
        <w:rPr>
          <w:color w:val="000000"/>
          <w:lang w:val="fr-CH"/>
        </w:rPr>
        <w:t xml:space="preserve">d'identification de l'origine </w:t>
      </w:r>
      <w:r w:rsidRPr="003F01CD">
        <w:rPr>
          <w:lang w:val="fr-CH"/>
        </w:rPr>
        <w:t>et</w:t>
      </w:r>
      <w:r w:rsidR="003F01CD">
        <w:rPr>
          <w:lang w:val="fr-CH"/>
        </w:rPr>
        <w:t xml:space="preserve"> </w:t>
      </w:r>
      <w:r w:rsidR="00787C16">
        <w:rPr>
          <w:lang w:val="fr-CH"/>
        </w:rPr>
        <w:t xml:space="preserve">le </w:t>
      </w:r>
      <w:r w:rsidRPr="003F01CD">
        <w:rPr>
          <w:color w:val="000000"/>
          <w:lang w:val="fr-CH"/>
        </w:rPr>
        <w:t>non-acheminement</w:t>
      </w:r>
      <w:r w:rsidRPr="003F01CD">
        <w:rPr>
          <w:lang w:val="fr-CH"/>
        </w:rPr>
        <w:t xml:space="preserve">, </w:t>
      </w:r>
      <w:r w:rsidR="00787C16">
        <w:rPr>
          <w:lang w:val="fr-CH"/>
        </w:rPr>
        <w:t xml:space="preserve">le </w:t>
      </w:r>
      <w:r w:rsidRPr="003F01CD">
        <w:rPr>
          <w:color w:val="000000"/>
          <w:lang w:val="fr-CH"/>
        </w:rPr>
        <w:t>reroutage</w:t>
      </w:r>
      <w:r w:rsidRPr="003F01CD">
        <w:rPr>
          <w:lang w:val="fr-CH"/>
        </w:rPr>
        <w:t xml:space="preserve">, </w:t>
      </w:r>
      <w:r w:rsidR="00787C16">
        <w:rPr>
          <w:lang w:val="fr-CH"/>
        </w:rPr>
        <w:t xml:space="preserve">la </w:t>
      </w:r>
      <w:r w:rsidRPr="003F01CD">
        <w:rPr>
          <w:color w:val="000000"/>
          <w:lang w:val="fr-CH"/>
        </w:rPr>
        <w:t>contrefaçon de dispositifs</w:t>
      </w:r>
      <w:r w:rsidRPr="003F01CD">
        <w:rPr>
          <w:lang w:val="fr-CH"/>
        </w:rPr>
        <w:t xml:space="preserve">, </w:t>
      </w:r>
      <w:r w:rsidR="00787C16">
        <w:rPr>
          <w:lang w:val="fr-CH"/>
        </w:rPr>
        <w:t xml:space="preserve">les services </w:t>
      </w:r>
      <w:r w:rsidRPr="003F01CD">
        <w:rPr>
          <w:lang w:val="fr-CH"/>
        </w:rPr>
        <w:t xml:space="preserve">OTT, </w:t>
      </w:r>
      <w:r w:rsidR="00787C16">
        <w:rPr>
          <w:lang w:val="fr-CH"/>
        </w:rPr>
        <w:t xml:space="preserve">les </w:t>
      </w:r>
      <w:r w:rsidRPr="003F01CD">
        <w:rPr>
          <w:color w:val="000000"/>
          <w:lang w:val="fr-CH"/>
        </w:rPr>
        <w:t>frais d'itinérance</w:t>
      </w:r>
      <w:r w:rsidRPr="003F01CD">
        <w:rPr>
          <w:lang w:val="fr-CH"/>
        </w:rPr>
        <w:t>,</w:t>
      </w:r>
      <w:r w:rsidR="003F01CD">
        <w:rPr>
          <w:lang w:val="fr-CH"/>
        </w:rPr>
        <w:t xml:space="preserve"> </w:t>
      </w:r>
      <w:r w:rsidR="00787C16">
        <w:rPr>
          <w:lang w:val="fr-CH"/>
        </w:rPr>
        <w:t>l'</w:t>
      </w:r>
      <w:r w:rsidRPr="003F01CD">
        <w:rPr>
          <w:color w:val="000000"/>
          <w:lang w:val="fr-CH"/>
        </w:rPr>
        <w:t>utilisation extraterritoriale des ressources de numérotage et</w:t>
      </w:r>
      <w:r w:rsidR="003F01CD">
        <w:rPr>
          <w:color w:val="000000"/>
          <w:lang w:val="fr-CH"/>
        </w:rPr>
        <w:t xml:space="preserve"> </w:t>
      </w:r>
      <w:r w:rsidRPr="003F01CD">
        <w:rPr>
          <w:color w:val="000000"/>
          <w:lang w:val="fr-CH"/>
        </w:rPr>
        <w:t>d</w:t>
      </w:r>
      <w:r w:rsidR="003F01CD">
        <w:rPr>
          <w:color w:val="000000"/>
          <w:lang w:val="fr-CH"/>
        </w:rPr>
        <w:t>'</w:t>
      </w:r>
      <w:r w:rsidRPr="003F01CD">
        <w:rPr>
          <w:color w:val="000000"/>
          <w:lang w:val="fr-CH"/>
        </w:rPr>
        <w:t>identification</w:t>
      </w:r>
      <w:r w:rsidR="00032CF8">
        <w:rPr>
          <w:color w:val="000000"/>
          <w:lang w:val="fr-CH"/>
        </w:rPr>
        <w:t>,</w:t>
      </w:r>
      <w:r w:rsidR="003F01CD">
        <w:rPr>
          <w:color w:val="000000"/>
          <w:lang w:val="fr-CH"/>
        </w:rPr>
        <w:t xml:space="preserve"> </w:t>
      </w:r>
      <w:r w:rsidRPr="003F01CD">
        <w:rPr>
          <w:lang w:val="fr-CH"/>
        </w:rPr>
        <w:t>etc.)</w:t>
      </w:r>
      <w:r w:rsidR="00787C16">
        <w:rPr>
          <w:lang w:val="fr-CH"/>
        </w:rPr>
        <w:t>. Il en résulte</w:t>
      </w:r>
      <w:r w:rsidRPr="003F01CD">
        <w:rPr>
          <w:lang w:val="fr-CH"/>
        </w:rPr>
        <w:t xml:space="preserve"> un manque à gagner considérable pour les pays en développement </w:t>
      </w:r>
      <w:r w:rsidR="00787C16">
        <w:rPr>
          <w:lang w:val="fr-CH"/>
        </w:rPr>
        <w:t>ainsi que pour le</w:t>
      </w:r>
      <w:r w:rsidRPr="003F01CD">
        <w:rPr>
          <w:lang w:val="fr-CH"/>
        </w:rPr>
        <w:t>s exploitations nationales</w:t>
      </w:r>
      <w:r w:rsidR="003F01CD">
        <w:rPr>
          <w:lang w:val="fr-CH"/>
        </w:rPr>
        <w:t>.</w:t>
      </w:r>
      <w:r w:rsidRPr="003F01CD">
        <w:rPr>
          <w:lang w:val="fr-CH"/>
        </w:rPr>
        <w:t xml:space="preserve"> Même si les normes actuellement en vigueur permettent d</w:t>
      </w:r>
      <w:r w:rsidR="003F01CD">
        <w:rPr>
          <w:lang w:val="fr-CH"/>
        </w:rPr>
        <w:t>'</w:t>
      </w:r>
      <w:r w:rsidRPr="003F01CD">
        <w:rPr>
          <w:lang w:val="fr-CH"/>
        </w:rPr>
        <w:t xml:space="preserve">assurer un accès, partout dans le monde, à des services d'un coût abordable indépendamment de considérations de technologie, les questions </w:t>
      </w:r>
      <w:r w:rsidR="00032CF8">
        <w:rPr>
          <w:lang w:val="fr-CH"/>
        </w:rPr>
        <w:t xml:space="preserve">énumérées </w:t>
      </w:r>
      <w:r w:rsidRPr="003F01CD">
        <w:rPr>
          <w:lang w:val="fr-CH"/>
        </w:rPr>
        <w:t>dans la liste ci-dessus ont dans l</w:t>
      </w:r>
      <w:r w:rsidR="003F01CD">
        <w:rPr>
          <w:lang w:val="fr-CH"/>
        </w:rPr>
        <w:t>'</w:t>
      </w:r>
      <w:r w:rsidRPr="003F01CD">
        <w:rPr>
          <w:lang w:val="fr-CH"/>
        </w:rPr>
        <w:t xml:space="preserve">ensemble des </w:t>
      </w:r>
      <w:r w:rsidR="00032CF8">
        <w:rPr>
          <w:lang w:val="fr-CH"/>
        </w:rPr>
        <w:t xml:space="preserve">incidences </w:t>
      </w:r>
      <w:r w:rsidRPr="003F01CD">
        <w:rPr>
          <w:lang w:val="fr-CH"/>
        </w:rPr>
        <w:t>négatives sur le plan socio-économique pour les pays en développement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et à bien des égards, les normes qui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 xml:space="preserve">leur sont associées </w:t>
      </w:r>
      <w:r w:rsidR="00787C16">
        <w:rPr>
          <w:lang w:val="fr-CH"/>
        </w:rPr>
        <w:t>ne créent</w:t>
      </w:r>
      <w:r w:rsidRPr="003F01CD">
        <w:rPr>
          <w:lang w:val="fr-CH"/>
        </w:rPr>
        <w:t xml:space="preserve"> pas </w:t>
      </w:r>
      <w:r w:rsidR="00787C16">
        <w:rPr>
          <w:lang w:val="fr-CH"/>
        </w:rPr>
        <w:t>un environnement</w:t>
      </w:r>
      <w:r w:rsidRPr="003F01CD">
        <w:rPr>
          <w:lang w:val="fr-CH"/>
        </w:rPr>
        <w:t xml:space="preserve"> suffisamment </w:t>
      </w:r>
      <w:r w:rsidR="00787C16">
        <w:rPr>
          <w:lang w:val="fr-CH"/>
        </w:rPr>
        <w:t>propice à cet égard</w:t>
      </w:r>
      <w:r w:rsidRPr="003F01CD">
        <w:rPr>
          <w:lang w:val="fr-CH"/>
        </w:rPr>
        <w:t>.</w:t>
      </w:r>
      <w:r w:rsidR="003F01CD">
        <w:rPr>
          <w:lang w:val="fr-CH"/>
        </w:rPr>
        <w:t xml:space="preserve"> </w:t>
      </w:r>
    </w:p>
    <w:p w:rsidR="00FE214C" w:rsidRPr="003F01CD" w:rsidRDefault="00FE214C" w:rsidP="00D77ED2">
      <w:pPr>
        <w:rPr>
          <w:lang w:val="fr-CH"/>
        </w:rPr>
      </w:pPr>
      <w:r w:rsidRPr="003F01CD">
        <w:rPr>
          <w:lang w:val="fr-CH"/>
        </w:rPr>
        <w:t xml:space="preserve">En général, ces pays et leurs exploitations </w:t>
      </w:r>
      <w:r w:rsidR="00D77ED2">
        <w:rPr>
          <w:lang w:val="fr-CH"/>
        </w:rPr>
        <w:t>n'occupent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 xml:space="preserve">pas une </w:t>
      </w:r>
      <w:r w:rsidR="00D77ED2">
        <w:rPr>
          <w:lang w:val="fr-CH"/>
        </w:rPr>
        <w:t>position suffisamment forte</w:t>
      </w:r>
      <w:r w:rsidRPr="003F01CD">
        <w:rPr>
          <w:lang w:val="fr-CH"/>
        </w:rPr>
        <w:t xml:space="preserve"> sur le marché</w:t>
      </w:r>
      <w:r w:rsidR="00D77ED2">
        <w:rPr>
          <w:lang w:val="fr-CH"/>
        </w:rPr>
        <w:t xml:space="preserve"> et ne disposent pas de </w:t>
      </w:r>
      <w:r w:rsidRPr="003F01CD">
        <w:rPr>
          <w:lang w:val="fr-CH"/>
        </w:rPr>
        <w:t xml:space="preserve">compétences techniques suffisantes ni </w:t>
      </w:r>
      <w:r w:rsidR="00D77ED2">
        <w:rPr>
          <w:lang w:val="fr-CH"/>
        </w:rPr>
        <w:t>d'</w:t>
      </w:r>
      <w:r w:rsidRPr="003F01CD">
        <w:rPr>
          <w:lang w:val="fr-CH"/>
        </w:rPr>
        <w:t xml:space="preserve">un pouvoir de négociation suffisamment </w:t>
      </w:r>
      <w:r w:rsidR="00D77ED2">
        <w:rPr>
          <w:lang w:val="fr-CH"/>
        </w:rPr>
        <w:t>important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pour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 xml:space="preserve">contrer de telles pratiques. Il est vrai que certaines de ces technologies sont appelées </w:t>
      </w:r>
      <w:r w:rsidR="00D77ED2">
        <w:rPr>
          <w:lang w:val="fr-CH"/>
        </w:rPr>
        <w:t>à contribuer à la</w:t>
      </w:r>
      <w:r w:rsidRPr="003F01CD">
        <w:rPr>
          <w:lang w:val="fr-CH"/>
        </w:rPr>
        <w:t xml:space="preserve"> fourniture de services financièrement abordables à long terme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(</w:t>
      </w:r>
      <w:r w:rsidR="00D77ED2">
        <w:rPr>
          <w:lang w:val="fr-CH"/>
        </w:rPr>
        <w:t>services VoIP et OTT</w:t>
      </w:r>
      <w:r w:rsidRPr="003F01CD">
        <w:rPr>
          <w:lang w:val="fr-CH"/>
        </w:rPr>
        <w:t xml:space="preserve"> par exemple), mais tant que </w:t>
      </w:r>
      <w:r w:rsidR="00D77ED2">
        <w:rPr>
          <w:lang w:val="fr-CH"/>
        </w:rPr>
        <w:t>cela ne s'est</w:t>
      </w:r>
      <w:r w:rsidRPr="003F01CD">
        <w:rPr>
          <w:lang w:val="fr-CH"/>
        </w:rPr>
        <w:t xml:space="preserve"> pas</w:t>
      </w:r>
      <w:r w:rsidR="003F01CD">
        <w:rPr>
          <w:lang w:val="fr-CH"/>
        </w:rPr>
        <w:t xml:space="preserve"> </w:t>
      </w:r>
      <w:r w:rsidR="00D77ED2">
        <w:rPr>
          <w:lang w:val="fr-CH"/>
        </w:rPr>
        <w:t>concrétisé</w:t>
      </w:r>
      <w:r w:rsidRPr="003F01CD">
        <w:rPr>
          <w:lang w:val="fr-CH"/>
        </w:rPr>
        <w:t>, les normes devraient être élaborées compte dûment tenu de l</w:t>
      </w:r>
      <w:r w:rsidR="003F01CD">
        <w:rPr>
          <w:lang w:val="fr-CH"/>
        </w:rPr>
        <w:t>'</w:t>
      </w:r>
      <w:r w:rsidRPr="003F01CD">
        <w:rPr>
          <w:lang w:val="fr-CH"/>
        </w:rPr>
        <w:t>environnement actuel</w:t>
      </w:r>
      <w:r w:rsidR="00D77ED2">
        <w:rPr>
          <w:lang w:val="fr-CH"/>
        </w:rPr>
        <w:t>.</w:t>
      </w:r>
    </w:p>
    <w:p w:rsidR="00FE214C" w:rsidRPr="003F01CD" w:rsidRDefault="00D77ED2" w:rsidP="003F01CD">
      <w:pPr>
        <w:rPr>
          <w:lang w:val="fr-CH"/>
        </w:rPr>
      </w:pPr>
      <w:r>
        <w:rPr>
          <w:lang w:val="fr-CH"/>
        </w:rPr>
        <w:t>En conséquence, les E</w:t>
      </w:r>
      <w:r w:rsidR="00FE214C" w:rsidRPr="003F01CD">
        <w:rPr>
          <w:lang w:val="fr-CH"/>
        </w:rPr>
        <w:t>tats Membres africains plaident en faveur d</w:t>
      </w:r>
      <w:r w:rsidR="003F01CD">
        <w:rPr>
          <w:lang w:val="fr-CH"/>
        </w:rPr>
        <w:t>'</w:t>
      </w:r>
      <w:r w:rsidR="00FE214C" w:rsidRPr="003F01CD">
        <w:rPr>
          <w:lang w:val="fr-CH"/>
        </w:rPr>
        <w:t>une structure des commissions d</w:t>
      </w:r>
      <w:r w:rsidR="003F01CD">
        <w:rPr>
          <w:lang w:val="fr-CH"/>
        </w:rPr>
        <w:t>'</w:t>
      </w:r>
      <w:r w:rsidR="00FE214C" w:rsidRPr="003F01CD">
        <w:rPr>
          <w:lang w:val="fr-CH"/>
        </w:rPr>
        <w:t>études de l</w:t>
      </w:r>
      <w:r w:rsidR="003F01CD">
        <w:rPr>
          <w:lang w:val="fr-CH"/>
        </w:rPr>
        <w:t>'</w:t>
      </w:r>
      <w:r w:rsidR="00541830">
        <w:rPr>
          <w:lang w:val="fr-CH"/>
        </w:rPr>
        <w:t>UIT-T</w:t>
      </w:r>
      <w:r w:rsidR="00FE214C" w:rsidRPr="003F01CD">
        <w:rPr>
          <w:lang w:val="fr-CH"/>
        </w:rPr>
        <w:t xml:space="preserve"> qui favorise</w:t>
      </w:r>
      <w:r w:rsidR="003F01CD">
        <w:rPr>
          <w:lang w:val="fr-CH"/>
        </w:rPr>
        <w:t xml:space="preserve"> </w:t>
      </w:r>
      <w:r w:rsidR="00FE214C" w:rsidRPr="003F01CD">
        <w:rPr>
          <w:lang w:val="fr-CH"/>
        </w:rPr>
        <w:t>l</w:t>
      </w:r>
      <w:r w:rsidR="003F01CD">
        <w:rPr>
          <w:lang w:val="fr-CH"/>
        </w:rPr>
        <w:t>'</w:t>
      </w:r>
      <w:r w:rsidR="00FE214C" w:rsidRPr="003F01CD">
        <w:rPr>
          <w:lang w:val="fr-CH"/>
        </w:rPr>
        <w:t xml:space="preserve">élaboration de normes tenant dûment compte, </w:t>
      </w:r>
      <w:r w:rsidR="003661DE">
        <w:rPr>
          <w:lang w:val="fr-CH"/>
        </w:rPr>
        <w:t xml:space="preserve">et </w:t>
      </w:r>
      <w:r w:rsidR="00FE214C" w:rsidRPr="003F01CD">
        <w:rPr>
          <w:lang w:val="fr-CH"/>
        </w:rPr>
        <w:t>dans les meilleurs délais, des besoins et des préoccupations des pays en développement</w:t>
      </w:r>
      <w:r w:rsidR="007319CC">
        <w:rPr>
          <w:lang w:val="fr-CH"/>
        </w:rPr>
        <w:t>.</w:t>
      </w:r>
    </w:p>
    <w:p w:rsidR="00793623" w:rsidRPr="00032CF8" w:rsidRDefault="00793623" w:rsidP="003F01CD">
      <w:pPr>
        <w:pStyle w:val="Proposal"/>
        <w:rPr>
          <w:lang w:val="fr-CH"/>
        </w:rPr>
      </w:pPr>
      <w:r w:rsidRPr="003F01CD">
        <w:rPr>
          <w:lang w:val="fr-CH"/>
        </w:rPr>
        <w:tab/>
      </w:r>
      <w:r w:rsidRPr="00032CF8">
        <w:rPr>
          <w:lang w:val="fr-CH"/>
        </w:rPr>
        <w:t>AFCP/42A32/1</w:t>
      </w:r>
    </w:p>
    <w:p w:rsidR="00FE214C" w:rsidRPr="003661DE" w:rsidRDefault="00FE214C" w:rsidP="003661DE">
      <w:pPr>
        <w:rPr>
          <w:lang w:val="fr-CH"/>
        </w:rPr>
      </w:pPr>
      <w:r w:rsidRPr="003F01CD">
        <w:rPr>
          <w:lang w:val="fr-CH"/>
        </w:rPr>
        <w:t>Au nombre des principes de haut niveau régissant la structure des commissions d</w:t>
      </w:r>
      <w:r w:rsidR="003F01CD">
        <w:rPr>
          <w:lang w:val="fr-CH"/>
        </w:rPr>
        <w:t>'</w:t>
      </w:r>
      <w:r w:rsidRPr="003F01CD">
        <w:rPr>
          <w:lang w:val="fr-CH"/>
        </w:rPr>
        <w:t xml:space="preserve">études devrait figurer le principe tendant à </w:t>
      </w:r>
      <w:r w:rsidR="003661DE">
        <w:rPr>
          <w:lang w:val="fr-CH"/>
        </w:rPr>
        <w:t>"</w:t>
      </w:r>
      <w:r w:rsidRPr="003F01CD">
        <w:rPr>
          <w:lang w:val="fr-CH"/>
        </w:rPr>
        <w:t>faciliter la prise en compte des préoccupations des pays en développement et la réduction de l</w:t>
      </w:r>
      <w:r w:rsidR="003F01CD">
        <w:rPr>
          <w:lang w:val="fr-CH"/>
        </w:rPr>
        <w:t>'</w:t>
      </w:r>
      <w:r w:rsidRPr="003F01CD">
        <w:rPr>
          <w:lang w:val="fr-CH"/>
        </w:rPr>
        <w:t>écart en matière de normalisation</w:t>
      </w:r>
      <w:r w:rsidR="003661DE">
        <w:rPr>
          <w:lang w:val="fr-CH"/>
        </w:rPr>
        <w:t>"</w:t>
      </w:r>
      <w:r w:rsidRPr="003F01CD">
        <w:rPr>
          <w:lang w:val="fr-CH"/>
        </w:rPr>
        <w:t xml:space="preserve">, </w:t>
      </w:r>
      <w:r w:rsidR="003661DE">
        <w:rPr>
          <w:lang w:val="fr-CH"/>
        </w:rPr>
        <w:t>à savoir</w:t>
      </w:r>
      <w:r w:rsidR="003F01CD">
        <w:rPr>
          <w:lang w:val="fr-CH"/>
        </w:rPr>
        <w:t>:</w:t>
      </w:r>
    </w:p>
    <w:p w:rsidR="00793623" w:rsidRPr="003661DE" w:rsidRDefault="00793623" w:rsidP="003661DE">
      <w:pPr>
        <w:pStyle w:val="enumlev1"/>
        <w:rPr>
          <w:lang w:val="fr-CH"/>
        </w:rPr>
      </w:pPr>
      <w:r w:rsidRPr="003661DE">
        <w:rPr>
          <w:lang w:val="fr-CH"/>
        </w:rPr>
        <w:t>•</w:t>
      </w:r>
      <w:r w:rsidRPr="003661DE">
        <w:rPr>
          <w:lang w:val="fr-CH"/>
        </w:rPr>
        <w:tab/>
      </w:r>
      <w:r w:rsidR="00FE214C" w:rsidRPr="003661DE">
        <w:rPr>
          <w:lang w:val="fr-CH"/>
        </w:rPr>
        <w:t>La nouvelle structure devrait aider les pays en développement à réduire l'écart en matière de normalisation, notamment par la définition de mesures visant à renforcer la participation aux travaux des commissions d'études, y compris par l'utilisation de méthodes de travail électroniques, le renforcement des capacités, l</w:t>
      </w:r>
      <w:r w:rsidR="003F01CD" w:rsidRPr="003661DE">
        <w:rPr>
          <w:lang w:val="fr-CH"/>
        </w:rPr>
        <w:t>'</w:t>
      </w:r>
      <w:r w:rsidR="00FE214C" w:rsidRPr="003661DE">
        <w:rPr>
          <w:lang w:val="fr-CH"/>
        </w:rPr>
        <w:t>échange d</w:t>
      </w:r>
      <w:r w:rsidR="003F01CD" w:rsidRPr="003661DE">
        <w:rPr>
          <w:lang w:val="fr-CH"/>
        </w:rPr>
        <w:t>'</w:t>
      </w:r>
      <w:r w:rsidR="00FE214C" w:rsidRPr="003661DE">
        <w:rPr>
          <w:lang w:val="fr-CH"/>
        </w:rPr>
        <w:t xml:space="preserve">informations, le transfert de technologie, etc. </w:t>
      </w:r>
    </w:p>
    <w:p w:rsidR="00AA2587" w:rsidRDefault="00793623" w:rsidP="003661DE">
      <w:pPr>
        <w:pStyle w:val="enumlev1"/>
        <w:rPr>
          <w:rFonts w:eastAsia="Times New Roman"/>
          <w:lang w:val="fr-CH"/>
        </w:rPr>
      </w:pPr>
      <w:r w:rsidRPr="003661DE">
        <w:rPr>
          <w:lang w:val="fr-CH"/>
        </w:rPr>
        <w:t>•</w:t>
      </w:r>
      <w:r w:rsidRPr="003661DE">
        <w:rPr>
          <w:lang w:val="fr-CH"/>
        </w:rPr>
        <w:tab/>
      </w:r>
      <w:r w:rsidR="003661DE" w:rsidRPr="003661DE">
        <w:rPr>
          <w:lang w:val="fr-CH"/>
        </w:rPr>
        <w:t>L</w:t>
      </w:r>
      <w:r w:rsidR="00FE214C" w:rsidRPr="003661DE">
        <w:rPr>
          <w:lang w:val="fr-CH"/>
        </w:rPr>
        <w:t>a nouvelle structure devrait tenir compte des préoccupations des pays en développement,</w:t>
      </w:r>
      <w:r w:rsidR="003F01CD" w:rsidRPr="003661DE">
        <w:rPr>
          <w:lang w:val="fr-CH"/>
        </w:rPr>
        <w:t xml:space="preserve"> </w:t>
      </w:r>
      <w:r w:rsidR="00FE214C" w:rsidRPr="003661DE">
        <w:rPr>
          <w:lang w:val="fr-CH"/>
        </w:rPr>
        <w:t>s</w:t>
      </w:r>
      <w:r w:rsidR="003F01CD" w:rsidRPr="003661DE">
        <w:rPr>
          <w:lang w:val="fr-CH"/>
        </w:rPr>
        <w:t>'</w:t>
      </w:r>
      <w:r w:rsidR="00FE214C" w:rsidRPr="003661DE">
        <w:rPr>
          <w:lang w:val="fr-CH"/>
        </w:rPr>
        <w:t>agissant en particulier des commissions d</w:t>
      </w:r>
      <w:r w:rsidR="003F01CD" w:rsidRPr="003661DE">
        <w:rPr>
          <w:lang w:val="fr-CH"/>
        </w:rPr>
        <w:t>'</w:t>
      </w:r>
      <w:r w:rsidR="00FE214C" w:rsidRPr="003661DE">
        <w:rPr>
          <w:lang w:val="fr-CH"/>
        </w:rPr>
        <w:t xml:space="preserve">études qui élaborent </w:t>
      </w:r>
      <w:r w:rsidR="003661DE">
        <w:rPr>
          <w:lang w:val="fr-CH"/>
        </w:rPr>
        <w:t>pour l'essentiel</w:t>
      </w:r>
      <w:r w:rsidR="00FE214C" w:rsidRPr="003661DE">
        <w:rPr>
          <w:lang w:val="fr-CH"/>
        </w:rPr>
        <w:t xml:space="preserve"> des Recommandations ayant des aspects réglementaires</w:t>
      </w:r>
      <w:r w:rsidR="003661DE">
        <w:rPr>
          <w:rFonts w:eastAsia="Times New Roman"/>
          <w:lang w:val="fr-CH"/>
        </w:rPr>
        <w:t>.</w:t>
      </w:r>
    </w:p>
    <w:p w:rsidR="009D7EF7" w:rsidRPr="003F01CD" w:rsidRDefault="009D7EF7" w:rsidP="009D7EF7">
      <w:pPr>
        <w:pStyle w:val="Reasons"/>
        <w:rPr>
          <w:lang w:val="fr-CH"/>
        </w:rPr>
      </w:pPr>
    </w:p>
    <w:p w:rsidR="00AA2587" w:rsidRPr="003F01CD" w:rsidRDefault="00FE214C" w:rsidP="003F01CD">
      <w:pPr>
        <w:pStyle w:val="Heading2"/>
        <w:rPr>
          <w:lang w:val="fr-CH"/>
        </w:rPr>
      </w:pPr>
      <w:r w:rsidRPr="003F01CD">
        <w:rPr>
          <w:lang w:val="fr-CH"/>
        </w:rPr>
        <w:lastRenderedPageBreak/>
        <w:t>2.2</w:t>
      </w:r>
      <w:r w:rsidRPr="003F01CD">
        <w:rPr>
          <w:lang w:val="fr-CH"/>
        </w:rPr>
        <w:tab/>
        <w:t>Réflexions du TSB concernant la restructuration de l</w:t>
      </w:r>
      <w:r w:rsidR="003F01CD">
        <w:rPr>
          <w:lang w:val="fr-CH"/>
        </w:rPr>
        <w:t>'</w:t>
      </w:r>
      <w:r w:rsidR="00541830">
        <w:rPr>
          <w:lang w:val="fr-CH"/>
        </w:rPr>
        <w:t>UIT-T</w:t>
      </w:r>
    </w:p>
    <w:p w:rsidR="00AD7C7E" w:rsidRDefault="00FE214C" w:rsidP="003D4CE6">
      <w:pPr>
        <w:rPr>
          <w:lang w:val="fr-CH"/>
        </w:rPr>
      </w:pPr>
      <w:r w:rsidRPr="003F01CD">
        <w:rPr>
          <w:lang w:val="fr-CH"/>
        </w:rPr>
        <w:t>D</w:t>
      </w:r>
      <w:r w:rsidR="003F01CD">
        <w:rPr>
          <w:lang w:val="fr-CH"/>
        </w:rPr>
        <w:t>'</w:t>
      </w:r>
      <w:r w:rsidRPr="003F01CD">
        <w:rPr>
          <w:lang w:val="fr-CH"/>
        </w:rPr>
        <w:t>après le Directeur du TSB, les travaux du Secteur de l</w:t>
      </w:r>
      <w:r w:rsidR="003F01CD">
        <w:rPr>
          <w:lang w:val="fr-CH"/>
        </w:rPr>
        <w:t>'</w:t>
      </w:r>
      <w:r w:rsidR="00541830">
        <w:rPr>
          <w:lang w:val="fr-CH"/>
        </w:rPr>
        <w:t>UIT-T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 xml:space="preserve">actuel ne sont pas </w:t>
      </w:r>
      <w:r w:rsidR="003D4CE6">
        <w:rPr>
          <w:lang w:val="fr-CH"/>
        </w:rPr>
        <w:t xml:space="preserve">tournés vers les entreprises et </w:t>
      </w:r>
      <w:r w:rsidRPr="003F01CD">
        <w:rPr>
          <w:lang w:val="fr-CH"/>
        </w:rPr>
        <w:t>axés sur les solutions reposant le marché. En conséquence, il a suggéré de procéder à une restructuration des groupes et des commissions d</w:t>
      </w:r>
      <w:r w:rsidR="003F01CD">
        <w:rPr>
          <w:lang w:val="fr-CH"/>
        </w:rPr>
        <w:t>'</w:t>
      </w:r>
      <w:r w:rsidRPr="003F01CD">
        <w:rPr>
          <w:lang w:val="fr-CH"/>
        </w:rPr>
        <w:t>études</w:t>
      </w:r>
      <w:r w:rsidR="003D4CE6">
        <w:rPr>
          <w:lang w:val="fr-CH"/>
        </w:rPr>
        <w:t>,</w:t>
      </w:r>
      <w:r w:rsidRPr="003F01CD">
        <w:rPr>
          <w:lang w:val="fr-CH"/>
        </w:rPr>
        <w:t xml:space="preserve"> afin de remédier à cette situation et de faire en sorte que l</w:t>
      </w:r>
      <w:r w:rsidR="003F01CD">
        <w:rPr>
          <w:lang w:val="fr-CH"/>
        </w:rPr>
        <w:t>'</w:t>
      </w:r>
      <w:r w:rsidR="00541830">
        <w:rPr>
          <w:lang w:val="fr-CH"/>
        </w:rPr>
        <w:t>UIT-T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fonctionne de façon plus efficace</w:t>
      </w:r>
      <w:r w:rsidR="00AD7C7E">
        <w:rPr>
          <w:lang w:val="fr-CH"/>
        </w:rPr>
        <w:t>.</w:t>
      </w:r>
    </w:p>
    <w:p w:rsidR="00AA2587" w:rsidRPr="003F01CD" w:rsidRDefault="00AD7C7E" w:rsidP="00DA2A24">
      <w:pPr>
        <w:rPr>
          <w:lang w:val="fr-CH"/>
        </w:rPr>
      </w:pPr>
      <w:r>
        <w:rPr>
          <w:lang w:val="fr-CH"/>
        </w:rPr>
        <w:t>A</w:t>
      </w:r>
      <w:r w:rsidR="00FE214C" w:rsidRPr="003F01CD">
        <w:rPr>
          <w:lang w:val="fr-CH"/>
        </w:rPr>
        <w:t xml:space="preserve"> cette fin, il a proposé de ramener à quatre le nombre de commissions d</w:t>
      </w:r>
      <w:r w:rsidR="003F01CD">
        <w:rPr>
          <w:lang w:val="fr-CH"/>
        </w:rPr>
        <w:t>'</w:t>
      </w:r>
      <w:r w:rsidR="00FE214C" w:rsidRPr="003F01CD">
        <w:rPr>
          <w:lang w:val="fr-CH"/>
        </w:rPr>
        <w:t xml:space="preserve">études, en fonction des </w:t>
      </w:r>
      <w:r w:rsidR="00DA2A24">
        <w:rPr>
          <w:lang w:val="fr-CH"/>
        </w:rPr>
        <w:t>différents aspects</w:t>
      </w:r>
      <w:r w:rsidR="00FE214C" w:rsidRPr="003F01CD">
        <w:rPr>
          <w:lang w:val="fr-CH"/>
        </w:rPr>
        <w:t xml:space="preserve"> des télécommunications qu</w:t>
      </w:r>
      <w:r w:rsidR="003F01CD">
        <w:rPr>
          <w:lang w:val="fr-CH"/>
        </w:rPr>
        <w:t>'</w:t>
      </w:r>
      <w:r w:rsidR="00FE214C" w:rsidRPr="003F01CD">
        <w:rPr>
          <w:lang w:val="fr-CH"/>
        </w:rPr>
        <w:t xml:space="preserve">elles sont amenées à </w:t>
      </w:r>
      <w:r w:rsidR="00DA2A24">
        <w:rPr>
          <w:lang w:val="fr-CH"/>
        </w:rPr>
        <w:t>examin</w:t>
      </w:r>
      <w:r w:rsidR="00FE214C" w:rsidRPr="003F01CD">
        <w:rPr>
          <w:lang w:val="fr-CH"/>
        </w:rPr>
        <w:t>er, à savoir</w:t>
      </w:r>
      <w:r w:rsidR="003F01CD">
        <w:rPr>
          <w:lang w:val="fr-CH"/>
        </w:rPr>
        <w:t>:</w:t>
      </w:r>
    </w:p>
    <w:p w:rsidR="00AA2587" w:rsidRPr="00032CF8" w:rsidRDefault="00AA2587" w:rsidP="00DA2A24">
      <w:pPr>
        <w:pStyle w:val="enumlev1"/>
        <w:rPr>
          <w:lang w:val="fr-CH"/>
        </w:rPr>
      </w:pPr>
      <w:r w:rsidRPr="00032CF8">
        <w:rPr>
          <w:lang w:val="fr-CH"/>
        </w:rPr>
        <w:t>•</w:t>
      </w:r>
      <w:r w:rsidRPr="00032CF8">
        <w:rPr>
          <w:lang w:val="fr-CH"/>
        </w:rPr>
        <w:tab/>
      </w:r>
      <w:r w:rsidR="00FE214C" w:rsidRPr="00032CF8">
        <w:rPr>
          <w:lang w:val="fr-CH"/>
        </w:rPr>
        <w:t>commissions d</w:t>
      </w:r>
      <w:r w:rsidR="003F01CD" w:rsidRPr="00032CF8">
        <w:rPr>
          <w:lang w:val="fr-CH"/>
        </w:rPr>
        <w:t>'</w:t>
      </w:r>
      <w:r w:rsidR="00FE214C" w:rsidRPr="00032CF8">
        <w:rPr>
          <w:lang w:val="fr-CH"/>
        </w:rPr>
        <w:t>études chargées des aspects opérationnels, politiques</w:t>
      </w:r>
      <w:r w:rsidR="003F01CD" w:rsidRPr="00032CF8">
        <w:rPr>
          <w:lang w:val="fr-CH"/>
        </w:rPr>
        <w:t xml:space="preserve"> </w:t>
      </w:r>
      <w:r w:rsidR="00FE214C" w:rsidRPr="00032CF8">
        <w:rPr>
          <w:lang w:val="fr-CH"/>
        </w:rPr>
        <w:t>et réglementaires</w:t>
      </w:r>
      <w:r w:rsidR="003F01CD" w:rsidRPr="00032CF8">
        <w:rPr>
          <w:lang w:val="fr-CH"/>
        </w:rPr>
        <w:t xml:space="preserve"> </w:t>
      </w:r>
      <w:r w:rsidR="00FE214C" w:rsidRPr="00032CF8">
        <w:rPr>
          <w:lang w:val="fr-CH"/>
        </w:rPr>
        <w:t>(CE2</w:t>
      </w:r>
      <w:r w:rsidR="003F01CD" w:rsidRPr="00032CF8">
        <w:rPr>
          <w:lang w:val="fr-CH"/>
        </w:rPr>
        <w:t xml:space="preserve"> </w:t>
      </w:r>
      <w:r w:rsidR="00FE214C" w:rsidRPr="00032CF8">
        <w:rPr>
          <w:lang w:val="fr-CH"/>
        </w:rPr>
        <w:t>et CE3);</w:t>
      </w:r>
    </w:p>
    <w:p w:rsidR="00AA2587" w:rsidRPr="00032CF8" w:rsidRDefault="00AA2587" w:rsidP="00DA2A24">
      <w:pPr>
        <w:pStyle w:val="enumlev1"/>
        <w:rPr>
          <w:lang w:val="fr-CH"/>
        </w:rPr>
      </w:pPr>
      <w:r w:rsidRPr="00032CF8">
        <w:rPr>
          <w:lang w:val="fr-CH"/>
        </w:rPr>
        <w:t>•</w:t>
      </w:r>
      <w:r w:rsidRPr="00032CF8">
        <w:rPr>
          <w:lang w:val="fr-CH"/>
        </w:rPr>
        <w:tab/>
      </w:r>
      <w:r w:rsidR="00AD7C7E" w:rsidRPr="00032CF8">
        <w:rPr>
          <w:lang w:val="fr-CH"/>
        </w:rPr>
        <w:t>c</w:t>
      </w:r>
      <w:r w:rsidR="00FE214C" w:rsidRPr="00032CF8">
        <w:rPr>
          <w:lang w:val="fr-CH"/>
        </w:rPr>
        <w:t>ommissions d</w:t>
      </w:r>
      <w:r w:rsidR="003F01CD" w:rsidRPr="00032CF8">
        <w:rPr>
          <w:lang w:val="fr-CH"/>
        </w:rPr>
        <w:t>'</w:t>
      </w:r>
      <w:r w:rsidR="00FE214C" w:rsidRPr="00032CF8">
        <w:rPr>
          <w:lang w:val="fr-CH"/>
        </w:rPr>
        <w:t xml:space="preserve">études chargées des </w:t>
      </w:r>
      <w:r w:rsidR="00DA2A24" w:rsidRPr="00032CF8">
        <w:rPr>
          <w:lang w:val="fr-CH"/>
        </w:rPr>
        <w:t xml:space="preserve">nouvelles </w:t>
      </w:r>
      <w:r w:rsidR="00FE214C" w:rsidRPr="00032CF8">
        <w:rPr>
          <w:lang w:val="fr-CH"/>
        </w:rPr>
        <w:t xml:space="preserve">questions </w:t>
      </w:r>
      <w:r w:rsidR="00DA2A24" w:rsidRPr="00032CF8">
        <w:rPr>
          <w:lang w:val="fr-CH"/>
        </w:rPr>
        <w:t>qui se font jour</w:t>
      </w:r>
      <w:r w:rsidR="00FE214C" w:rsidRPr="00032CF8">
        <w:rPr>
          <w:lang w:val="fr-CH"/>
        </w:rPr>
        <w:t xml:space="preserve"> (CE5, CE12</w:t>
      </w:r>
      <w:r w:rsidR="003F01CD" w:rsidRPr="00032CF8">
        <w:rPr>
          <w:lang w:val="fr-CH"/>
        </w:rPr>
        <w:t xml:space="preserve"> </w:t>
      </w:r>
      <w:r w:rsidR="00FE214C" w:rsidRPr="00032CF8">
        <w:rPr>
          <w:lang w:val="fr-CH"/>
        </w:rPr>
        <w:t>et CE 17);</w:t>
      </w:r>
    </w:p>
    <w:p w:rsidR="00AA2587" w:rsidRPr="00032CF8" w:rsidRDefault="00AA2587" w:rsidP="00DA2A24">
      <w:pPr>
        <w:pStyle w:val="enumlev1"/>
        <w:rPr>
          <w:lang w:val="fr-CH"/>
        </w:rPr>
      </w:pPr>
      <w:r w:rsidRPr="00032CF8">
        <w:rPr>
          <w:lang w:val="fr-CH"/>
        </w:rPr>
        <w:t>•</w:t>
      </w:r>
      <w:r w:rsidRPr="00032CF8">
        <w:rPr>
          <w:lang w:val="fr-CH"/>
        </w:rPr>
        <w:tab/>
      </w:r>
      <w:r w:rsidR="00FE214C" w:rsidRPr="00032CF8">
        <w:rPr>
          <w:lang w:val="fr-CH"/>
        </w:rPr>
        <w:t>commissions d</w:t>
      </w:r>
      <w:r w:rsidR="003F01CD" w:rsidRPr="00032CF8">
        <w:rPr>
          <w:lang w:val="fr-CH"/>
        </w:rPr>
        <w:t>'</w:t>
      </w:r>
      <w:r w:rsidR="00FE214C" w:rsidRPr="00032CF8">
        <w:rPr>
          <w:lang w:val="fr-CH"/>
        </w:rPr>
        <w:t>études chargées des services et applications</w:t>
      </w:r>
      <w:r w:rsidR="003F01CD" w:rsidRPr="00032CF8">
        <w:rPr>
          <w:lang w:val="fr-CH"/>
        </w:rPr>
        <w:t xml:space="preserve"> </w:t>
      </w:r>
      <w:r w:rsidR="00FE214C" w:rsidRPr="00032CF8">
        <w:rPr>
          <w:lang w:val="fr-CH"/>
        </w:rPr>
        <w:t>(CE9, CE16</w:t>
      </w:r>
      <w:r w:rsidR="003F01CD" w:rsidRPr="00032CF8">
        <w:rPr>
          <w:lang w:val="fr-CH"/>
        </w:rPr>
        <w:t xml:space="preserve"> </w:t>
      </w:r>
      <w:r w:rsidR="00FE214C" w:rsidRPr="00032CF8">
        <w:rPr>
          <w:lang w:val="fr-CH"/>
        </w:rPr>
        <w:t>et</w:t>
      </w:r>
      <w:r w:rsidR="003F01CD" w:rsidRPr="00032CF8">
        <w:rPr>
          <w:lang w:val="fr-CH"/>
        </w:rPr>
        <w:t xml:space="preserve"> </w:t>
      </w:r>
      <w:r w:rsidR="00FE214C" w:rsidRPr="00032CF8">
        <w:rPr>
          <w:lang w:val="fr-CH"/>
        </w:rPr>
        <w:t>CE20);</w:t>
      </w:r>
    </w:p>
    <w:p w:rsidR="00AA2587" w:rsidRPr="003F01CD" w:rsidRDefault="00AA2587" w:rsidP="00DA2A24">
      <w:pPr>
        <w:pStyle w:val="enumlev1"/>
        <w:rPr>
          <w:lang w:val="fr-CH"/>
        </w:rPr>
      </w:pPr>
      <w:r w:rsidRPr="00032CF8">
        <w:rPr>
          <w:lang w:val="fr-CH"/>
        </w:rPr>
        <w:t>•</w:t>
      </w:r>
      <w:r w:rsidRPr="00032CF8">
        <w:rPr>
          <w:lang w:val="fr-CH"/>
        </w:rPr>
        <w:tab/>
      </w:r>
      <w:r w:rsidR="00FE214C" w:rsidRPr="00032CF8">
        <w:rPr>
          <w:lang w:val="fr-CH"/>
        </w:rPr>
        <w:t>commissions d</w:t>
      </w:r>
      <w:r w:rsidR="003F01CD" w:rsidRPr="00032CF8">
        <w:rPr>
          <w:lang w:val="fr-CH"/>
        </w:rPr>
        <w:t>'</w:t>
      </w:r>
      <w:r w:rsidR="00FE214C" w:rsidRPr="00032CF8">
        <w:rPr>
          <w:lang w:val="fr-CH"/>
        </w:rPr>
        <w:t>études chargées plus spécialement des infrastructures</w:t>
      </w:r>
      <w:r w:rsidR="003F01CD" w:rsidRPr="00032CF8">
        <w:rPr>
          <w:lang w:val="fr-CH"/>
        </w:rPr>
        <w:t xml:space="preserve"> </w:t>
      </w:r>
      <w:r w:rsidR="00FE214C" w:rsidRPr="00032CF8">
        <w:rPr>
          <w:lang w:val="fr-CH"/>
        </w:rPr>
        <w:t>(CE 11, CE13</w:t>
      </w:r>
      <w:r w:rsidR="003F01CD" w:rsidRPr="00032CF8">
        <w:rPr>
          <w:lang w:val="fr-CH"/>
        </w:rPr>
        <w:t xml:space="preserve"> </w:t>
      </w:r>
      <w:r w:rsidR="00FE214C" w:rsidRPr="00032CF8">
        <w:rPr>
          <w:lang w:val="fr-CH"/>
        </w:rPr>
        <w:t>et CE15).</w:t>
      </w:r>
    </w:p>
    <w:p w:rsidR="00AA2587" w:rsidRPr="003F01CD" w:rsidRDefault="00AD7C7E" w:rsidP="00DA2A24">
      <w:pPr>
        <w:rPr>
          <w:lang w:val="fr-CH"/>
        </w:rPr>
      </w:pPr>
      <w:r>
        <w:rPr>
          <w:lang w:val="fr-CH"/>
        </w:rPr>
        <w:t>Sur le principe, les E</w:t>
      </w:r>
      <w:r w:rsidR="00FE214C" w:rsidRPr="003F01CD">
        <w:rPr>
          <w:lang w:val="fr-CH"/>
        </w:rPr>
        <w:t>tats Membres africains souscrivent à la restructurati</w:t>
      </w:r>
      <w:r w:rsidR="00DA2A24">
        <w:rPr>
          <w:lang w:val="fr-CH"/>
        </w:rPr>
        <w:t>on proposée par le TSB et considérant qu'</w:t>
      </w:r>
      <w:r w:rsidR="00FE214C" w:rsidRPr="003F01CD">
        <w:rPr>
          <w:lang w:val="fr-CH"/>
        </w:rPr>
        <w:t>il serait plus rationnel de réduire le nombre de commissions d</w:t>
      </w:r>
      <w:r w:rsidR="003F01CD">
        <w:rPr>
          <w:lang w:val="fr-CH"/>
        </w:rPr>
        <w:t>'</w:t>
      </w:r>
      <w:r w:rsidR="00FE214C" w:rsidRPr="003F01CD">
        <w:rPr>
          <w:lang w:val="fr-CH"/>
        </w:rPr>
        <w:t>études, dans la mesure où cela</w:t>
      </w:r>
      <w:r w:rsidR="003F01CD">
        <w:rPr>
          <w:lang w:val="fr-CH"/>
        </w:rPr>
        <w:t xml:space="preserve">: </w:t>
      </w:r>
    </w:p>
    <w:p w:rsidR="00AA2587" w:rsidRPr="002C759F" w:rsidRDefault="00AA2587" w:rsidP="002C759F">
      <w:pPr>
        <w:pStyle w:val="enumlev1"/>
        <w:rPr>
          <w:lang w:val="fr-CH"/>
        </w:rPr>
      </w:pPr>
      <w:r w:rsidRPr="002C759F">
        <w:rPr>
          <w:lang w:val="fr-CH"/>
        </w:rPr>
        <w:t>•</w:t>
      </w:r>
      <w:r w:rsidRPr="002C759F">
        <w:rPr>
          <w:lang w:val="fr-CH"/>
        </w:rPr>
        <w:tab/>
      </w:r>
      <w:r w:rsidR="00FE214C" w:rsidRPr="002C759F">
        <w:rPr>
          <w:lang w:val="fr-CH"/>
        </w:rPr>
        <w:t>faciliterait la coopération entre les groupes au sein de l</w:t>
      </w:r>
      <w:r w:rsidR="003F01CD" w:rsidRPr="002C759F">
        <w:rPr>
          <w:lang w:val="fr-CH"/>
        </w:rPr>
        <w:t>'</w:t>
      </w:r>
      <w:r w:rsidR="00541830" w:rsidRPr="002C759F">
        <w:rPr>
          <w:lang w:val="fr-CH"/>
        </w:rPr>
        <w:t>UIT-T</w:t>
      </w:r>
      <w:r w:rsidR="00FE214C" w:rsidRPr="002C759F">
        <w:rPr>
          <w:lang w:val="fr-CH"/>
        </w:rPr>
        <w:t xml:space="preserve"> et </w:t>
      </w:r>
      <w:r w:rsidR="002C759F" w:rsidRPr="002C759F">
        <w:rPr>
          <w:lang w:val="fr-CH"/>
        </w:rPr>
        <w:t xml:space="preserve">permettrait de </w:t>
      </w:r>
      <w:r w:rsidR="00FE214C" w:rsidRPr="002C759F">
        <w:rPr>
          <w:lang w:val="fr-CH"/>
        </w:rPr>
        <w:t>réduir</w:t>
      </w:r>
      <w:r w:rsidR="002C759F">
        <w:rPr>
          <w:lang w:val="fr-CH"/>
        </w:rPr>
        <w:t>e</w:t>
      </w:r>
      <w:r w:rsidR="00FE214C" w:rsidRPr="002C759F">
        <w:rPr>
          <w:lang w:val="fr-CH"/>
        </w:rPr>
        <w:t xml:space="preserve"> les chevauchements avec d</w:t>
      </w:r>
      <w:r w:rsidR="003F01CD" w:rsidRPr="002C759F">
        <w:rPr>
          <w:lang w:val="fr-CH"/>
        </w:rPr>
        <w:t>'</w:t>
      </w:r>
      <w:r w:rsidR="00FE214C" w:rsidRPr="002C759F">
        <w:rPr>
          <w:lang w:val="fr-CH"/>
        </w:rPr>
        <w:t>autres organisations de normalisation</w:t>
      </w:r>
      <w:r w:rsidR="003F01CD" w:rsidRPr="002C759F">
        <w:rPr>
          <w:lang w:val="fr-CH"/>
        </w:rPr>
        <w:t>;</w:t>
      </w:r>
    </w:p>
    <w:p w:rsidR="00AA2587" w:rsidRPr="002C759F" w:rsidRDefault="00AA2587" w:rsidP="002C759F">
      <w:pPr>
        <w:pStyle w:val="enumlev1"/>
        <w:rPr>
          <w:lang w:val="fr-CH"/>
        </w:rPr>
      </w:pPr>
      <w:r w:rsidRPr="002C759F">
        <w:rPr>
          <w:lang w:val="fr-CH"/>
        </w:rPr>
        <w:t>•</w:t>
      </w:r>
      <w:r w:rsidRPr="002C759F">
        <w:rPr>
          <w:lang w:val="fr-CH"/>
        </w:rPr>
        <w:tab/>
      </w:r>
      <w:r w:rsidR="00FE214C" w:rsidRPr="002C759F">
        <w:rPr>
          <w:lang w:val="fr-CH"/>
        </w:rPr>
        <w:t>permettrait d</w:t>
      </w:r>
      <w:r w:rsidR="003F01CD" w:rsidRPr="002C759F">
        <w:rPr>
          <w:lang w:val="fr-CH"/>
        </w:rPr>
        <w:t>'</w:t>
      </w:r>
      <w:r w:rsidR="00FE214C" w:rsidRPr="002C759F">
        <w:rPr>
          <w:lang w:val="fr-CH"/>
        </w:rPr>
        <w:t>éviter tout</w:t>
      </w:r>
      <w:r w:rsidR="002C759F" w:rsidRPr="002C759F">
        <w:rPr>
          <w:lang w:val="fr-CH"/>
        </w:rPr>
        <w:t>e</w:t>
      </w:r>
      <w:r w:rsidR="00FE214C" w:rsidRPr="002C759F">
        <w:rPr>
          <w:lang w:val="fr-CH"/>
        </w:rPr>
        <w:t xml:space="preserve"> </w:t>
      </w:r>
      <w:r w:rsidR="002C759F">
        <w:rPr>
          <w:lang w:val="fr-CH"/>
        </w:rPr>
        <w:t>répétition des tâches</w:t>
      </w:r>
      <w:r w:rsidR="003F01CD" w:rsidRPr="002C759F">
        <w:rPr>
          <w:lang w:val="fr-CH"/>
        </w:rPr>
        <w:t>;</w:t>
      </w:r>
    </w:p>
    <w:p w:rsidR="00AA2587" w:rsidRPr="002C759F" w:rsidRDefault="00AA2587" w:rsidP="002C759F">
      <w:pPr>
        <w:pStyle w:val="enumlev1"/>
        <w:rPr>
          <w:lang w:val="fr-CH"/>
        </w:rPr>
      </w:pPr>
      <w:r w:rsidRPr="002C759F">
        <w:rPr>
          <w:lang w:val="fr-CH"/>
        </w:rPr>
        <w:t>•</w:t>
      </w:r>
      <w:r w:rsidRPr="002C759F">
        <w:rPr>
          <w:lang w:val="fr-CH"/>
        </w:rPr>
        <w:tab/>
      </w:r>
      <w:r w:rsidR="00FE214C" w:rsidRPr="002C759F">
        <w:rPr>
          <w:lang w:val="fr-CH"/>
        </w:rPr>
        <w:t>faciliterait la participation d</w:t>
      </w:r>
      <w:r w:rsidR="003F01CD" w:rsidRPr="002C759F">
        <w:rPr>
          <w:lang w:val="fr-CH"/>
        </w:rPr>
        <w:t>'</w:t>
      </w:r>
      <w:r w:rsidR="00FE214C" w:rsidRPr="002C759F">
        <w:rPr>
          <w:lang w:val="fr-CH"/>
        </w:rPr>
        <w:t>experts à l</w:t>
      </w:r>
      <w:r w:rsidR="003F01CD" w:rsidRPr="002C759F">
        <w:rPr>
          <w:lang w:val="fr-CH"/>
        </w:rPr>
        <w:t>'</w:t>
      </w:r>
      <w:r w:rsidR="002C759F" w:rsidRPr="002C759F">
        <w:rPr>
          <w:lang w:val="fr-CH"/>
        </w:rPr>
        <w:t>étude</w:t>
      </w:r>
      <w:r w:rsidR="00FE214C" w:rsidRPr="002C759F">
        <w:rPr>
          <w:lang w:val="fr-CH"/>
        </w:rPr>
        <w:t xml:space="preserve"> de questions très diverses</w:t>
      </w:r>
      <w:r w:rsidR="003F01CD" w:rsidRPr="002C759F">
        <w:rPr>
          <w:lang w:val="fr-CH"/>
        </w:rPr>
        <w:t>;</w:t>
      </w:r>
    </w:p>
    <w:p w:rsidR="00AA2587" w:rsidRPr="002C759F" w:rsidRDefault="00AA2587" w:rsidP="00DA2A24">
      <w:pPr>
        <w:pStyle w:val="enumlev1"/>
        <w:rPr>
          <w:lang w:val="fr-CH"/>
        </w:rPr>
      </w:pPr>
      <w:r w:rsidRPr="002C759F">
        <w:rPr>
          <w:lang w:val="fr-CH"/>
        </w:rPr>
        <w:t>•</w:t>
      </w:r>
      <w:r w:rsidRPr="002C759F">
        <w:rPr>
          <w:lang w:val="fr-CH"/>
        </w:rPr>
        <w:tab/>
      </w:r>
      <w:r w:rsidR="00FE214C" w:rsidRPr="002C759F">
        <w:rPr>
          <w:lang w:val="fr-CH"/>
        </w:rPr>
        <w:t>optimiserait</w:t>
      </w:r>
      <w:r w:rsidR="003F01CD" w:rsidRPr="002C759F">
        <w:rPr>
          <w:lang w:val="fr-CH"/>
        </w:rPr>
        <w:t xml:space="preserve"> </w:t>
      </w:r>
      <w:r w:rsidR="00FE214C" w:rsidRPr="002C759F">
        <w:rPr>
          <w:lang w:val="fr-CH"/>
        </w:rPr>
        <w:t>la gestion du budget des commissions d</w:t>
      </w:r>
      <w:r w:rsidR="003F01CD" w:rsidRPr="002C759F">
        <w:rPr>
          <w:lang w:val="fr-CH"/>
        </w:rPr>
        <w:t>'</w:t>
      </w:r>
      <w:r w:rsidR="00FE214C" w:rsidRPr="002C759F">
        <w:rPr>
          <w:lang w:val="fr-CH"/>
        </w:rPr>
        <w:t>études</w:t>
      </w:r>
      <w:r w:rsidR="002C759F">
        <w:rPr>
          <w:lang w:val="fr-CH"/>
        </w:rPr>
        <w:t>;</w:t>
      </w:r>
      <w:r w:rsidR="00FE214C" w:rsidRPr="002C759F">
        <w:rPr>
          <w:lang w:val="fr-CH"/>
        </w:rPr>
        <w:t xml:space="preserve"> </w:t>
      </w:r>
      <w:r w:rsidR="002C759F" w:rsidRPr="002C759F">
        <w:rPr>
          <w:lang w:val="fr-CH"/>
        </w:rPr>
        <w:t>e</w:t>
      </w:r>
      <w:r w:rsidR="00FE214C" w:rsidRPr="002C759F">
        <w:rPr>
          <w:lang w:val="fr-CH"/>
        </w:rPr>
        <w:t>tc.</w:t>
      </w:r>
    </w:p>
    <w:p w:rsidR="00AA2587" w:rsidRPr="003F01CD" w:rsidRDefault="00032CF8" w:rsidP="002C759F">
      <w:pPr>
        <w:rPr>
          <w:lang w:val="fr-CH"/>
        </w:rPr>
      </w:pPr>
      <w:r>
        <w:rPr>
          <w:lang w:val="fr-CH"/>
        </w:rPr>
        <w:t xml:space="preserve">Toutefois, afin </w:t>
      </w:r>
      <w:r w:rsidR="00FE214C" w:rsidRPr="003F01CD">
        <w:rPr>
          <w:lang w:val="fr-CH"/>
        </w:rPr>
        <w:t>d</w:t>
      </w:r>
      <w:r w:rsidR="003F01CD">
        <w:rPr>
          <w:lang w:val="fr-CH"/>
        </w:rPr>
        <w:t>'</w:t>
      </w:r>
      <w:r w:rsidR="00FE214C" w:rsidRPr="003F01CD">
        <w:rPr>
          <w:lang w:val="fr-CH"/>
        </w:rPr>
        <w:t>éviter que les activités de l</w:t>
      </w:r>
      <w:r w:rsidR="003F01CD">
        <w:rPr>
          <w:lang w:val="fr-CH"/>
        </w:rPr>
        <w:t>'</w:t>
      </w:r>
      <w:r w:rsidR="00541830">
        <w:rPr>
          <w:lang w:val="fr-CH"/>
        </w:rPr>
        <w:t>UIT-T</w:t>
      </w:r>
      <w:r w:rsidR="00FE214C" w:rsidRPr="003F01CD">
        <w:rPr>
          <w:lang w:val="fr-CH"/>
        </w:rPr>
        <w:t xml:space="preserve"> ne</w:t>
      </w:r>
      <w:r w:rsidR="003F01CD">
        <w:rPr>
          <w:lang w:val="fr-CH"/>
        </w:rPr>
        <w:t xml:space="preserve"> </w:t>
      </w:r>
      <w:r w:rsidR="00FE214C" w:rsidRPr="003F01CD">
        <w:rPr>
          <w:lang w:val="fr-CH"/>
        </w:rPr>
        <w:t>pâtissent trop d</w:t>
      </w:r>
      <w:r w:rsidR="003F01CD">
        <w:rPr>
          <w:lang w:val="fr-CH"/>
        </w:rPr>
        <w:t>'</w:t>
      </w:r>
      <w:r w:rsidR="00FE214C" w:rsidRPr="003F01CD">
        <w:rPr>
          <w:lang w:val="fr-CH"/>
        </w:rPr>
        <w:t>un</w:t>
      </w:r>
      <w:r w:rsidR="002C759F">
        <w:rPr>
          <w:lang w:val="fr-CH"/>
        </w:rPr>
        <w:t>e</w:t>
      </w:r>
      <w:r w:rsidR="00FE214C" w:rsidRPr="003F01CD">
        <w:rPr>
          <w:lang w:val="fr-CH"/>
        </w:rPr>
        <w:t xml:space="preserve"> t</w:t>
      </w:r>
      <w:r w:rsidR="002C759F">
        <w:rPr>
          <w:lang w:val="fr-CH"/>
        </w:rPr>
        <w:t>ransformation</w:t>
      </w:r>
      <w:r w:rsidR="00FE214C" w:rsidRPr="003F01CD">
        <w:rPr>
          <w:lang w:val="fr-CH"/>
        </w:rPr>
        <w:t xml:space="preserve"> radical</w:t>
      </w:r>
      <w:r w:rsidR="002C759F">
        <w:rPr>
          <w:lang w:val="fr-CH"/>
        </w:rPr>
        <w:t>e</w:t>
      </w:r>
      <w:r w:rsidR="00FE214C" w:rsidRPr="003F01CD">
        <w:rPr>
          <w:lang w:val="fr-CH"/>
        </w:rPr>
        <w:t xml:space="preserve"> qui pourrait nécessiter un temps d</w:t>
      </w:r>
      <w:r w:rsidR="003F01CD">
        <w:rPr>
          <w:lang w:val="fr-CH"/>
        </w:rPr>
        <w:t>'</w:t>
      </w:r>
      <w:r w:rsidR="00FE214C" w:rsidRPr="003F01CD">
        <w:rPr>
          <w:lang w:val="fr-CH"/>
        </w:rPr>
        <w:t>adaptation relativement long, il serait prudent d</w:t>
      </w:r>
      <w:r w:rsidR="003F01CD">
        <w:rPr>
          <w:lang w:val="fr-CH"/>
        </w:rPr>
        <w:t>'</w:t>
      </w:r>
      <w:r w:rsidR="00FE214C" w:rsidRPr="003F01CD">
        <w:rPr>
          <w:lang w:val="fr-CH"/>
        </w:rPr>
        <w:t>opter pour une réforme ménageant davantage de souplesse</w:t>
      </w:r>
      <w:r w:rsidR="003F01CD">
        <w:rPr>
          <w:lang w:val="fr-CH"/>
        </w:rPr>
        <w:t>.</w:t>
      </w:r>
    </w:p>
    <w:p w:rsidR="00215584" w:rsidRDefault="002C759F" w:rsidP="003F01CD">
      <w:pPr>
        <w:pStyle w:val="Headingb"/>
      </w:pPr>
      <w:r>
        <w:t>Les propositions des E</w:t>
      </w:r>
      <w:r w:rsidR="00FE214C" w:rsidRPr="003F01CD">
        <w:t>tats Membres africains concernant la restructuration sont les suivantes:</w:t>
      </w:r>
    </w:p>
    <w:p w:rsidR="009D7EF7" w:rsidRPr="009D7EF7" w:rsidRDefault="009D7EF7" w:rsidP="009D7EF7">
      <w:pPr>
        <w:pStyle w:val="Reasons"/>
        <w:rPr>
          <w:lang w:val="fr-CH"/>
        </w:rPr>
      </w:pPr>
    </w:p>
    <w:p w:rsidR="007B5374" w:rsidRPr="00032CF8" w:rsidRDefault="00933A97" w:rsidP="003F01CD">
      <w:pPr>
        <w:pStyle w:val="Proposal"/>
        <w:rPr>
          <w:lang w:val="fr-CH"/>
        </w:rPr>
      </w:pPr>
      <w:r w:rsidRPr="003F01CD">
        <w:rPr>
          <w:lang w:val="fr-CH"/>
        </w:rPr>
        <w:tab/>
      </w:r>
      <w:r w:rsidRPr="00032CF8">
        <w:rPr>
          <w:lang w:val="fr-CH"/>
        </w:rPr>
        <w:t>AFCP/42A32/2</w:t>
      </w:r>
    </w:p>
    <w:p w:rsidR="00FE214C" w:rsidRPr="003F01CD" w:rsidRDefault="00FE214C" w:rsidP="009E3C50">
      <w:pPr>
        <w:rPr>
          <w:lang w:val="fr-CH"/>
        </w:rPr>
      </w:pPr>
      <w:r w:rsidRPr="003F01CD">
        <w:rPr>
          <w:lang w:val="fr-CH"/>
        </w:rPr>
        <w:t>Les pays africains suggèrent de poursuivre les discussions, pendant la prochaine période d</w:t>
      </w:r>
      <w:r w:rsidR="003F01CD">
        <w:rPr>
          <w:lang w:val="fr-CH"/>
        </w:rPr>
        <w:t>'</w:t>
      </w:r>
      <w:r w:rsidRPr="003F01CD">
        <w:rPr>
          <w:lang w:val="fr-CH"/>
        </w:rPr>
        <w:t>études, afin de déterminer si une restructuration s</w:t>
      </w:r>
      <w:r w:rsidR="003F01CD">
        <w:rPr>
          <w:lang w:val="fr-CH"/>
        </w:rPr>
        <w:t>'</w:t>
      </w:r>
      <w:r w:rsidRPr="003F01CD">
        <w:rPr>
          <w:lang w:val="fr-CH"/>
        </w:rPr>
        <w:t xml:space="preserve">impose et de définir les conditions et modalités de mise en </w:t>
      </w:r>
      <w:r w:rsidR="009E3C50">
        <w:rPr>
          <w:lang w:val="fr-CH"/>
        </w:rPr>
        <w:t>oe</w:t>
      </w:r>
      <w:r w:rsidRPr="003F01CD">
        <w:rPr>
          <w:lang w:val="fr-CH"/>
        </w:rPr>
        <w:t>uvre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de cette restructuration</w:t>
      </w:r>
      <w:r w:rsidR="003F0D75">
        <w:rPr>
          <w:lang w:val="fr-CH"/>
        </w:rPr>
        <w:t>.</w:t>
      </w:r>
    </w:p>
    <w:p w:rsidR="00FE214C" w:rsidRPr="003F01CD" w:rsidRDefault="003F0D75" w:rsidP="00D63D43">
      <w:pPr>
        <w:rPr>
          <w:lang w:val="fr-CH"/>
        </w:rPr>
      </w:pPr>
      <w:r>
        <w:rPr>
          <w:lang w:val="fr-CH"/>
        </w:rPr>
        <w:t>A</w:t>
      </w:r>
      <w:r w:rsidR="00FE214C" w:rsidRPr="003F01CD">
        <w:rPr>
          <w:lang w:val="fr-CH"/>
        </w:rPr>
        <w:t xml:space="preserve"> cette fin, les pays africains suggèrent de créer un groupe de travail</w:t>
      </w:r>
      <w:r w:rsidR="003F01CD">
        <w:rPr>
          <w:lang w:val="fr-CH"/>
        </w:rPr>
        <w:t xml:space="preserve"> </w:t>
      </w:r>
      <w:r w:rsidR="00FE214C" w:rsidRPr="003F01CD">
        <w:rPr>
          <w:lang w:val="fr-CH"/>
        </w:rPr>
        <w:t>du</w:t>
      </w:r>
      <w:r w:rsidR="003F01CD">
        <w:rPr>
          <w:lang w:val="fr-CH"/>
        </w:rPr>
        <w:t xml:space="preserve"> </w:t>
      </w:r>
      <w:r w:rsidR="00FE214C" w:rsidRPr="003F01CD">
        <w:rPr>
          <w:lang w:val="fr-CH"/>
        </w:rPr>
        <w:t>GCNT, de préférence à composition restreinte, qui aurait pour mandat d</w:t>
      </w:r>
      <w:r w:rsidR="003F01CD">
        <w:rPr>
          <w:lang w:val="fr-CH"/>
        </w:rPr>
        <w:t>'</w:t>
      </w:r>
      <w:r w:rsidR="00FE214C" w:rsidRPr="003F01CD">
        <w:rPr>
          <w:lang w:val="fr-CH"/>
        </w:rPr>
        <w:t>appliquer cette proposition. Pour mener à bien ses travaux, ce groupe pourrait s</w:t>
      </w:r>
      <w:r w:rsidR="003F01CD">
        <w:rPr>
          <w:lang w:val="fr-CH"/>
        </w:rPr>
        <w:t>'</w:t>
      </w:r>
      <w:r w:rsidR="00FE214C" w:rsidRPr="003F01CD">
        <w:rPr>
          <w:lang w:val="fr-CH"/>
        </w:rPr>
        <w:t>e</w:t>
      </w:r>
      <w:r w:rsidR="00D63D43">
        <w:rPr>
          <w:lang w:val="fr-CH"/>
        </w:rPr>
        <w:t>fforcer</w:t>
      </w:r>
      <w:r w:rsidR="003F01CD">
        <w:rPr>
          <w:lang w:val="fr-CH"/>
        </w:rPr>
        <w:t>:</w:t>
      </w:r>
      <w:r w:rsidR="00FE214C" w:rsidRPr="003F01CD">
        <w:rPr>
          <w:lang w:val="fr-CH"/>
        </w:rPr>
        <w:t xml:space="preserve"> </w:t>
      </w:r>
    </w:p>
    <w:p w:rsidR="00215584" w:rsidRPr="00D63D43" w:rsidRDefault="00215584" w:rsidP="00D63D43">
      <w:pPr>
        <w:pStyle w:val="enumlev1"/>
        <w:rPr>
          <w:lang w:val="fr-CH"/>
        </w:rPr>
      </w:pPr>
      <w:r w:rsidRPr="00D63D43">
        <w:rPr>
          <w:lang w:val="fr-CH"/>
        </w:rPr>
        <w:t>•</w:t>
      </w:r>
      <w:r w:rsidRPr="00D63D43">
        <w:rPr>
          <w:lang w:val="fr-CH"/>
        </w:rPr>
        <w:tab/>
      </w:r>
      <w:r w:rsidR="00D63D43" w:rsidRPr="00D63D43">
        <w:rPr>
          <w:lang w:val="fr-CH"/>
        </w:rPr>
        <w:t>d'</w:t>
      </w:r>
      <w:r w:rsidR="00FE214C" w:rsidRPr="00D63D43">
        <w:rPr>
          <w:lang w:val="fr-CH"/>
        </w:rPr>
        <w:t>analyser les avantages et inconvénients de la structure et de l</w:t>
      </w:r>
      <w:r w:rsidR="003F01CD" w:rsidRPr="00D63D43">
        <w:rPr>
          <w:lang w:val="fr-CH"/>
        </w:rPr>
        <w:t>'</w:t>
      </w:r>
      <w:r w:rsidR="00FE214C" w:rsidRPr="00D63D43">
        <w:rPr>
          <w:lang w:val="fr-CH"/>
        </w:rPr>
        <w:t>organisation actuelles des commissions d</w:t>
      </w:r>
      <w:r w:rsidR="003F01CD" w:rsidRPr="00D63D43">
        <w:rPr>
          <w:lang w:val="fr-CH"/>
        </w:rPr>
        <w:t>'</w:t>
      </w:r>
      <w:r w:rsidR="00FE214C" w:rsidRPr="00D63D43">
        <w:rPr>
          <w:lang w:val="fr-CH"/>
        </w:rPr>
        <w:t>études de l</w:t>
      </w:r>
      <w:r w:rsidR="003F01CD" w:rsidRPr="00D63D43">
        <w:rPr>
          <w:lang w:val="fr-CH"/>
        </w:rPr>
        <w:t>'</w:t>
      </w:r>
      <w:r w:rsidR="00541830" w:rsidRPr="00D63D43">
        <w:rPr>
          <w:lang w:val="fr-CH"/>
        </w:rPr>
        <w:t>UIT-T</w:t>
      </w:r>
      <w:r w:rsidR="003F01CD" w:rsidRPr="00D63D43">
        <w:rPr>
          <w:lang w:val="fr-CH"/>
        </w:rPr>
        <w:t>;</w:t>
      </w:r>
    </w:p>
    <w:p w:rsidR="00215584" w:rsidRPr="00D63D43" w:rsidRDefault="00215584" w:rsidP="00D63D43">
      <w:pPr>
        <w:pStyle w:val="enumlev1"/>
        <w:rPr>
          <w:lang w:val="fr-CH"/>
        </w:rPr>
      </w:pPr>
      <w:r w:rsidRPr="00D63D43">
        <w:rPr>
          <w:lang w:val="fr-CH"/>
        </w:rPr>
        <w:t>•</w:t>
      </w:r>
      <w:r w:rsidRPr="00D63D43">
        <w:rPr>
          <w:lang w:val="fr-CH"/>
        </w:rPr>
        <w:tab/>
      </w:r>
      <w:r w:rsidR="00D63D43" w:rsidRPr="00D63D43">
        <w:rPr>
          <w:lang w:val="fr-CH"/>
        </w:rPr>
        <w:t>d'</w:t>
      </w:r>
      <w:r w:rsidR="00FE214C" w:rsidRPr="00D63D43">
        <w:rPr>
          <w:lang w:val="fr-CH"/>
        </w:rPr>
        <w:t>évaluer les Recommandations de l</w:t>
      </w:r>
      <w:r w:rsidR="003F01CD" w:rsidRPr="00D63D43">
        <w:rPr>
          <w:lang w:val="fr-CH"/>
        </w:rPr>
        <w:t>'</w:t>
      </w:r>
      <w:r w:rsidR="00541830" w:rsidRPr="00D63D43">
        <w:rPr>
          <w:lang w:val="fr-CH"/>
        </w:rPr>
        <w:t>UIT-T</w:t>
      </w:r>
      <w:r w:rsidR="00FE214C" w:rsidRPr="00D63D43">
        <w:rPr>
          <w:lang w:val="fr-CH"/>
        </w:rPr>
        <w:t xml:space="preserve"> </w:t>
      </w:r>
      <w:r w:rsidR="00032CF8">
        <w:rPr>
          <w:lang w:val="fr-CH"/>
        </w:rPr>
        <w:t xml:space="preserve">et </w:t>
      </w:r>
      <w:r w:rsidR="00FE214C" w:rsidRPr="00D63D43">
        <w:rPr>
          <w:lang w:val="fr-CH"/>
        </w:rPr>
        <w:t xml:space="preserve">leur mise en </w:t>
      </w:r>
      <w:r w:rsidR="009E3C50" w:rsidRPr="00D63D43">
        <w:rPr>
          <w:lang w:val="fr-CH"/>
        </w:rPr>
        <w:t>oe</w:t>
      </w:r>
      <w:r w:rsidR="00FE214C" w:rsidRPr="00D63D43">
        <w:rPr>
          <w:lang w:val="fr-CH"/>
        </w:rPr>
        <w:t>uvre par les membres et le Secteur</w:t>
      </w:r>
      <w:r w:rsidR="003F01CD" w:rsidRPr="00D63D43">
        <w:rPr>
          <w:lang w:val="fr-CH"/>
        </w:rPr>
        <w:t>;</w:t>
      </w:r>
    </w:p>
    <w:p w:rsidR="00215584" w:rsidRPr="00D63D43" w:rsidRDefault="00215584" w:rsidP="00D63D43">
      <w:pPr>
        <w:pStyle w:val="enumlev1"/>
        <w:rPr>
          <w:lang w:val="fr-CH"/>
        </w:rPr>
      </w:pPr>
      <w:r w:rsidRPr="00D63D43">
        <w:rPr>
          <w:lang w:val="fr-CH"/>
        </w:rPr>
        <w:t>•</w:t>
      </w:r>
      <w:r w:rsidRPr="00D63D43">
        <w:rPr>
          <w:lang w:val="fr-CH"/>
        </w:rPr>
        <w:tab/>
      </w:r>
      <w:r w:rsidR="00D63D43" w:rsidRPr="00D63D43">
        <w:rPr>
          <w:lang w:val="fr-CH"/>
        </w:rPr>
        <w:t xml:space="preserve">de </w:t>
      </w:r>
      <w:r w:rsidR="00FE214C" w:rsidRPr="00D63D43">
        <w:rPr>
          <w:lang w:val="fr-CH"/>
        </w:rPr>
        <w:t>déterminer une restructuration optimale</w:t>
      </w:r>
      <w:r w:rsidR="003F01CD" w:rsidRPr="00D63D43">
        <w:rPr>
          <w:lang w:val="fr-CH"/>
        </w:rPr>
        <w:t>;</w:t>
      </w:r>
    </w:p>
    <w:p w:rsidR="00215584" w:rsidRPr="00D63D43" w:rsidRDefault="00215584" w:rsidP="00D63D43">
      <w:pPr>
        <w:pStyle w:val="enumlev1"/>
        <w:rPr>
          <w:lang w:val="fr-CH"/>
        </w:rPr>
      </w:pPr>
      <w:r w:rsidRPr="00D63D43">
        <w:rPr>
          <w:lang w:val="fr-CH"/>
        </w:rPr>
        <w:t>•</w:t>
      </w:r>
      <w:r w:rsidRPr="00D63D43">
        <w:rPr>
          <w:lang w:val="fr-CH"/>
        </w:rPr>
        <w:tab/>
      </w:r>
      <w:r w:rsidR="00D63D43" w:rsidRPr="00D63D43">
        <w:rPr>
          <w:lang w:val="fr-CH"/>
        </w:rPr>
        <w:t xml:space="preserve">de </w:t>
      </w:r>
      <w:r w:rsidR="00FE214C" w:rsidRPr="00D63D43">
        <w:rPr>
          <w:lang w:val="fr-CH"/>
        </w:rPr>
        <w:t>formuler d</w:t>
      </w:r>
      <w:r w:rsidR="003F01CD" w:rsidRPr="00D63D43">
        <w:rPr>
          <w:lang w:val="fr-CH"/>
        </w:rPr>
        <w:t>'</w:t>
      </w:r>
      <w:r w:rsidR="00FE214C" w:rsidRPr="00D63D43">
        <w:rPr>
          <w:lang w:val="fr-CH"/>
        </w:rPr>
        <w:t>éventuelles propositions</w:t>
      </w:r>
      <w:r w:rsidR="007319CC">
        <w:rPr>
          <w:lang w:val="fr-CH"/>
        </w:rPr>
        <w:t>.</w:t>
      </w:r>
    </w:p>
    <w:p w:rsidR="00FE214C" w:rsidRPr="003F01CD" w:rsidRDefault="00FE214C" w:rsidP="00D63D43">
      <w:pPr>
        <w:rPr>
          <w:lang w:val="fr-CH"/>
        </w:rPr>
      </w:pPr>
      <w:r w:rsidRPr="003F01CD">
        <w:rPr>
          <w:lang w:val="fr-CH"/>
        </w:rPr>
        <w:lastRenderedPageBreak/>
        <w:t>Le rapport de ce groupe de travail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sera</w:t>
      </w:r>
      <w:r w:rsidR="00D63D43">
        <w:rPr>
          <w:lang w:val="fr-CH"/>
        </w:rPr>
        <w:t>it</w:t>
      </w:r>
      <w:r w:rsidRPr="003F01CD">
        <w:rPr>
          <w:lang w:val="fr-CH"/>
        </w:rPr>
        <w:t xml:space="preserve"> transmis par le GCNT aux commissions d</w:t>
      </w:r>
      <w:r w:rsidR="003F01CD">
        <w:rPr>
          <w:lang w:val="fr-CH"/>
        </w:rPr>
        <w:t>'</w:t>
      </w:r>
      <w:r w:rsidRPr="003F01CD">
        <w:rPr>
          <w:lang w:val="fr-CH"/>
        </w:rPr>
        <w:t>études de l</w:t>
      </w:r>
      <w:r w:rsidR="003F01CD">
        <w:rPr>
          <w:lang w:val="fr-CH"/>
        </w:rPr>
        <w:t>'</w:t>
      </w:r>
      <w:r w:rsidR="00541830">
        <w:rPr>
          <w:lang w:val="fr-CH"/>
        </w:rPr>
        <w:t>UIT</w:t>
      </w:r>
      <w:r w:rsidR="00D63D43">
        <w:rPr>
          <w:lang w:val="fr-CH"/>
        </w:rPr>
        <w:noBreakHyphen/>
      </w:r>
      <w:r w:rsidR="00541830">
        <w:rPr>
          <w:lang w:val="fr-CH"/>
        </w:rPr>
        <w:t>T</w:t>
      </w:r>
      <w:r w:rsidRPr="003F01CD">
        <w:rPr>
          <w:lang w:val="fr-CH"/>
        </w:rPr>
        <w:t xml:space="preserve"> au moins un an avant l</w:t>
      </w:r>
      <w:r w:rsidR="003F01CD">
        <w:rPr>
          <w:lang w:val="fr-CH"/>
        </w:rPr>
        <w:t>'</w:t>
      </w:r>
      <w:r w:rsidR="005E5EE6">
        <w:rPr>
          <w:lang w:val="fr-CH"/>
        </w:rPr>
        <w:t>AMNT-20</w:t>
      </w:r>
      <w:r w:rsidRPr="003F01CD">
        <w:rPr>
          <w:lang w:val="fr-CH"/>
        </w:rPr>
        <w:t>, afin de recueillir leur avis et leurs observations, pour adoption éventuelle par l</w:t>
      </w:r>
      <w:r w:rsidR="003F01CD">
        <w:rPr>
          <w:lang w:val="fr-CH"/>
        </w:rPr>
        <w:t>'</w:t>
      </w:r>
      <w:r w:rsidRPr="003F01CD">
        <w:rPr>
          <w:lang w:val="fr-CH"/>
        </w:rPr>
        <w:t>AMNT-20.</w:t>
      </w:r>
    </w:p>
    <w:p w:rsidR="00215584" w:rsidRPr="003F01CD" w:rsidRDefault="00FE214C" w:rsidP="00D63D43">
      <w:pPr>
        <w:rPr>
          <w:lang w:val="fr-CH"/>
        </w:rPr>
      </w:pPr>
      <w:r w:rsidRPr="003F01CD">
        <w:rPr>
          <w:lang w:val="fr-CH"/>
        </w:rPr>
        <w:t>En outre, l</w:t>
      </w:r>
      <w:r w:rsidR="003F01CD">
        <w:rPr>
          <w:lang w:val="fr-CH"/>
        </w:rPr>
        <w:t>'</w:t>
      </w:r>
      <w:r w:rsidR="00541830">
        <w:rPr>
          <w:lang w:val="fr-CH"/>
        </w:rPr>
        <w:t>UIT-T</w:t>
      </w:r>
      <w:r w:rsidRPr="003F01CD">
        <w:rPr>
          <w:lang w:val="fr-CH"/>
        </w:rPr>
        <w:t xml:space="preserve"> invitera</w:t>
      </w:r>
      <w:r w:rsidR="00D63D43">
        <w:rPr>
          <w:lang w:val="fr-CH"/>
        </w:rPr>
        <w:t>it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les membres à faire connaître leurs vue</w:t>
      </w:r>
      <w:r w:rsidR="00D63D43">
        <w:rPr>
          <w:lang w:val="fr-CH"/>
        </w:rPr>
        <w:t>s</w:t>
      </w:r>
      <w:r w:rsidR="003F01CD">
        <w:rPr>
          <w:lang w:val="fr-CH"/>
        </w:rPr>
        <w:t xml:space="preserve"> </w:t>
      </w:r>
      <w:r w:rsidR="00D63D43">
        <w:rPr>
          <w:lang w:val="fr-CH"/>
        </w:rPr>
        <w:t>dans les mêmes délais.</w:t>
      </w:r>
    </w:p>
    <w:p w:rsidR="007B5374" w:rsidRPr="00032CF8" w:rsidRDefault="00933A97" w:rsidP="003F01CD">
      <w:pPr>
        <w:pStyle w:val="Proposal"/>
        <w:rPr>
          <w:lang w:val="fr-CH"/>
        </w:rPr>
      </w:pPr>
      <w:r w:rsidRPr="003F01CD">
        <w:rPr>
          <w:lang w:val="fr-CH"/>
        </w:rPr>
        <w:tab/>
      </w:r>
      <w:r w:rsidRPr="00032CF8">
        <w:rPr>
          <w:lang w:val="fr-CH"/>
        </w:rPr>
        <w:t>AFCP/42A32/3</w:t>
      </w:r>
    </w:p>
    <w:p w:rsidR="00AF0309" w:rsidRPr="007319CC" w:rsidRDefault="007319CC" w:rsidP="007319CC">
      <w:pPr>
        <w:spacing w:after="120"/>
        <w:rPr>
          <w:lang w:val="fr-CH"/>
        </w:rPr>
      </w:pPr>
      <w:r w:rsidRPr="00393277">
        <w:rPr>
          <w:lang w:val="fr-CH"/>
        </w:rPr>
        <w:t>Propositions concernant la restructuration des commissions d</w:t>
      </w:r>
      <w:r>
        <w:rPr>
          <w:lang w:val="fr-CH"/>
        </w:rPr>
        <w:t>'</w:t>
      </w:r>
      <w:r w:rsidRPr="00393277">
        <w:rPr>
          <w:lang w:val="fr-CH"/>
        </w:rPr>
        <w:t>études:</w:t>
      </w:r>
    </w:p>
    <w:tbl>
      <w:tblPr>
        <w:tblW w:w="96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17"/>
        <w:gridCol w:w="2410"/>
        <w:gridCol w:w="4257"/>
      </w:tblGrid>
      <w:tr w:rsidR="00AF0309" w:rsidRPr="009D7EF7" w:rsidTr="003D4CE6">
        <w:trPr>
          <w:trHeight w:val="239"/>
          <w:tblHeader/>
        </w:trPr>
        <w:tc>
          <w:tcPr>
            <w:tcW w:w="1545" w:type="dxa"/>
            <w:shd w:val="clear" w:color="auto" w:fill="auto"/>
            <w:vAlign w:val="center"/>
          </w:tcPr>
          <w:p w:rsidR="00AF0309" w:rsidRPr="003F01CD" w:rsidRDefault="00AF0309" w:rsidP="003F01CD">
            <w:pPr>
              <w:pStyle w:val="Tablehead"/>
              <w:spacing w:before="120" w:after="120"/>
              <w:rPr>
                <w:szCs w:val="22"/>
                <w:lang w:val="fr-CH" w:eastAsia="zh-CN"/>
              </w:rPr>
            </w:pPr>
            <w:r w:rsidRPr="003F01CD">
              <w:rPr>
                <w:szCs w:val="22"/>
                <w:lang w:val="fr-CH"/>
              </w:rPr>
              <w:t>C</w:t>
            </w:r>
            <w:r w:rsidR="00FE214C" w:rsidRPr="003F01CD">
              <w:rPr>
                <w:szCs w:val="22"/>
                <w:lang w:val="fr-CH"/>
              </w:rPr>
              <w:t>E actuelles de l'UIT</w:t>
            </w:r>
            <w:r w:rsidR="00FE214C" w:rsidRPr="003F01CD">
              <w:rPr>
                <w:szCs w:val="22"/>
                <w:lang w:val="fr-CH"/>
              </w:rPr>
              <w:noBreakHyphen/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309" w:rsidRPr="003F01CD" w:rsidRDefault="00CF3A25" w:rsidP="003F01CD">
            <w:pPr>
              <w:pStyle w:val="Tablehead"/>
              <w:spacing w:before="120" w:after="0"/>
              <w:rPr>
                <w:szCs w:val="22"/>
                <w:lang w:eastAsia="zh-CN"/>
              </w:rPr>
            </w:pPr>
            <w:r>
              <w:rPr>
                <w:szCs w:val="22"/>
              </w:rPr>
              <w:t>Mesure</w:t>
            </w:r>
            <w:r w:rsidR="00FE214C" w:rsidRPr="003F01CD">
              <w:rPr>
                <w:szCs w:val="22"/>
              </w:rPr>
              <w:t xml:space="preserve"> proposée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F0309" w:rsidRPr="003F01CD" w:rsidRDefault="00AF0309" w:rsidP="003F01CD">
            <w:pPr>
              <w:pStyle w:val="Tablehead"/>
              <w:spacing w:before="120" w:after="0"/>
              <w:rPr>
                <w:szCs w:val="22"/>
                <w:lang w:eastAsia="zh-CN"/>
              </w:rPr>
            </w:pPr>
            <w:r w:rsidRPr="003F01CD">
              <w:rPr>
                <w:szCs w:val="22"/>
              </w:rPr>
              <w:t>Description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AF0309" w:rsidRPr="003F01CD" w:rsidRDefault="00FE214C" w:rsidP="003F01CD">
            <w:pPr>
              <w:pStyle w:val="Tablehead"/>
              <w:spacing w:before="120" w:after="0"/>
              <w:rPr>
                <w:szCs w:val="22"/>
                <w:lang w:val="fr-CH" w:eastAsia="zh-CN"/>
              </w:rPr>
            </w:pPr>
            <w:r w:rsidRPr="003F01CD">
              <w:rPr>
                <w:szCs w:val="22"/>
                <w:lang w:val="fr-CH"/>
              </w:rPr>
              <w:t>Motifs et structure correspondante de la CE</w:t>
            </w:r>
          </w:p>
        </w:tc>
      </w:tr>
      <w:tr w:rsidR="00AF0309" w:rsidRPr="003F01CD" w:rsidTr="003D4CE6">
        <w:trPr>
          <w:trHeight w:val="239"/>
        </w:trPr>
        <w:tc>
          <w:tcPr>
            <w:tcW w:w="1545" w:type="dxa"/>
            <w:shd w:val="clear" w:color="auto" w:fill="auto"/>
            <w:vAlign w:val="center"/>
          </w:tcPr>
          <w:p w:rsidR="00AF0309" w:rsidRPr="003F01CD" w:rsidRDefault="00FE214C" w:rsidP="003F01CD">
            <w:pPr>
              <w:pStyle w:val="Tabletext"/>
              <w:spacing w:before="120" w:after="120"/>
              <w:jc w:val="center"/>
              <w:rPr>
                <w:b/>
                <w:bCs/>
                <w:lang w:eastAsia="zh-CN"/>
              </w:rPr>
            </w:pPr>
            <w:r w:rsidRPr="003F01CD">
              <w:rPr>
                <w:b/>
                <w:bCs/>
                <w:lang w:eastAsia="zh-CN"/>
              </w:rPr>
              <w:t>CGNT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309" w:rsidRPr="003F01CD" w:rsidRDefault="00AF0309" w:rsidP="003F01CD">
            <w:pPr>
              <w:pStyle w:val="Tabletext"/>
              <w:spacing w:before="120" w:after="0"/>
              <w:jc w:val="center"/>
              <w:rPr>
                <w:lang w:eastAsia="zh-CN"/>
              </w:rPr>
            </w:pPr>
            <w:r w:rsidRPr="003F01CD">
              <w:rPr>
                <w:lang w:eastAsia="zh-CN"/>
              </w:rPr>
              <w:t>NOC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F0309" w:rsidRPr="003F01CD" w:rsidRDefault="00AF0309" w:rsidP="003F01CD">
            <w:pPr>
              <w:pStyle w:val="Tabletext"/>
              <w:spacing w:before="120" w:after="0"/>
              <w:jc w:val="center"/>
              <w:rPr>
                <w:lang w:eastAsia="zh-CN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 w:rsidR="00AF0309" w:rsidRPr="003F01CD" w:rsidRDefault="00AF0309" w:rsidP="003F01CD">
            <w:pPr>
              <w:pStyle w:val="Default"/>
              <w:tabs>
                <w:tab w:val="left" w:pos="155"/>
              </w:tabs>
              <w:spacing w:before="120"/>
              <w:rPr>
                <w:sz w:val="22"/>
                <w:szCs w:val="22"/>
                <w:lang w:val="en-GB" w:eastAsia="zh-CN"/>
              </w:rPr>
            </w:pPr>
          </w:p>
        </w:tc>
      </w:tr>
      <w:tr w:rsidR="00FE214C" w:rsidRPr="009D7EF7" w:rsidTr="003D4CE6">
        <w:trPr>
          <w:trHeight w:val="796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:rsidR="00FE214C" w:rsidRPr="003F01CD" w:rsidRDefault="00FE214C" w:rsidP="003F01CD">
            <w:pPr>
              <w:pStyle w:val="Tabletext"/>
              <w:spacing w:before="120" w:after="120"/>
              <w:jc w:val="center"/>
              <w:rPr>
                <w:b/>
                <w:bCs/>
                <w:lang w:eastAsia="zh-CN"/>
              </w:rPr>
            </w:pPr>
            <w:r w:rsidRPr="003F01CD">
              <w:rPr>
                <w:b/>
                <w:bCs/>
                <w:lang w:eastAsia="zh-CN"/>
              </w:rPr>
              <w:t>CE 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214C" w:rsidRPr="00A76689" w:rsidRDefault="00FE214C" w:rsidP="00A76689">
            <w:pPr>
              <w:pStyle w:val="Tabletext"/>
              <w:spacing w:before="120" w:after="0"/>
              <w:jc w:val="center"/>
              <w:rPr>
                <w:lang w:val="fr-CH" w:eastAsia="zh-CN"/>
              </w:rPr>
            </w:pPr>
            <w:r w:rsidRPr="00A76689">
              <w:rPr>
                <w:lang w:val="fr-CH" w:eastAsia="zh-CN"/>
              </w:rPr>
              <w:t>Option 1</w:t>
            </w:r>
            <w:r w:rsidR="003F01CD" w:rsidRPr="00A76689">
              <w:rPr>
                <w:lang w:val="fr-CH" w:eastAsia="zh-CN"/>
              </w:rPr>
              <w:t>:</w:t>
            </w:r>
            <w:r w:rsidR="00A76689" w:rsidRPr="00A76689">
              <w:rPr>
                <w:lang w:val="fr-CH" w:eastAsia="zh-CN"/>
              </w:rPr>
              <w:br/>
            </w:r>
            <w:r w:rsidRPr="00A76689">
              <w:rPr>
                <w:lang w:val="fr-CH" w:eastAsia="zh-CN"/>
              </w:rPr>
              <w:t>SUP GT2/2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14C" w:rsidRPr="003F01CD" w:rsidRDefault="00FE214C" w:rsidP="003F01CD">
            <w:pPr>
              <w:pStyle w:val="Tabletext"/>
              <w:spacing w:before="120" w:after="0"/>
              <w:jc w:val="center"/>
              <w:rPr>
                <w:lang w:val="fr-CH" w:eastAsia="zh-CN"/>
              </w:rPr>
            </w:pPr>
            <w:r w:rsidRPr="003F01CD">
              <w:rPr>
                <w:lang w:val="fr-CH" w:eastAsia="zh-CN"/>
              </w:rPr>
              <w:t>Transférer le</w:t>
            </w:r>
            <w:r w:rsidR="003F01CD" w:rsidRPr="003F01CD">
              <w:rPr>
                <w:lang w:val="fr-CH" w:eastAsia="zh-CN"/>
              </w:rPr>
              <w:t xml:space="preserve"> </w:t>
            </w:r>
            <w:r w:rsidRPr="003F01CD">
              <w:rPr>
                <w:lang w:val="fr-CH" w:eastAsia="zh-CN"/>
              </w:rPr>
              <w:t>GT2/2 à la CE</w:t>
            </w:r>
            <w:r w:rsidR="007319CC">
              <w:rPr>
                <w:lang w:val="fr-CH" w:eastAsia="zh-CN"/>
              </w:rPr>
              <w:t xml:space="preserve"> </w:t>
            </w:r>
            <w:r w:rsidRPr="003F01CD">
              <w:rPr>
                <w:lang w:val="fr-CH" w:eastAsia="zh-CN"/>
              </w:rPr>
              <w:t>13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FE214C" w:rsidRPr="003F01CD" w:rsidRDefault="00FE214C" w:rsidP="003F01CD">
            <w:pPr>
              <w:pStyle w:val="Tabletext"/>
              <w:spacing w:before="120" w:after="0"/>
              <w:jc w:val="center"/>
              <w:rPr>
                <w:lang w:val="fr-CH" w:eastAsia="zh-CN"/>
              </w:rPr>
            </w:pPr>
            <w:r w:rsidRPr="003F01CD">
              <w:rPr>
                <w:lang w:val="fr-CH" w:eastAsia="zh-CN"/>
              </w:rPr>
              <w:t>La CE</w:t>
            </w:r>
            <w:r w:rsidR="007319CC">
              <w:rPr>
                <w:lang w:val="fr-CH" w:eastAsia="zh-CN"/>
              </w:rPr>
              <w:t xml:space="preserve"> </w:t>
            </w:r>
            <w:r w:rsidRPr="003F01CD">
              <w:rPr>
                <w:lang w:val="fr-CH" w:eastAsia="zh-CN"/>
              </w:rPr>
              <w:t>2 s</w:t>
            </w:r>
            <w:r w:rsidR="003F01CD" w:rsidRPr="003F01CD">
              <w:rPr>
                <w:lang w:val="fr-CH" w:eastAsia="zh-CN"/>
              </w:rPr>
              <w:t>'</w:t>
            </w:r>
            <w:r w:rsidRPr="003F01CD">
              <w:rPr>
                <w:lang w:val="fr-CH" w:eastAsia="zh-CN"/>
              </w:rPr>
              <w:t>occupera essentiellement des ressources de numérotage, de nommage, d'adressage et d'identification (NNAI)</w:t>
            </w:r>
            <w:r w:rsidR="00CF3A25">
              <w:rPr>
                <w:lang w:val="fr-CH" w:eastAsia="zh-CN"/>
              </w:rPr>
              <w:t>.</w:t>
            </w:r>
          </w:p>
        </w:tc>
      </w:tr>
      <w:tr w:rsidR="00FE214C" w:rsidRPr="009D7EF7" w:rsidTr="003D4CE6">
        <w:trPr>
          <w:trHeight w:val="556"/>
        </w:trPr>
        <w:tc>
          <w:tcPr>
            <w:tcW w:w="1545" w:type="dxa"/>
            <w:vMerge/>
            <w:shd w:val="clear" w:color="auto" w:fill="auto"/>
            <w:vAlign w:val="center"/>
          </w:tcPr>
          <w:p w:rsidR="00FE214C" w:rsidRPr="003F01CD" w:rsidRDefault="00FE214C" w:rsidP="003F01CD">
            <w:pPr>
              <w:pStyle w:val="Tabletext"/>
              <w:spacing w:before="120" w:after="120"/>
              <w:jc w:val="center"/>
              <w:rPr>
                <w:b/>
                <w:bCs/>
                <w:lang w:val="fr-CH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E214C" w:rsidRPr="003F01CD" w:rsidRDefault="00FE214C" w:rsidP="00A76689">
            <w:pPr>
              <w:pStyle w:val="Tabletext"/>
              <w:spacing w:before="120" w:after="0"/>
              <w:jc w:val="center"/>
              <w:rPr>
                <w:lang w:eastAsia="zh-CN"/>
              </w:rPr>
            </w:pPr>
            <w:r w:rsidRPr="003F01CD">
              <w:rPr>
                <w:lang w:eastAsia="zh-CN"/>
              </w:rPr>
              <w:t>Option 2</w:t>
            </w:r>
            <w:r w:rsidR="003F01CD">
              <w:rPr>
                <w:lang w:eastAsia="zh-CN"/>
              </w:rPr>
              <w:t>:</w:t>
            </w:r>
            <w:r w:rsidR="00A76689">
              <w:rPr>
                <w:lang w:eastAsia="zh-CN"/>
              </w:rPr>
              <w:br/>
            </w:r>
            <w:r w:rsidRPr="003F01CD">
              <w:rPr>
                <w:lang w:eastAsia="zh-CN"/>
              </w:rPr>
              <w:t>NOC GT2/2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14C" w:rsidRPr="003F01CD" w:rsidRDefault="00FE214C" w:rsidP="003F01CD">
            <w:pPr>
              <w:pStyle w:val="Tabletext"/>
              <w:spacing w:before="120" w:after="0"/>
              <w:jc w:val="center"/>
              <w:rPr>
                <w:lang w:val="fr-CH" w:eastAsia="zh-CN"/>
              </w:rPr>
            </w:pPr>
            <w:r w:rsidRPr="003F01CD">
              <w:rPr>
                <w:lang w:val="fr-CH" w:eastAsia="zh-CN"/>
              </w:rPr>
              <w:t>Maintenir le GT2/2 sous sa forme actuelle</w:t>
            </w:r>
            <w:r w:rsidR="003F01CD" w:rsidRPr="003F01CD">
              <w:rPr>
                <w:lang w:val="fr-CH" w:eastAsia="zh-CN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FE214C" w:rsidRPr="003F01CD" w:rsidRDefault="00FE214C" w:rsidP="003F01CD">
            <w:pPr>
              <w:pStyle w:val="Tabletext"/>
              <w:spacing w:before="120" w:after="0"/>
              <w:jc w:val="center"/>
              <w:rPr>
                <w:lang w:val="fr-CH" w:eastAsia="zh-CN"/>
              </w:rPr>
            </w:pPr>
            <w:r w:rsidRPr="003F01CD">
              <w:rPr>
                <w:lang w:val="fr-CH" w:eastAsia="zh-CN"/>
              </w:rPr>
              <w:t>Le GT2/2 s</w:t>
            </w:r>
            <w:r w:rsidR="003F01CD" w:rsidRPr="003F01CD">
              <w:rPr>
                <w:lang w:val="fr-CH" w:eastAsia="zh-CN"/>
              </w:rPr>
              <w:t>'</w:t>
            </w:r>
            <w:r w:rsidRPr="003F01CD">
              <w:rPr>
                <w:lang w:val="fr-CH" w:eastAsia="zh-CN"/>
              </w:rPr>
              <w:t>occupe des aspects opérationnels, conformément au mandat de la</w:t>
            </w:r>
            <w:r w:rsidR="003F01CD">
              <w:rPr>
                <w:lang w:val="fr-CH" w:eastAsia="zh-CN"/>
              </w:rPr>
              <w:t xml:space="preserve"> </w:t>
            </w:r>
            <w:r w:rsidRPr="003F01CD">
              <w:rPr>
                <w:lang w:val="fr-CH" w:eastAsia="zh-CN"/>
              </w:rPr>
              <w:t>CE</w:t>
            </w:r>
            <w:r w:rsidR="007319CC">
              <w:rPr>
                <w:lang w:val="fr-CH" w:eastAsia="zh-CN"/>
              </w:rPr>
              <w:t xml:space="preserve"> </w:t>
            </w:r>
            <w:r w:rsidRPr="003F01CD">
              <w:rPr>
                <w:lang w:val="fr-CH" w:eastAsia="zh-CN"/>
              </w:rPr>
              <w:t>2</w:t>
            </w:r>
            <w:r w:rsidR="00CF3A25">
              <w:rPr>
                <w:lang w:val="fr-CH" w:eastAsia="zh-CN"/>
              </w:rPr>
              <w:t>.</w:t>
            </w:r>
          </w:p>
        </w:tc>
      </w:tr>
      <w:tr w:rsidR="00FE214C" w:rsidRPr="009D7EF7" w:rsidTr="003D4CE6">
        <w:trPr>
          <w:trHeight w:val="353"/>
        </w:trPr>
        <w:tc>
          <w:tcPr>
            <w:tcW w:w="1545" w:type="dxa"/>
            <w:vMerge/>
            <w:shd w:val="clear" w:color="auto" w:fill="auto"/>
            <w:vAlign w:val="center"/>
          </w:tcPr>
          <w:p w:rsidR="00FE214C" w:rsidRPr="003F01CD" w:rsidRDefault="00FE214C" w:rsidP="003F01CD">
            <w:pPr>
              <w:pStyle w:val="Tabletext"/>
              <w:spacing w:before="120" w:after="120"/>
              <w:jc w:val="center"/>
              <w:rPr>
                <w:b/>
                <w:bCs/>
                <w:lang w:val="fr-CH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E214C" w:rsidRPr="003F01CD" w:rsidRDefault="00FE214C" w:rsidP="003F01CD">
            <w:pPr>
              <w:pStyle w:val="Tabletext"/>
              <w:spacing w:before="120" w:after="0"/>
              <w:jc w:val="center"/>
              <w:rPr>
                <w:lang w:eastAsia="zh-CN"/>
              </w:rPr>
            </w:pPr>
            <w:r w:rsidRPr="003F01CD">
              <w:rPr>
                <w:lang w:eastAsia="zh-CN"/>
              </w:rPr>
              <w:t>SUP Q4/2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14C" w:rsidRPr="007319CC" w:rsidRDefault="00FE214C" w:rsidP="003F01CD">
            <w:pPr>
              <w:pStyle w:val="Tabletext"/>
              <w:spacing w:before="120" w:after="0"/>
              <w:jc w:val="center"/>
              <w:rPr>
                <w:lang w:val="fr-CH" w:eastAsia="zh-CN"/>
              </w:rPr>
            </w:pPr>
            <w:r w:rsidRPr="007319CC">
              <w:rPr>
                <w:lang w:val="fr-CH" w:eastAsia="zh-CN"/>
              </w:rPr>
              <w:t>Confier la Question 4/2 à la CE</w:t>
            </w:r>
            <w:r w:rsidR="007319CC" w:rsidRPr="007319CC">
              <w:rPr>
                <w:lang w:val="fr-CH" w:eastAsia="zh-CN"/>
              </w:rPr>
              <w:t xml:space="preserve"> </w:t>
            </w:r>
            <w:r w:rsidRPr="007319CC">
              <w:rPr>
                <w:lang w:val="fr-CH" w:eastAsia="zh-CN"/>
              </w:rPr>
              <w:t>16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FE214C" w:rsidRPr="003F01CD" w:rsidRDefault="00FE214C" w:rsidP="00CF3A25">
            <w:pPr>
              <w:pStyle w:val="Tabletext"/>
              <w:spacing w:before="120" w:after="0"/>
              <w:jc w:val="center"/>
              <w:rPr>
                <w:lang w:val="fr-CH" w:eastAsia="zh-CN"/>
              </w:rPr>
            </w:pPr>
            <w:r w:rsidRPr="003F01CD">
              <w:rPr>
                <w:lang w:val="fr-CH" w:eastAsia="zh-CN"/>
              </w:rPr>
              <w:t>L</w:t>
            </w:r>
            <w:r w:rsidR="003F01CD" w:rsidRPr="003F01CD">
              <w:rPr>
                <w:lang w:val="fr-CH" w:eastAsia="zh-CN"/>
              </w:rPr>
              <w:t>'</w:t>
            </w:r>
            <w:r w:rsidRPr="003F01CD">
              <w:rPr>
                <w:lang w:val="fr-CH" w:eastAsia="zh-CN"/>
              </w:rPr>
              <w:t>étude des facteurs humains sera confiée à la</w:t>
            </w:r>
            <w:r w:rsidR="003F01CD">
              <w:rPr>
                <w:lang w:val="fr-CH" w:eastAsia="zh-CN"/>
              </w:rPr>
              <w:t xml:space="preserve"> </w:t>
            </w:r>
            <w:r w:rsidR="005E5EE6">
              <w:rPr>
                <w:lang w:val="fr-CH" w:eastAsia="zh-CN"/>
              </w:rPr>
              <w:t>CE</w:t>
            </w:r>
            <w:r w:rsidR="007319CC">
              <w:rPr>
                <w:lang w:val="fr-CH" w:eastAsia="zh-CN"/>
              </w:rPr>
              <w:t xml:space="preserve"> </w:t>
            </w:r>
            <w:r w:rsidR="005E5EE6">
              <w:rPr>
                <w:lang w:val="fr-CH" w:eastAsia="zh-CN"/>
              </w:rPr>
              <w:t>16</w:t>
            </w:r>
            <w:r w:rsidRPr="003F01CD">
              <w:rPr>
                <w:lang w:val="fr-CH" w:eastAsia="zh-CN"/>
              </w:rPr>
              <w:t>, mais au titre d</w:t>
            </w:r>
            <w:r w:rsidR="003F01CD" w:rsidRPr="003F01CD">
              <w:rPr>
                <w:lang w:val="fr-CH" w:eastAsia="zh-CN"/>
              </w:rPr>
              <w:t>'</w:t>
            </w:r>
            <w:r w:rsidRPr="003F01CD">
              <w:rPr>
                <w:lang w:val="fr-CH" w:eastAsia="zh-CN"/>
              </w:rPr>
              <w:t xml:space="preserve">une Question distincte </w:t>
            </w:r>
            <w:r w:rsidR="00CF3A25">
              <w:rPr>
                <w:lang w:val="fr-CH" w:eastAsia="zh-CN"/>
              </w:rPr>
              <w:t>celle</w:t>
            </w:r>
            <w:r w:rsidRPr="003F01CD">
              <w:rPr>
                <w:lang w:val="fr-CH" w:eastAsia="zh-CN"/>
              </w:rPr>
              <w:t xml:space="preserve"> relative à l</w:t>
            </w:r>
            <w:r w:rsidR="003F01CD" w:rsidRPr="003F01CD">
              <w:rPr>
                <w:lang w:val="fr-CH" w:eastAsia="zh-CN"/>
              </w:rPr>
              <w:t>'</w:t>
            </w:r>
            <w:r w:rsidRPr="003F01CD">
              <w:rPr>
                <w:lang w:val="fr-CH" w:eastAsia="zh-CN"/>
              </w:rPr>
              <w:t>accessibilité.</w:t>
            </w:r>
          </w:p>
        </w:tc>
      </w:tr>
      <w:tr w:rsidR="00FE214C" w:rsidRPr="009D7EF7" w:rsidTr="003D4CE6">
        <w:trPr>
          <w:trHeight w:val="239"/>
        </w:trPr>
        <w:tc>
          <w:tcPr>
            <w:tcW w:w="1545" w:type="dxa"/>
            <w:shd w:val="clear" w:color="auto" w:fill="auto"/>
            <w:vAlign w:val="center"/>
          </w:tcPr>
          <w:p w:rsidR="00FE214C" w:rsidRPr="003F01CD" w:rsidRDefault="00FE214C" w:rsidP="003F01CD">
            <w:pPr>
              <w:pStyle w:val="Tabletext"/>
              <w:spacing w:before="120" w:after="120"/>
              <w:jc w:val="center"/>
              <w:rPr>
                <w:b/>
                <w:bCs/>
                <w:lang w:eastAsia="zh-CN"/>
              </w:rPr>
            </w:pPr>
            <w:r w:rsidRPr="003F01CD">
              <w:rPr>
                <w:b/>
                <w:bCs/>
                <w:lang w:eastAsia="zh-CN"/>
              </w:rPr>
              <w:t>CE 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eastAsia="zh-CN"/>
              </w:rPr>
            </w:pPr>
            <w:r w:rsidRPr="003F01CD">
              <w:rPr>
                <w:sz w:val="20"/>
                <w:lang w:eastAsia="zh-CN"/>
              </w:rPr>
              <w:t>NOC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 w:rsidR="00FE214C" w:rsidRPr="003F01CD" w:rsidRDefault="00FE214C" w:rsidP="003F01CD">
            <w:pPr>
              <w:tabs>
                <w:tab w:val="left" w:pos="155"/>
              </w:tabs>
              <w:spacing w:before="20" w:after="20"/>
              <w:rPr>
                <w:sz w:val="20"/>
                <w:lang w:val="fr-CH" w:eastAsia="zh-CN"/>
              </w:rPr>
            </w:pPr>
            <w:r w:rsidRPr="003F01CD">
              <w:rPr>
                <w:sz w:val="20"/>
                <w:lang w:val="fr-CH" w:eastAsia="zh-CN"/>
              </w:rPr>
              <w:t>Commission</w:t>
            </w:r>
            <w:r w:rsidR="003F01CD">
              <w:rPr>
                <w:sz w:val="20"/>
                <w:lang w:val="fr-CH" w:eastAsia="zh-CN"/>
              </w:rPr>
              <w:t xml:space="preserve"> </w:t>
            </w:r>
            <w:r w:rsidRPr="003F01CD">
              <w:rPr>
                <w:sz w:val="20"/>
                <w:lang w:val="fr-CH" w:eastAsia="zh-CN"/>
              </w:rPr>
              <w:t>d</w:t>
            </w:r>
            <w:r w:rsidR="003F01CD" w:rsidRPr="003F01CD">
              <w:rPr>
                <w:sz w:val="20"/>
                <w:lang w:val="fr-CH" w:eastAsia="zh-CN"/>
              </w:rPr>
              <w:t>'</w:t>
            </w:r>
            <w:r w:rsidRPr="003F01CD">
              <w:rPr>
                <w:sz w:val="20"/>
                <w:lang w:val="fr-CH" w:eastAsia="zh-CN"/>
              </w:rPr>
              <w:t>études stable présentant une importance considérable pour les pays en développement</w:t>
            </w:r>
            <w:r w:rsidR="00CF3A25">
              <w:rPr>
                <w:sz w:val="20"/>
                <w:lang w:val="fr-CH" w:eastAsia="zh-CN"/>
              </w:rPr>
              <w:t>.</w:t>
            </w:r>
          </w:p>
        </w:tc>
      </w:tr>
      <w:tr w:rsidR="00FE214C" w:rsidRPr="009D7EF7" w:rsidTr="003D4CE6">
        <w:trPr>
          <w:trHeight w:val="225"/>
        </w:trPr>
        <w:tc>
          <w:tcPr>
            <w:tcW w:w="1545" w:type="dxa"/>
            <w:shd w:val="clear" w:color="auto" w:fill="auto"/>
            <w:vAlign w:val="center"/>
          </w:tcPr>
          <w:p w:rsidR="00FE214C" w:rsidRPr="003F01CD" w:rsidRDefault="00FE214C" w:rsidP="003F01CD">
            <w:pPr>
              <w:pStyle w:val="Tabletext"/>
              <w:spacing w:before="120" w:after="120"/>
              <w:jc w:val="center"/>
              <w:rPr>
                <w:b/>
                <w:bCs/>
                <w:lang w:eastAsia="zh-CN"/>
              </w:rPr>
            </w:pPr>
            <w:r w:rsidRPr="003F01CD">
              <w:rPr>
                <w:b/>
                <w:bCs/>
                <w:lang w:eastAsia="zh-CN"/>
              </w:rPr>
              <w:t>CE 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eastAsia="zh-CN"/>
              </w:rPr>
            </w:pPr>
            <w:r w:rsidRPr="003F01CD">
              <w:rPr>
                <w:sz w:val="20"/>
                <w:lang w:eastAsia="zh-CN"/>
              </w:rPr>
              <w:t>NOC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 w:rsidR="00FE214C" w:rsidRPr="003F01CD" w:rsidRDefault="00FE214C" w:rsidP="003F01CD">
            <w:pPr>
              <w:tabs>
                <w:tab w:val="left" w:pos="155"/>
              </w:tabs>
              <w:spacing w:before="20" w:after="20"/>
              <w:rPr>
                <w:sz w:val="20"/>
                <w:lang w:val="fr-CH" w:eastAsia="zh-CN"/>
              </w:rPr>
            </w:pPr>
            <w:r w:rsidRPr="003F01CD">
              <w:rPr>
                <w:sz w:val="20"/>
                <w:lang w:val="fr-CH" w:eastAsia="zh-CN"/>
              </w:rPr>
              <w:t>Commission</w:t>
            </w:r>
            <w:r w:rsidR="003F01CD">
              <w:rPr>
                <w:sz w:val="20"/>
                <w:lang w:val="fr-CH" w:eastAsia="zh-CN"/>
              </w:rPr>
              <w:t xml:space="preserve"> </w:t>
            </w:r>
            <w:r w:rsidRPr="003F01CD">
              <w:rPr>
                <w:sz w:val="20"/>
                <w:lang w:val="fr-CH" w:eastAsia="zh-CN"/>
              </w:rPr>
              <w:t>d</w:t>
            </w:r>
            <w:r w:rsidR="003F01CD" w:rsidRPr="003F01CD">
              <w:rPr>
                <w:sz w:val="20"/>
                <w:lang w:val="fr-CH" w:eastAsia="zh-CN"/>
              </w:rPr>
              <w:t>'</w:t>
            </w:r>
            <w:r w:rsidRPr="003F01CD">
              <w:rPr>
                <w:sz w:val="20"/>
                <w:lang w:val="fr-CH" w:eastAsia="zh-CN"/>
              </w:rPr>
              <w:t>études stable présentant une importance considérable pour les pays en développement</w:t>
            </w:r>
            <w:r w:rsidR="00CF3A25">
              <w:rPr>
                <w:sz w:val="20"/>
                <w:lang w:val="fr-CH" w:eastAsia="zh-CN"/>
              </w:rPr>
              <w:t>.</w:t>
            </w:r>
          </w:p>
        </w:tc>
      </w:tr>
      <w:tr w:rsidR="00FE214C" w:rsidRPr="009D7EF7" w:rsidTr="003D4CE6">
        <w:trPr>
          <w:trHeight w:val="863"/>
        </w:trPr>
        <w:tc>
          <w:tcPr>
            <w:tcW w:w="1545" w:type="dxa"/>
            <w:shd w:val="clear" w:color="auto" w:fill="auto"/>
            <w:vAlign w:val="center"/>
          </w:tcPr>
          <w:p w:rsidR="00FE214C" w:rsidRPr="003F01CD" w:rsidRDefault="00FE214C" w:rsidP="003F01CD">
            <w:pPr>
              <w:pStyle w:val="Tabletext"/>
              <w:spacing w:before="120" w:after="120"/>
              <w:jc w:val="center"/>
              <w:rPr>
                <w:b/>
                <w:bCs/>
                <w:lang w:eastAsia="zh-CN"/>
              </w:rPr>
            </w:pPr>
            <w:r w:rsidRPr="003F01CD">
              <w:rPr>
                <w:b/>
                <w:bCs/>
                <w:lang w:eastAsia="zh-CN"/>
              </w:rPr>
              <w:t>CE 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eastAsia="zh-CN"/>
              </w:rPr>
            </w:pPr>
            <w:r w:rsidRPr="003F01CD">
              <w:rPr>
                <w:sz w:val="20"/>
                <w:lang w:eastAsia="zh-CN"/>
              </w:rPr>
              <w:t>MOD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val="fr-CH" w:eastAsia="zh-CN"/>
              </w:rPr>
            </w:pPr>
            <w:r w:rsidRPr="003F01CD">
              <w:rPr>
                <w:sz w:val="20"/>
                <w:lang w:val="fr-CH" w:eastAsia="zh-CN"/>
              </w:rPr>
              <w:t>Transférer les Questions relatives à la qualité de service à la</w:t>
            </w:r>
            <w:r w:rsidR="003F01CD">
              <w:rPr>
                <w:sz w:val="20"/>
                <w:lang w:val="fr-CH" w:eastAsia="zh-CN"/>
              </w:rPr>
              <w:t xml:space="preserve"> </w:t>
            </w:r>
            <w:r w:rsidRPr="003F01CD">
              <w:rPr>
                <w:sz w:val="20"/>
                <w:lang w:val="fr-CH" w:eastAsia="zh-CN"/>
              </w:rPr>
              <w:t>CE</w:t>
            </w:r>
            <w:r w:rsidR="007319CC">
              <w:rPr>
                <w:sz w:val="20"/>
                <w:lang w:val="fr-CH" w:eastAsia="zh-CN"/>
              </w:rPr>
              <w:t xml:space="preserve"> </w:t>
            </w:r>
            <w:r w:rsidRPr="003F01CD">
              <w:rPr>
                <w:sz w:val="20"/>
                <w:lang w:val="fr-CH" w:eastAsia="zh-CN"/>
              </w:rPr>
              <w:t>12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FE214C" w:rsidRPr="003F01CD" w:rsidRDefault="00FE214C" w:rsidP="00E66F59">
            <w:pPr>
              <w:tabs>
                <w:tab w:val="left" w:pos="155"/>
              </w:tabs>
              <w:spacing w:before="20" w:after="20"/>
              <w:rPr>
                <w:sz w:val="20"/>
                <w:lang w:val="fr-CH" w:eastAsia="zh-CN"/>
              </w:rPr>
            </w:pPr>
            <w:r w:rsidRPr="003F01CD">
              <w:rPr>
                <w:sz w:val="20"/>
                <w:lang w:val="fr-CH" w:eastAsia="zh-CN"/>
              </w:rPr>
              <w:t xml:space="preserve">Les </w:t>
            </w:r>
            <w:r w:rsidR="00E66F59">
              <w:rPr>
                <w:sz w:val="20"/>
                <w:lang w:val="fr-CH" w:eastAsia="zh-CN"/>
              </w:rPr>
              <w:t>Questions</w:t>
            </w:r>
            <w:r w:rsidRPr="003F01CD">
              <w:rPr>
                <w:sz w:val="20"/>
                <w:lang w:val="fr-CH" w:eastAsia="zh-CN"/>
              </w:rPr>
              <w:t xml:space="preserve"> relat</w:t>
            </w:r>
            <w:r w:rsidR="00E66F59">
              <w:rPr>
                <w:sz w:val="20"/>
                <w:lang w:val="fr-CH" w:eastAsia="zh-CN"/>
              </w:rPr>
              <w:t>ive</w:t>
            </w:r>
            <w:r w:rsidRPr="003F01CD">
              <w:rPr>
                <w:sz w:val="20"/>
                <w:lang w:val="fr-CH" w:eastAsia="zh-CN"/>
              </w:rPr>
              <w:t>s</w:t>
            </w:r>
            <w:r w:rsidR="003F01CD">
              <w:rPr>
                <w:sz w:val="20"/>
                <w:lang w:val="fr-CH" w:eastAsia="zh-CN"/>
              </w:rPr>
              <w:t xml:space="preserve"> </w:t>
            </w:r>
            <w:r w:rsidRPr="003F01CD">
              <w:rPr>
                <w:sz w:val="20"/>
                <w:lang w:val="fr-CH" w:eastAsia="zh-CN"/>
              </w:rPr>
              <w:t>à la qualité de service devraient être étudié</w:t>
            </w:r>
            <w:r w:rsidR="00E66F59">
              <w:rPr>
                <w:sz w:val="20"/>
                <w:lang w:val="fr-CH" w:eastAsia="zh-CN"/>
              </w:rPr>
              <w:t>e</w:t>
            </w:r>
            <w:r w:rsidRPr="003F01CD">
              <w:rPr>
                <w:sz w:val="20"/>
                <w:lang w:val="fr-CH" w:eastAsia="zh-CN"/>
              </w:rPr>
              <w:t>s par la CE 12,</w:t>
            </w:r>
            <w:r w:rsidR="003F01CD">
              <w:rPr>
                <w:sz w:val="20"/>
                <w:lang w:val="fr-CH" w:eastAsia="zh-CN"/>
              </w:rPr>
              <w:t xml:space="preserve"> </w:t>
            </w:r>
            <w:r w:rsidR="00E66F59">
              <w:rPr>
                <w:sz w:val="20"/>
                <w:lang w:val="fr-CH" w:eastAsia="zh-CN"/>
              </w:rPr>
              <w:t xml:space="preserve">lorsque les thèmes liés à </w:t>
            </w:r>
            <w:r w:rsidRPr="003F01CD">
              <w:rPr>
                <w:sz w:val="20"/>
                <w:lang w:val="fr-CH" w:eastAsia="zh-CN"/>
              </w:rPr>
              <w:t xml:space="preserve">la qualité de service </w:t>
            </w:r>
            <w:r w:rsidR="00E66F59">
              <w:rPr>
                <w:sz w:val="20"/>
                <w:lang w:val="fr-CH" w:eastAsia="zh-CN"/>
              </w:rPr>
              <w:t>relèvent</w:t>
            </w:r>
            <w:r w:rsidRPr="003F01CD">
              <w:rPr>
                <w:sz w:val="20"/>
                <w:lang w:val="fr-CH" w:eastAsia="zh-CN"/>
              </w:rPr>
              <w:t xml:space="preserve"> </w:t>
            </w:r>
            <w:r w:rsidR="00E66F59">
              <w:rPr>
                <w:sz w:val="20"/>
                <w:lang w:val="fr-CH" w:eastAsia="zh-CN"/>
              </w:rPr>
              <w:t xml:space="preserve">de la compétence </w:t>
            </w:r>
            <w:r w:rsidRPr="003F01CD">
              <w:rPr>
                <w:sz w:val="20"/>
                <w:lang w:val="fr-CH" w:eastAsia="zh-CN"/>
              </w:rPr>
              <w:t>de cette commission d</w:t>
            </w:r>
            <w:r w:rsidR="003F01CD" w:rsidRPr="003F01CD">
              <w:rPr>
                <w:sz w:val="20"/>
                <w:lang w:val="fr-CH" w:eastAsia="zh-CN"/>
              </w:rPr>
              <w:t>'</w:t>
            </w:r>
            <w:r w:rsidRPr="003F01CD">
              <w:rPr>
                <w:sz w:val="20"/>
                <w:lang w:val="fr-CH" w:eastAsia="zh-CN"/>
              </w:rPr>
              <w:t>études</w:t>
            </w:r>
            <w:r w:rsidR="00CF3A25">
              <w:rPr>
                <w:sz w:val="20"/>
                <w:lang w:val="fr-CH" w:eastAsia="zh-CN"/>
              </w:rPr>
              <w:t>.</w:t>
            </w:r>
          </w:p>
        </w:tc>
      </w:tr>
      <w:tr w:rsidR="00FE214C" w:rsidRPr="009D7EF7" w:rsidTr="003D4CE6">
        <w:trPr>
          <w:trHeight w:val="863"/>
        </w:trPr>
        <w:tc>
          <w:tcPr>
            <w:tcW w:w="1545" w:type="dxa"/>
            <w:shd w:val="clear" w:color="auto" w:fill="auto"/>
            <w:vAlign w:val="center"/>
          </w:tcPr>
          <w:p w:rsidR="00FE214C" w:rsidRPr="003F01CD" w:rsidRDefault="00FE214C" w:rsidP="003F01CD">
            <w:pPr>
              <w:pStyle w:val="Tabletext"/>
              <w:spacing w:before="120" w:after="120"/>
              <w:jc w:val="center"/>
              <w:rPr>
                <w:b/>
                <w:bCs/>
                <w:lang w:eastAsia="zh-CN"/>
              </w:rPr>
            </w:pPr>
            <w:r w:rsidRPr="003F01CD">
              <w:rPr>
                <w:b/>
                <w:bCs/>
                <w:lang w:eastAsia="zh-CN"/>
              </w:rPr>
              <w:t>CE 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eastAsia="zh-CN"/>
              </w:rPr>
            </w:pPr>
            <w:r w:rsidRPr="003F01CD">
              <w:rPr>
                <w:sz w:val="20"/>
                <w:lang w:eastAsia="zh-CN"/>
              </w:rPr>
              <w:t>NOC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 w:rsidR="00FE214C" w:rsidRPr="003F01CD" w:rsidRDefault="00FE214C" w:rsidP="003F01CD">
            <w:pPr>
              <w:tabs>
                <w:tab w:val="left" w:pos="155"/>
              </w:tabs>
              <w:spacing w:before="20" w:after="20"/>
              <w:rPr>
                <w:sz w:val="20"/>
                <w:lang w:val="fr-CH" w:eastAsia="zh-CN"/>
              </w:rPr>
            </w:pPr>
            <w:r w:rsidRPr="003F01CD">
              <w:rPr>
                <w:sz w:val="20"/>
                <w:lang w:val="fr-CH" w:eastAsia="zh-CN"/>
              </w:rPr>
              <w:t>Cette commission d</w:t>
            </w:r>
            <w:r w:rsidR="003F01CD" w:rsidRPr="003F01CD">
              <w:rPr>
                <w:sz w:val="20"/>
                <w:lang w:val="fr-CH" w:eastAsia="zh-CN"/>
              </w:rPr>
              <w:t>'</w:t>
            </w:r>
            <w:r w:rsidRPr="003F01CD">
              <w:rPr>
                <w:sz w:val="20"/>
                <w:lang w:val="fr-CH" w:eastAsia="zh-CN"/>
              </w:rPr>
              <w:t>études est importante et devrait être maintenue, en particulier en ce qui concerne les aspects relatifs à la conformité et à l</w:t>
            </w:r>
            <w:r w:rsidR="003F01CD" w:rsidRPr="003F01CD">
              <w:rPr>
                <w:sz w:val="20"/>
                <w:lang w:val="fr-CH" w:eastAsia="zh-CN"/>
              </w:rPr>
              <w:t>'</w:t>
            </w:r>
            <w:r w:rsidRPr="003F01CD">
              <w:rPr>
                <w:sz w:val="20"/>
                <w:lang w:val="fr-CH" w:eastAsia="zh-CN"/>
              </w:rPr>
              <w:t>interopérabilité ainsi qu</w:t>
            </w:r>
            <w:r w:rsidR="003F01CD" w:rsidRPr="003F01CD">
              <w:rPr>
                <w:sz w:val="20"/>
                <w:lang w:val="fr-CH" w:eastAsia="zh-CN"/>
              </w:rPr>
              <w:t>'</w:t>
            </w:r>
            <w:r w:rsidRPr="003F01CD">
              <w:rPr>
                <w:sz w:val="20"/>
                <w:lang w:val="fr-CH" w:eastAsia="zh-CN"/>
              </w:rPr>
              <w:t xml:space="preserve">à la contrefaçon. </w:t>
            </w:r>
          </w:p>
          <w:p w:rsidR="00FE214C" w:rsidRPr="003F01CD" w:rsidRDefault="00FE214C" w:rsidP="007319CC">
            <w:pPr>
              <w:tabs>
                <w:tab w:val="left" w:pos="155"/>
              </w:tabs>
              <w:spacing w:before="20" w:after="20"/>
              <w:rPr>
                <w:sz w:val="20"/>
                <w:lang w:val="fr-CH" w:eastAsia="zh-CN"/>
              </w:rPr>
            </w:pPr>
            <w:r w:rsidRPr="003F01CD">
              <w:rPr>
                <w:sz w:val="20"/>
                <w:lang w:val="fr-CH" w:eastAsia="zh-CN"/>
              </w:rPr>
              <w:t>Organisation de réunions en parallèle avec la</w:t>
            </w:r>
            <w:r w:rsidR="003F01CD">
              <w:rPr>
                <w:sz w:val="20"/>
                <w:lang w:val="fr-CH" w:eastAsia="zh-CN"/>
              </w:rPr>
              <w:t xml:space="preserve"> </w:t>
            </w:r>
            <w:r w:rsidRPr="003F01CD">
              <w:rPr>
                <w:sz w:val="20"/>
                <w:lang w:val="fr-CH" w:eastAsia="zh-CN"/>
              </w:rPr>
              <w:t>CE</w:t>
            </w:r>
            <w:r w:rsidR="007319CC">
              <w:rPr>
                <w:sz w:val="20"/>
                <w:lang w:val="fr-CH" w:eastAsia="zh-CN"/>
              </w:rPr>
              <w:t> </w:t>
            </w:r>
            <w:r w:rsidRPr="003F01CD">
              <w:rPr>
                <w:sz w:val="20"/>
                <w:lang w:val="fr-CH" w:eastAsia="zh-CN"/>
              </w:rPr>
              <w:t>13.</w:t>
            </w:r>
          </w:p>
        </w:tc>
      </w:tr>
      <w:tr w:rsidR="00FE214C" w:rsidRPr="009D7EF7" w:rsidTr="003D4CE6">
        <w:trPr>
          <w:trHeight w:val="863"/>
        </w:trPr>
        <w:tc>
          <w:tcPr>
            <w:tcW w:w="1545" w:type="dxa"/>
            <w:shd w:val="clear" w:color="auto" w:fill="auto"/>
            <w:vAlign w:val="center"/>
          </w:tcPr>
          <w:p w:rsidR="00FE214C" w:rsidRPr="003F01CD" w:rsidRDefault="00FE214C" w:rsidP="003F01CD">
            <w:pPr>
              <w:pStyle w:val="Tabletext"/>
              <w:spacing w:before="120" w:after="120"/>
              <w:jc w:val="center"/>
              <w:rPr>
                <w:b/>
                <w:bCs/>
                <w:lang w:eastAsia="zh-CN"/>
              </w:rPr>
            </w:pPr>
            <w:r w:rsidRPr="003F01CD">
              <w:rPr>
                <w:b/>
                <w:bCs/>
                <w:lang w:eastAsia="zh-CN"/>
              </w:rPr>
              <w:t>CE 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eastAsia="zh-CN"/>
              </w:rPr>
            </w:pPr>
            <w:r w:rsidRPr="003F01CD">
              <w:rPr>
                <w:sz w:val="20"/>
                <w:lang w:eastAsia="zh-CN"/>
              </w:rPr>
              <w:t>MOD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val="fr-CH" w:eastAsia="zh-CN"/>
              </w:rPr>
            </w:pPr>
            <w:r w:rsidRPr="003F01CD">
              <w:rPr>
                <w:sz w:val="20"/>
                <w:lang w:val="fr-CH" w:eastAsia="zh-CN"/>
              </w:rPr>
              <w:t>Confier à la CE 12 l</w:t>
            </w:r>
            <w:r w:rsidR="003F01CD" w:rsidRPr="003F01CD">
              <w:rPr>
                <w:sz w:val="20"/>
                <w:lang w:val="fr-CH" w:eastAsia="zh-CN"/>
              </w:rPr>
              <w:t>'</w:t>
            </w:r>
            <w:r w:rsidRPr="003F01CD">
              <w:rPr>
                <w:sz w:val="20"/>
                <w:lang w:val="fr-CH" w:eastAsia="zh-CN"/>
              </w:rPr>
              <w:t xml:space="preserve">étude des </w:t>
            </w:r>
            <w:r w:rsidR="00E66F59" w:rsidRPr="003F01CD">
              <w:rPr>
                <w:sz w:val="20"/>
                <w:lang w:val="fr-CH" w:eastAsia="zh-CN"/>
              </w:rPr>
              <w:t>Q</w:t>
            </w:r>
            <w:r w:rsidRPr="003F01CD">
              <w:rPr>
                <w:sz w:val="20"/>
                <w:lang w:val="fr-CH" w:eastAsia="zh-CN"/>
              </w:rPr>
              <w:t>uestions relatives à la qualité de service qui relevaient de la CE9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FE214C" w:rsidRPr="00CF3A25" w:rsidRDefault="00FE214C" w:rsidP="003F01CD">
            <w:pPr>
              <w:tabs>
                <w:tab w:val="left" w:pos="155"/>
              </w:tabs>
              <w:spacing w:before="20" w:after="20"/>
              <w:rPr>
                <w:sz w:val="20"/>
                <w:lang w:val="fr-CH" w:eastAsia="zh-CN"/>
              </w:rPr>
            </w:pPr>
            <w:r w:rsidRPr="00CF3A25">
              <w:rPr>
                <w:sz w:val="20"/>
                <w:lang w:val="fr-CH" w:eastAsia="zh-CN"/>
              </w:rPr>
              <w:t>Tenir compte de toutes les questions liées à la qualité de service</w:t>
            </w:r>
            <w:r w:rsidR="00CF3A25" w:rsidRPr="00CF3A25">
              <w:rPr>
                <w:sz w:val="20"/>
                <w:lang w:val="fr-CH" w:eastAsia="zh-CN"/>
              </w:rPr>
              <w:t>.</w:t>
            </w:r>
          </w:p>
        </w:tc>
      </w:tr>
      <w:tr w:rsidR="00FE214C" w:rsidRPr="009D7EF7" w:rsidTr="003D4CE6">
        <w:trPr>
          <w:trHeight w:val="780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:rsidR="00FE214C" w:rsidRPr="003F01CD" w:rsidRDefault="00FE214C" w:rsidP="003F01CD">
            <w:pPr>
              <w:pStyle w:val="Tabletext"/>
              <w:spacing w:before="120" w:after="120"/>
              <w:jc w:val="center"/>
              <w:rPr>
                <w:b/>
                <w:bCs/>
                <w:lang w:eastAsia="zh-CN"/>
              </w:rPr>
            </w:pPr>
            <w:r w:rsidRPr="003F01CD">
              <w:rPr>
                <w:b/>
                <w:bCs/>
                <w:lang w:val="fr-CH" w:eastAsia="zh-CN"/>
              </w:rPr>
              <w:br w:type="page"/>
            </w:r>
            <w:r w:rsidRPr="003F01CD">
              <w:rPr>
                <w:b/>
                <w:bCs/>
                <w:lang w:eastAsia="zh-CN"/>
              </w:rPr>
              <w:t>CE 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eastAsia="zh-CN"/>
              </w:rPr>
            </w:pPr>
            <w:r w:rsidRPr="003F01CD">
              <w:rPr>
                <w:sz w:val="20"/>
                <w:lang w:eastAsia="zh-CN"/>
              </w:rPr>
              <w:t>MOD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val="fr-CH" w:eastAsia="zh-CN"/>
              </w:rPr>
            </w:pPr>
            <w:r w:rsidRPr="003F01CD">
              <w:rPr>
                <w:sz w:val="20"/>
                <w:lang w:val="fr-CH" w:eastAsia="zh-CN"/>
              </w:rPr>
              <w:t>Option 1</w:t>
            </w:r>
            <w:r w:rsidR="003F01CD">
              <w:rPr>
                <w:sz w:val="20"/>
                <w:lang w:val="fr-CH" w:eastAsia="zh-CN"/>
              </w:rPr>
              <w:t>:</w:t>
            </w:r>
            <w:r w:rsidRPr="003F01CD">
              <w:rPr>
                <w:sz w:val="20"/>
                <w:lang w:val="fr-CH" w:eastAsia="zh-CN"/>
              </w:rPr>
              <w:t xml:space="preserve"> ajouter les Questions traitées par le</w:t>
            </w:r>
            <w:r w:rsidR="003F01CD">
              <w:rPr>
                <w:sz w:val="20"/>
                <w:lang w:val="fr-CH" w:eastAsia="zh-CN"/>
              </w:rPr>
              <w:t xml:space="preserve"> </w:t>
            </w:r>
            <w:r w:rsidRPr="003F01CD">
              <w:rPr>
                <w:sz w:val="20"/>
                <w:lang w:val="fr-CH" w:eastAsia="zh-CN"/>
              </w:rPr>
              <w:t xml:space="preserve">GT2/2 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FE214C" w:rsidRPr="003F01CD" w:rsidRDefault="00FE214C" w:rsidP="00E66F59">
            <w:pPr>
              <w:tabs>
                <w:tab w:val="left" w:pos="155"/>
              </w:tabs>
              <w:spacing w:before="20" w:after="20"/>
              <w:rPr>
                <w:sz w:val="20"/>
                <w:lang w:val="fr-CH" w:eastAsia="zh-CN"/>
              </w:rPr>
            </w:pPr>
            <w:r w:rsidRPr="003F01CD">
              <w:rPr>
                <w:sz w:val="20"/>
                <w:lang w:val="fr-CH" w:eastAsia="zh-CN"/>
              </w:rPr>
              <w:t>La CE</w:t>
            </w:r>
            <w:r w:rsidR="007319CC">
              <w:rPr>
                <w:sz w:val="20"/>
                <w:lang w:val="fr-CH" w:eastAsia="zh-CN"/>
              </w:rPr>
              <w:t xml:space="preserve"> </w:t>
            </w:r>
            <w:r w:rsidRPr="003F01CD">
              <w:rPr>
                <w:sz w:val="20"/>
                <w:lang w:val="fr-CH" w:eastAsia="zh-CN"/>
              </w:rPr>
              <w:t xml:space="preserve">13 </w:t>
            </w:r>
            <w:r w:rsidR="00E66F59">
              <w:rPr>
                <w:sz w:val="20"/>
                <w:lang w:val="fr-CH" w:eastAsia="zh-CN"/>
              </w:rPr>
              <w:t>assumera les</w:t>
            </w:r>
            <w:r w:rsidRPr="003F01CD">
              <w:rPr>
                <w:sz w:val="20"/>
                <w:lang w:val="fr-CH" w:eastAsia="zh-CN"/>
              </w:rPr>
              <w:t xml:space="preserve"> fonction</w:t>
            </w:r>
            <w:r w:rsidR="00E66F59">
              <w:rPr>
                <w:sz w:val="20"/>
                <w:lang w:val="fr-CH" w:eastAsia="zh-CN"/>
              </w:rPr>
              <w:t>s de commission</w:t>
            </w:r>
            <w:r w:rsidRPr="003F01CD">
              <w:rPr>
                <w:sz w:val="20"/>
                <w:lang w:val="fr-CH" w:eastAsia="zh-CN"/>
              </w:rPr>
              <w:t xml:space="preserve"> d</w:t>
            </w:r>
            <w:r w:rsidR="003F01CD" w:rsidRPr="003F01CD">
              <w:rPr>
                <w:sz w:val="20"/>
                <w:lang w:val="fr-CH" w:eastAsia="zh-CN"/>
              </w:rPr>
              <w:t>'</w:t>
            </w:r>
            <w:r w:rsidRPr="003F01CD">
              <w:rPr>
                <w:sz w:val="20"/>
                <w:lang w:val="fr-CH" w:eastAsia="zh-CN"/>
              </w:rPr>
              <w:t>étude</w:t>
            </w:r>
            <w:r w:rsidR="00E66F59">
              <w:rPr>
                <w:sz w:val="20"/>
                <w:lang w:val="fr-CH" w:eastAsia="zh-CN"/>
              </w:rPr>
              <w:t>s</w:t>
            </w:r>
            <w:r w:rsidRPr="003F01CD">
              <w:rPr>
                <w:sz w:val="20"/>
                <w:lang w:val="fr-CH" w:eastAsia="zh-CN"/>
              </w:rPr>
              <w:t xml:space="preserve"> directrice pour la gestion des réseaux, existants et futurs</w:t>
            </w:r>
            <w:r w:rsidR="003F01CD">
              <w:rPr>
                <w:sz w:val="20"/>
                <w:lang w:val="fr-CH" w:eastAsia="zh-CN"/>
              </w:rPr>
              <w:t>.</w:t>
            </w:r>
          </w:p>
        </w:tc>
      </w:tr>
      <w:tr w:rsidR="00FE214C" w:rsidRPr="003F01CD" w:rsidTr="003D4CE6">
        <w:trPr>
          <w:trHeight w:val="283"/>
        </w:trPr>
        <w:tc>
          <w:tcPr>
            <w:tcW w:w="1545" w:type="dxa"/>
            <w:vMerge/>
            <w:shd w:val="clear" w:color="auto" w:fill="auto"/>
            <w:vAlign w:val="center"/>
          </w:tcPr>
          <w:p w:rsidR="00FE214C" w:rsidRPr="003F01CD" w:rsidRDefault="00FE214C" w:rsidP="003F01CD">
            <w:pPr>
              <w:pStyle w:val="Tabletext"/>
              <w:spacing w:before="120" w:after="120"/>
              <w:jc w:val="center"/>
              <w:rPr>
                <w:b/>
                <w:bCs/>
                <w:lang w:val="fr-CH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eastAsia="zh-CN"/>
              </w:rPr>
            </w:pPr>
            <w:r w:rsidRPr="003F01CD">
              <w:rPr>
                <w:sz w:val="20"/>
                <w:lang w:eastAsia="zh-CN"/>
              </w:rPr>
              <w:t>NOC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eastAsia="zh-CN"/>
              </w:rPr>
            </w:pPr>
            <w:r w:rsidRPr="003F01CD">
              <w:rPr>
                <w:sz w:val="20"/>
                <w:lang w:eastAsia="zh-CN"/>
              </w:rPr>
              <w:t>Option 2</w:t>
            </w:r>
            <w:r w:rsidR="003F01CD">
              <w:rPr>
                <w:sz w:val="20"/>
                <w:lang w:eastAsia="zh-CN"/>
              </w:rPr>
              <w:t>:</w:t>
            </w:r>
            <w:r w:rsidRPr="003F01CD">
              <w:rPr>
                <w:sz w:val="20"/>
                <w:lang w:eastAsia="zh-CN"/>
              </w:rPr>
              <w:t>NOC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FE214C" w:rsidRPr="003F01CD" w:rsidRDefault="00FE214C" w:rsidP="003F01CD">
            <w:pPr>
              <w:tabs>
                <w:tab w:val="left" w:pos="155"/>
              </w:tabs>
              <w:spacing w:before="20" w:after="20"/>
              <w:rPr>
                <w:sz w:val="20"/>
                <w:lang w:eastAsia="zh-CN"/>
              </w:rPr>
            </w:pPr>
          </w:p>
        </w:tc>
      </w:tr>
      <w:tr w:rsidR="00FE214C" w:rsidRPr="003F01CD" w:rsidTr="003D4CE6">
        <w:trPr>
          <w:trHeight w:val="540"/>
        </w:trPr>
        <w:tc>
          <w:tcPr>
            <w:tcW w:w="1545" w:type="dxa"/>
            <w:shd w:val="clear" w:color="auto" w:fill="auto"/>
            <w:vAlign w:val="center"/>
          </w:tcPr>
          <w:p w:rsidR="00FE214C" w:rsidRPr="003F01CD" w:rsidRDefault="00FE214C" w:rsidP="003F01CD">
            <w:pPr>
              <w:pStyle w:val="Tabletext"/>
              <w:spacing w:before="120" w:after="120"/>
              <w:jc w:val="center"/>
              <w:rPr>
                <w:b/>
                <w:bCs/>
                <w:lang w:eastAsia="zh-CN"/>
              </w:rPr>
            </w:pPr>
            <w:r w:rsidRPr="003F01CD">
              <w:rPr>
                <w:b/>
                <w:bCs/>
                <w:lang w:eastAsia="zh-CN"/>
              </w:rPr>
              <w:t>CE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eastAsia="zh-CN"/>
              </w:rPr>
            </w:pPr>
            <w:r w:rsidRPr="003F01CD">
              <w:rPr>
                <w:sz w:val="20"/>
                <w:lang w:eastAsia="zh-CN"/>
              </w:rPr>
              <w:t>NOC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 w:rsidR="00FE214C" w:rsidRPr="003F01CD" w:rsidRDefault="00FE214C" w:rsidP="003F01CD">
            <w:pPr>
              <w:tabs>
                <w:tab w:val="left" w:pos="155"/>
              </w:tabs>
              <w:spacing w:before="20" w:after="20"/>
              <w:rPr>
                <w:sz w:val="20"/>
                <w:lang w:eastAsia="zh-CN"/>
              </w:rPr>
            </w:pPr>
          </w:p>
        </w:tc>
      </w:tr>
      <w:tr w:rsidR="00FE214C" w:rsidRPr="009D7EF7" w:rsidTr="003D4CE6">
        <w:trPr>
          <w:trHeight w:val="406"/>
        </w:trPr>
        <w:tc>
          <w:tcPr>
            <w:tcW w:w="1545" w:type="dxa"/>
            <w:shd w:val="clear" w:color="auto" w:fill="auto"/>
            <w:vAlign w:val="center"/>
          </w:tcPr>
          <w:p w:rsidR="00FE214C" w:rsidRPr="003F01CD" w:rsidRDefault="00FE214C" w:rsidP="003F01CD">
            <w:pPr>
              <w:pStyle w:val="Tabletext"/>
              <w:spacing w:before="120" w:after="120"/>
              <w:jc w:val="center"/>
              <w:rPr>
                <w:b/>
                <w:bCs/>
                <w:lang w:eastAsia="zh-CN"/>
              </w:rPr>
            </w:pPr>
            <w:r w:rsidRPr="003F01CD">
              <w:rPr>
                <w:b/>
                <w:bCs/>
                <w:lang w:eastAsia="zh-CN"/>
              </w:rPr>
              <w:t>CE 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eastAsia="zh-CN"/>
              </w:rPr>
            </w:pPr>
            <w:r w:rsidRPr="003F01CD">
              <w:rPr>
                <w:sz w:val="20"/>
                <w:lang w:eastAsia="zh-CN"/>
              </w:rPr>
              <w:t>MOD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val="fr-CH" w:eastAsia="zh-CN"/>
              </w:rPr>
            </w:pPr>
            <w:r w:rsidRPr="003F01CD">
              <w:rPr>
                <w:sz w:val="20"/>
                <w:lang w:val="fr-CH" w:eastAsia="zh-CN"/>
              </w:rPr>
              <w:t>Confier à la CE</w:t>
            </w:r>
            <w:r w:rsidR="007319CC">
              <w:rPr>
                <w:sz w:val="20"/>
                <w:lang w:val="fr-CH" w:eastAsia="zh-CN"/>
              </w:rPr>
              <w:t xml:space="preserve"> </w:t>
            </w:r>
            <w:r w:rsidRPr="003F01CD">
              <w:rPr>
                <w:sz w:val="20"/>
                <w:lang w:val="fr-CH" w:eastAsia="zh-CN"/>
              </w:rPr>
              <w:t>16 l</w:t>
            </w:r>
            <w:r w:rsidR="003F01CD" w:rsidRPr="003F01CD">
              <w:rPr>
                <w:sz w:val="20"/>
                <w:lang w:val="fr-CH" w:eastAsia="zh-CN"/>
              </w:rPr>
              <w:t>'</w:t>
            </w:r>
            <w:r w:rsidRPr="003F01CD">
              <w:rPr>
                <w:sz w:val="20"/>
                <w:lang w:val="fr-CH" w:eastAsia="zh-CN"/>
              </w:rPr>
              <w:t>étude de la Question</w:t>
            </w:r>
            <w:r w:rsidR="003F01CD">
              <w:rPr>
                <w:sz w:val="20"/>
                <w:lang w:val="fr-CH" w:eastAsia="zh-CN"/>
              </w:rPr>
              <w:t xml:space="preserve"> </w:t>
            </w:r>
            <w:r w:rsidRPr="003F01CD">
              <w:rPr>
                <w:sz w:val="20"/>
                <w:lang w:val="fr-CH" w:eastAsia="zh-CN"/>
              </w:rPr>
              <w:t>4/2 qui relevait de la CE</w:t>
            </w:r>
            <w:r w:rsidR="007319CC">
              <w:rPr>
                <w:sz w:val="20"/>
                <w:lang w:val="fr-CH" w:eastAsia="zh-CN"/>
              </w:rPr>
              <w:t xml:space="preserve"> </w:t>
            </w:r>
            <w:r w:rsidRPr="003F01CD">
              <w:rPr>
                <w:sz w:val="20"/>
                <w:lang w:val="fr-CH" w:eastAsia="zh-CN"/>
              </w:rPr>
              <w:t>2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FE214C" w:rsidRPr="003F01CD" w:rsidRDefault="00FE214C" w:rsidP="003F01CD">
            <w:pPr>
              <w:tabs>
                <w:tab w:val="left" w:pos="155"/>
              </w:tabs>
              <w:spacing w:before="20" w:after="20"/>
              <w:rPr>
                <w:sz w:val="20"/>
                <w:lang w:val="fr-CH" w:eastAsia="zh-CN"/>
              </w:rPr>
            </w:pPr>
            <w:r w:rsidRPr="003F01CD">
              <w:rPr>
                <w:sz w:val="20"/>
                <w:lang w:val="fr-CH" w:eastAsia="zh-CN"/>
              </w:rPr>
              <w:t>S</w:t>
            </w:r>
            <w:r w:rsidR="003F01CD" w:rsidRPr="003F01CD">
              <w:rPr>
                <w:sz w:val="20"/>
                <w:lang w:val="fr-CH" w:eastAsia="zh-CN"/>
              </w:rPr>
              <w:t>'</w:t>
            </w:r>
            <w:r w:rsidRPr="003F01CD">
              <w:rPr>
                <w:sz w:val="20"/>
                <w:lang w:val="fr-CH" w:eastAsia="zh-CN"/>
              </w:rPr>
              <w:t>occupe de la gestion de la mobilité, des questions d</w:t>
            </w:r>
            <w:r w:rsidR="003F01CD" w:rsidRPr="003F01CD">
              <w:rPr>
                <w:sz w:val="20"/>
                <w:lang w:val="fr-CH" w:eastAsia="zh-CN"/>
              </w:rPr>
              <w:t>'</w:t>
            </w:r>
            <w:r w:rsidRPr="003F01CD">
              <w:rPr>
                <w:sz w:val="20"/>
                <w:lang w:val="fr-CH" w:eastAsia="zh-CN"/>
              </w:rPr>
              <w:t>accessibilité ainsi que des facteurs humains.</w:t>
            </w:r>
            <w:r w:rsidR="003F01CD">
              <w:rPr>
                <w:sz w:val="20"/>
                <w:lang w:val="fr-CH" w:eastAsia="zh-CN"/>
              </w:rPr>
              <w:t xml:space="preserve"> </w:t>
            </w:r>
          </w:p>
        </w:tc>
      </w:tr>
      <w:tr w:rsidR="00FE214C" w:rsidRPr="009D7EF7" w:rsidTr="003D4CE6">
        <w:trPr>
          <w:trHeight w:val="425"/>
        </w:trPr>
        <w:tc>
          <w:tcPr>
            <w:tcW w:w="1545" w:type="dxa"/>
            <w:shd w:val="clear" w:color="auto" w:fill="auto"/>
            <w:vAlign w:val="center"/>
          </w:tcPr>
          <w:p w:rsidR="00FE214C" w:rsidRPr="003F01CD" w:rsidRDefault="00FE214C" w:rsidP="003F01CD">
            <w:pPr>
              <w:pStyle w:val="Tabletext"/>
              <w:spacing w:before="120" w:after="120"/>
              <w:jc w:val="center"/>
              <w:rPr>
                <w:b/>
                <w:bCs/>
                <w:lang w:eastAsia="zh-CN"/>
              </w:rPr>
            </w:pPr>
            <w:r w:rsidRPr="003F01CD">
              <w:rPr>
                <w:b/>
                <w:bCs/>
                <w:lang w:eastAsia="zh-CN"/>
              </w:rPr>
              <w:t>CE 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eastAsia="zh-CN"/>
              </w:rPr>
            </w:pPr>
            <w:r w:rsidRPr="003F01CD">
              <w:rPr>
                <w:sz w:val="20"/>
                <w:lang w:eastAsia="zh-CN"/>
              </w:rPr>
              <w:t>NOC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 w:rsidR="00FE214C" w:rsidRPr="003F01CD" w:rsidRDefault="00FE214C" w:rsidP="003F01CD">
            <w:pPr>
              <w:tabs>
                <w:tab w:val="left" w:pos="155"/>
              </w:tabs>
              <w:spacing w:before="20" w:after="20"/>
              <w:rPr>
                <w:sz w:val="20"/>
                <w:lang w:val="fr-CH" w:eastAsia="zh-CN"/>
              </w:rPr>
            </w:pPr>
            <w:r w:rsidRPr="003F01CD">
              <w:rPr>
                <w:sz w:val="20"/>
                <w:lang w:val="fr-CH" w:eastAsia="zh-CN"/>
              </w:rPr>
              <w:t>Commission</w:t>
            </w:r>
            <w:r w:rsidR="003F01CD">
              <w:rPr>
                <w:sz w:val="20"/>
                <w:lang w:val="fr-CH" w:eastAsia="zh-CN"/>
              </w:rPr>
              <w:t xml:space="preserve"> </w:t>
            </w:r>
            <w:r w:rsidRPr="003F01CD">
              <w:rPr>
                <w:sz w:val="20"/>
                <w:lang w:val="fr-CH" w:eastAsia="zh-CN"/>
              </w:rPr>
              <w:t>d</w:t>
            </w:r>
            <w:r w:rsidR="003F01CD" w:rsidRPr="003F01CD">
              <w:rPr>
                <w:sz w:val="20"/>
                <w:lang w:val="fr-CH" w:eastAsia="zh-CN"/>
              </w:rPr>
              <w:t>'</w:t>
            </w:r>
            <w:r w:rsidRPr="003F01CD">
              <w:rPr>
                <w:sz w:val="20"/>
                <w:lang w:val="fr-CH" w:eastAsia="zh-CN"/>
              </w:rPr>
              <w:t>études stable présentant une importance considérable pour les pays en développement</w:t>
            </w:r>
            <w:r w:rsidR="007319CC">
              <w:rPr>
                <w:sz w:val="20"/>
                <w:lang w:val="fr-CH" w:eastAsia="zh-CN"/>
              </w:rPr>
              <w:t>.</w:t>
            </w:r>
          </w:p>
        </w:tc>
      </w:tr>
      <w:tr w:rsidR="00FE214C" w:rsidRPr="009D7EF7" w:rsidTr="003D4CE6">
        <w:trPr>
          <w:trHeight w:val="425"/>
        </w:trPr>
        <w:tc>
          <w:tcPr>
            <w:tcW w:w="1545" w:type="dxa"/>
            <w:shd w:val="clear" w:color="auto" w:fill="auto"/>
            <w:vAlign w:val="center"/>
          </w:tcPr>
          <w:p w:rsidR="00FE214C" w:rsidRPr="003F01CD" w:rsidRDefault="00FE214C" w:rsidP="003F01CD">
            <w:pPr>
              <w:pStyle w:val="Tabletext"/>
              <w:spacing w:before="120" w:after="120"/>
              <w:jc w:val="center"/>
              <w:rPr>
                <w:b/>
                <w:bCs/>
                <w:lang w:eastAsia="zh-CN"/>
              </w:rPr>
            </w:pPr>
            <w:r w:rsidRPr="003F01CD">
              <w:rPr>
                <w:b/>
                <w:bCs/>
                <w:lang w:eastAsia="zh-CN"/>
              </w:rPr>
              <w:lastRenderedPageBreak/>
              <w:t>CE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eastAsia="zh-CN"/>
              </w:rPr>
            </w:pPr>
            <w:r w:rsidRPr="003F01CD">
              <w:rPr>
                <w:sz w:val="20"/>
                <w:lang w:eastAsia="zh-CN"/>
              </w:rPr>
              <w:t>NOC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14C" w:rsidRPr="003F01CD" w:rsidRDefault="00FE214C" w:rsidP="003F01CD">
            <w:pPr>
              <w:spacing w:before="20" w:after="20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 w:rsidR="00FE214C" w:rsidRPr="003F01CD" w:rsidRDefault="00E66F59" w:rsidP="003F01CD">
            <w:pPr>
              <w:tabs>
                <w:tab w:val="left" w:pos="155"/>
              </w:tabs>
              <w:spacing w:before="20" w:after="20"/>
              <w:rPr>
                <w:sz w:val="20"/>
                <w:lang w:val="fr-CH" w:eastAsia="zh-CN"/>
              </w:rPr>
            </w:pPr>
            <w:r>
              <w:rPr>
                <w:sz w:val="20"/>
                <w:lang w:val="fr-CH" w:eastAsia="zh-CN"/>
              </w:rPr>
              <w:t>Les E</w:t>
            </w:r>
            <w:r w:rsidR="00FE214C" w:rsidRPr="003F01CD">
              <w:rPr>
                <w:sz w:val="20"/>
                <w:lang w:val="fr-CH" w:eastAsia="zh-CN"/>
              </w:rPr>
              <w:t>tats Membres africains appuient la création de la CE</w:t>
            </w:r>
            <w:r w:rsidR="007319CC">
              <w:rPr>
                <w:sz w:val="20"/>
                <w:lang w:val="fr-CH" w:eastAsia="zh-CN"/>
              </w:rPr>
              <w:t xml:space="preserve"> </w:t>
            </w:r>
            <w:r w:rsidR="00FE214C" w:rsidRPr="003F01CD">
              <w:rPr>
                <w:sz w:val="20"/>
                <w:lang w:val="fr-CH" w:eastAsia="zh-CN"/>
              </w:rPr>
              <w:t>20, les Questions qui lui ont été attribuées et le mandat qui lui a été confié, et estiment que cette Question revêt</w:t>
            </w:r>
            <w:r w:rsidR="003F01CD" w:rsidRPr="003F01CD">
              <w:rPr>
                <w:sz w:val="20"/>
                <w:lang w:val="fr-CH" w:eastAsia="zh-CN"/>
              </w:rPr>
              <w:t xml:space="preserve"> </w:t>
            </w:r>
            <w:r w:rsidR="00FE214C" w:rsidRPr="003F01CD">
              <w:rPr>
                <w:sz w:val="20"/>
                <w:lang w:val="fr-CH" w:eastAsia="zh-CN"/>
              </w:rPr>
              <w:t>une importance considérable pour les pays en développement.</w:t>
            </w:r>
            <w:r w:rsidR="003F01CD" w:rsidRPr="003F01CD">
              <w:rPr>
                <w:sz w:val="20"/>
                <w:lang w:val="fr-CH" w:eastAsia="zh-CN"/>
              </w:rPr>
              <w:t xml:space="preserve"> </w:t>
            </w:r>
          </w:p>
        </w:tc>
      </w:tr>
    </w:tbl>
    <w:p w:rsidR="009D7EF7" w:rsidRDefault="009D7EF7" w:rsidP="009D7EF7">
      <w:pPr>
        <w:pStyle w:val="Reasons"/>
        <w:rPr>
          <w:lang w:val="fr-CH"/>
        </w:rPr>
      </w:pPr>
      <w:bookmarkStart w:id="0" w:name="_GoBack"/>
      <w:bookmarkEnd w:id="0"/>
    </w:p>
    <w:p w:rsidR="00AF0309" w:rsidRPr="003F01CD" w:rsidRDefault="00AF0309" w:rsidP="003F01CD">
      <w:pPr>
        <w:pStyle w:val="Heading1"/>
        <w:rPr>
          <w:lang w:val="fr-CH"/>
        </w:rPr>
      </w:pPr>
      <w:r w:rsidRPr="003F01CD">
        <w:rPr>
          <w:lang w:val="fr-CH"/>
        </w:rPr>
        <w:t>3</w:t>
      </w:r>
      <w:r w:rsidRPr="003F01CD">
        <w:rPr>
          <w:lang w:val="fr-CH"/>
        </w:rPr>
        <w:tab/>
      </w:r>
      <w:r w:rsidR="00FE214C" w:rsidRPr="003F01CD">
        <w:rPr>
          <w:rFonts w:eastAsia="Times New Roman"/>
          <w:lang w:val="fr-CH"/>
        </w:rPr>
        <w:t>Comité d'examen (</w:t>
      </w:r>
      <w:r w:rsidRPr="003F01CD">
        <w:rPr>
          <w:lang w:val="fr-CH"/>
        </w:rPr>
        <w:t>RevCom</w:t>
      </w:r>
      <w:r w:rsidR="00FE214C" w:rsidRPr="003F01CD">
        <w:rPr>
          <w:lang w:val="fr-CH"/>
        </w:rPr>
        <w:t>)</w:t>
      </w:r>
    </w:p>
    <w:p w:rsidR="00AF0309" w:rsidRPr="003F01CD" w:rsidRDefault="00D72882" w:rsidP="00603D5B">
      <w:pPr>
        <w:rPr>
          <w:rFonts w:hAnsi="Times New Roman Bold"/>
          <w:b/>
          <w:lang w:val="fr-CH"/>
        </w:rPr>
      </w:pPr>
      <w:r>
        <w:rPr>
          <w:noProof/>
          <w:lang w:val="fr-CH"/>
        </w:rPr>
        <w:t>E</w:t>
      </w:r>
      <w:r w:rsidR="00FE214C" w:rsidRPr="003F01CD">
        <w:rPr>
          <w:noProof/>
          <w:lang w:val="fr-CH"/>
        </w:rPr>
        <w:t>tant donné que le Comité d</w:t>
      </w:r>
      <w:r w:rsidR="003F01CD">
        <w:rPr>
          <w:noProof/>
          <w:lang w:val="fr-CH"/>
        </w:rPr>
        <w:t>'</w:t>
      </w:r>
      <w:r w:rsidR="00FE214C" w:rsidRPr="003F01CD">
        <w:rPr>
          <w:noProof/>
          <w:lang w:val="fr-CH"/>
        </w:rPr>
        <w:t>examen s</w:t>
      </w:r>
      <w:r w:rsidR="003F01CD">
        <w:rPr>
          <w:noProof/>
          <w:lang w:val="fr-CH"/>
        </w:rPr>
        <w:t>'</w:t>
      </w:r>
      <w:r w:rsidR="00FE214C" w:rsidRPr="003F01CD">
        <w:rPr>
          <w:noProof/>
          <w:lang w:val="fr-CH"/>
        </w:rPr>
        <w:t>e</w:t>
      </w:r>
      <w:r>
        <w:rPr>
          <w:noProof/>
          <w:lang w:val="fr-CH"/>
        </w:rPr>
        <w:t>st acquitté de son mandat, les E</w:t>
      </w:r>
      <w:r w:rsidR="00FE214C" w:rsidRPr="003F01CD">
        <w:rPr>
          <w:noProof/>
          <w:lang w:val="fr-CH"/>
        </w:rPr>
        <w:t xml:space="preserve">tats Membres africains considèrent </w:t>
      </w:r>
      <w:r w:rsidR="00603D5B">
        <w:rPr>
          <w:noProof/>
          <w:lang w:val="fr-CH"/>
        </w:rPr>
        <w:t>qu'il devrait être mis fin aux activités de</w:t>
      </w:r>
      <w:r w:rsidR="00FE214C" w:rsidRPr="003F01CD">
        <w:rPr>
          <w:noProof/>
          <w:lang w:val="fr-CH"/>
        </w:rPr>
        <w:t xml:space="preserve"> ce Comité </w:t>
      </w:r>
      <w:r w:rsidR="00603D5B">
        <w:rPr>
          <w:noProof/>
          <w:lang w:val="fr-CH"/>
        </w:rPr>
        <w:t>lors de l'</w:t>
      </w:r>
      <w:r w:rsidR="00FE214C" w:rsidRPr="003F01CD">
        <w:rPr>
          <w:noProof/>
          <w:lang w:val="fr-CH"/>
        </w:rPr>
        <w:t>AMNT-16</w:t>
      </w:r>
      <w:r w:rsidR="003F01CD">
        <w:rPr>
          <w:noProof/>
          <w:lang w:val="fr-CH"/>
        </w:rPr>
        <w:t xml:space="preserve"> </w:t>
      </w:r>
      <w:r w:rsidR="00FE214C" w:rsidRPr="003F01CD">
        <w:rPr>
          <w:noProof/>
          <w:lang w:val="fr-CH"/>
        </w:rPr>
        <w:t>et que la Résolution</w:t>
      </w:r>
      <w:r>
        <w:rPr>
          <w:noProof/>
          <w:lang w:val="fr-CH"/>
        </w:rPr>
        <w:t> </w:t>
      </w:r>
      <w:r w:rsidR="00FE214C" w:rsidRPr="003F01CD">
        <w:rPr>
          <w:noProof/>
          <w:lang w:val="fr-CH"/>
        </w:rPr>
        <w:t>82 de l</w:t>
      </w:r>
      <w:r w:rsidR="003F01CD">
        <w:rPr>
          <w:noProof/>
          <w:lang w:val="fr-CH"/>
        </w:rPr>
        <w:t>'</w:t>
      </w:r>
      <w:r w:rsidR="00FE214C" w:rsidRPr="003F01CD">
        <w:rPr>
          <w:noProof/>
          <w:lang w:val="fr-CH"/>
        </w:rPr>
        <w:t>AMNT devrait être supprimée.</w:t>
      </w:r>
      <w:r w:rsidR="003F01CD">
        <w:rPr>
          <w:noProof/>
          <w:lang w:val="fr-CH"/>
        </w:rPr>
        <w:t xml:space="preserve"> </w:t>
      </w:r>
    </w:p>
    <w:p w:rsidR="007B5374" w:rsidRPr="00032CF8" w:rsidRDefault="00933A97" w:rsidP="003F01CD">
      <w:pPr>
        <w:pStyle w:val="Proposal"/>
        <w:rPr>
          <w:lang w:val="fr-CH"/>
        </w:rPr>
      </w:pPr>
      <w:r w:rsidRPr="003F01CD">
        <w:rPr>
          <w:lang w:val="fr-CH"/>
        </w:rPr>
        <w:tab/>
      </w:r>
      <w:r w:rsidRPr="00032CF8">
        <w:rPr>
          <w:lang w:val="fr-CH"/>
        </w:rPr>
        <w:t>AFCP/42A32/4</w:t>
      </w:r>
    </w:p>
    <w:p w:rsidR="00AF0309" w:rsidRPr="003F01CD" w:rsidRDefault="00FE214C" w:rsidP="00603D5B">
      <w:pPr>
        <w:rPr>
          <w:lang w:val="fr-CH"/>
        </w:rPr>
      </w:pPr>
      <w:r w:rsidRPr="003F01CD">
        <w:rPr>
          <w:lang w:val="fr-CH"/>
        </w:rPr>
        <w:t>Il est proposé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que l</w:t>
      </w:r>
      <w:r w:rsidR="003F01CD">
        <w:rPr>
          <w:lang w:val="fr-CH"/>
        </w:rPr>
        <w:t>'</w:t>
      </w:r>
      <w:r w:rsidR="00603D5B">
        <w:rPr>
          <w:lang w:val="fr-CH"/>
        </w:rPr>
        <w:t>AMNT-16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mette</w:t>
      </w:r>
      <w:r w:rsidR="003F01CD">
        <w:rPr>
          <w:lang w:val="fr-CH"/>
        </w:rPr>
        <w:t xml:space="preserve"> </w:t>
      </w:r>
      <w:r w:rsidRPr="003F01CD">
        <w:rPr>
          <w:lang w:val="fr-CH"/>
        </w:rPr>
        <w:t>fin aux activités du Comité d</w:t>
      </w:r>
      <w:r w:rsidR="003F01CD">
        <w:rPr>
          <w:lang w:val="fr-CH"/>
        </w:rPr>
        <w:t>'</w:t>
      </w:r>
      <w:r w:rsidRPr="003F01CD">
        <w:rPr>
          <w:lang w:val="fr-CH"/>
        </w:rPr>
        <w:t>examen</w:t>
      </w:r>
      <w:r w:rsidR="007319CC">
        <w:rPr>
          <w:lang w:val="fr-CH"/>
        </w:rPr>
        <w:t>.</w:t>
      </w:r>
    </w:p>
    <w:p w:rsidR="007B5374" w:rsidRPr="003F01CD" w:rsidRDefault="00933A97" w:rsidP="003F01CD">
      <w:pPr>
        <w:pStyle w:val="Proposal"/>
        <w:rPr>
          <w:lang w:val="fr-CH"/>
        </w:rPr>
      </w:pPr>
      <w:r w:rsidRPr="003F01CD">
        <w:rPr>
          <w:lang w:val="fr-CH"/>
        </w:rPr>
        <w:t>SUP</w:t>
      </w:r>
      <w:r w:rsidRPr="003F01CD">
        <w:rPr>
          <w:lang w:val="fr-CH"/>
        </w:rPr>
        <w:tab/>
        <w:t>AFCP/42A32/5</w:t>
      </w:r>
    </w:p>
    <w:p w:rsidR="003D4CE6" w:rsidRPr="003F01CD" w:rsidRDefault="00933A97" w:rsidP="003F01CD">
      <w:pPr>
        <w:pStyle w:val="ResNo"/>
        <w:rPr>
          <w:lang w:val="fr-CH"/>
        </w:rPr>
      </w:pPr>
      <w:r w:rsidRPr="003F01CD">
        <w:rPr>
          <w:lang w:val="fr-CH"/>
        </w:rPr>
        <w:t xml:space="preserve">RÉSOLUTION </w:t>
      </w:r>
      <w:r w:rsidRPr="003F01CD">
        <w:rPr>
          <w:rStyle w:val="href"/>
          <w:lang w:val="fr-CH"/>
        </w:rPr>
        <w:t xml:space="preserve">82 </w:t>
      </w:r>
      <w:r w:rsidRPr="003F01CD">
        <w:rPr>
          <w:lang w:val="fr-CH"/>
        </w:rPr>
        <w:t>(Dubaï, 2012)</w:t>
      </w:r>
    </w:p>
    <w:p w:rsidR="003D4CE6" w:rsidRPr="003F01CD" w:rsidRDefault="00933A97" w:rsidP="003F01CD">
      <w:pPr>
        <w:pStyle w:val="Restitle"/>
        <w:rPr>
          <w:lang w:val="fr-CH"/>
        </w:rPr>
      </w:pPr>
      <w:r w:rsidRPr="003F01CD">
        <w:rPr>
          <w:lang w:val="fr-CH" w:eastAsia="ja-JP"/>
        </w:rPr>
        <w:t>Examen strat</w:t>
      </w:r>
      <w:r w:rsidRPr="003F01CD">
        <w:rPr>
          <w:lang w:val="fr-CH" w:eastAsia="ja-JP"/>
        </w:rPr>
        <w:t>é</w:t>
      </w:r>
      <w:r w:rsidRPr="003F01CD">
        <w:rPr>
          <w:lang w:val="fr-CH" w:eastAsia="ja-JP"/>
        </w:rPr>
        <w:t>gique et structurel du Secteur de la normalisation</w:t>
      </w:r>
      <w:r w:rsidRPr="003F01CD">
        <w:rPr>
          <w:lang w:val="fr-CH" w:eastAsia="ja-JP"/>
        </w:rPr>
        <w:br/>
        <w:t>des t</w:t>
      </w:r>
      <w:r w:rsidRPr="003F01CD">
        <w:rPr>
          <w:lang w:val="fr-CH" w:eastAsia="ja-JP"/>
        </w:rPr>
        <w:t>é</w:t>
      </w:r>
      <w:r w:rsidRPr="003F01CD">
        <w:rPr>
          <w:lang w:val="fr-CH" w:eastAsia="ja-JP"/>
        </w:rPr>
        <w:t>l</w:t>
      </w:r>
      <w:r w:rsidRPr="003F01CD">
        <w:rPr>
          <w:lang w:val="fr-CH" w:eastAsia="ja-JP"/>
        </w:rPr>
        <w:t>é</w:t>
      </w:r>
      <w:r w:rsidRPr="003F01CD">
        <w:rPr>
          <w:lang w:val="fr-CH" w:eastAsia="ja-JP"/>
        </w:rPr>
        <w:t xml:space="preserve">communications de l'UIT </w:t>
      </w:r>
    </w:p>
    <w:p w:rsidR="003D4CE6" w:rsidRPr="003F01CD" w:rsidRDefault="00933A97" w:rsidP="003F01CD">
      <w:pPr>
        <w:pStyle w:val="Resref"/>
      </w:pPr>
      <w:r w:rsidRPr="003F01CD">
        <w:t>(Dubaï, 2012)</w:t>
      </w:r>
    </w:p>
    <w:p w:rsidR="003D4CE6" w:rsidRPr="003F01CD" w:rsidRDefault="00933A97" w:rsidP="003F01CD">
      <w:pPr>
        <w:pStyle w:val="Normalaftertitle"/>
        <w:rPr>
          <w:lang w:val="fr-CH"/>
        </w:rPr>
      </w:pPr>
      <w:r w:rsidRPr="003F01CD">
        <w:rPr>
          <w:lang w:val="fr-CH"/>
        </w:rPr>
        <w:t>L'Assemblée mondiale de normalisation des télécommunications (Dubaï, 2012),</w:t>
      </w:r>
    </w:p>
    <w:p w:rsidR="00991BA9" w:rsidRPr="003F01CD" w:rsidRDefault="00991BA9" w:rsidP="003F01CD">
      <w:pPr>
        <w:pStyle w:val="Reasons"/>
        <w:rPr>
          <w:lang w:val="fr-CH"/>
        </w:rPr>
      </w:pPr>
    </w:p>
    <w:p w:rsidR="00991BA9" w:rsidRDefault="00991BA9" w:rsidP="003F01CD">
      <w:pPr>
        <w:jc w:val="center"/>
      </w:pPr>
      <w:r w:rsidRPr="003F01CD">
        <w:t>______________</w:t>
      </w:r>
    </w:p>
    <w:sectPr w:rsidR="00991BA9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CE6" w:rsidRDefault="003D4CE6">
      <w:r>
        <w:separator/>
      </w:r>
    </w:p>
  </w:endnote>
  <w:endnote w:type="continuationSeparator" w:id="0">
    <w:p w:rsidR="003D4CE6" w:rsidRDefault="003D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CE6" w:rsidRDefault="003D4CE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3D4CE6" w:rsidRPr="00933A97" w:rsidRDefault="003D4CE6">
    <w:pPr>
      <w:ind w:right="360"/>
      <w:rPr>
        <w:lang w:val="fr-FR"/>
      </w:rPr>
    </w:pPr>
    <w:r>
      <w:fldChar w:fldCharType="begin"/>
    </w:r>
    <w:r w:rsidRPr="00933A97">
      <w:rPr>
        <w:lang w:val="fr-FR"/>
      </w:rPr>
      <w:instrText xml:space="preserve"> FILENAME \p  \* MERGEFORMAT </w:instrText>
    </w:r>
    <w:r>
      <w:fldChar w:fldCharType="separate"/>
    </w:r>
    <w:r w:rsidR="007319CC">
      <w:rPr>
        <w:noProof/>
        <w:lang w:val="fr-FR"/>
      </w:rPr>
      <w:t>P:\FRA\ITU-T\CONF-T\WTSA16\000\042ADD32F.docx</w:t>
    </w:r>
    <w:r>
      <w:fldChar w:fldCharType="end"/>
    </w:r>
    <w:r w:rsidRPr="00933A97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D7EF7">
      <w:rPr>
        <w:noProof/>
      </w:rPr>
      <w:t>19.10.16</w:t>
    </w:r>
    <w:r>
      <w:fldChar w:fldCharType="end"/>
    </w:r>
    <w:r w:rsidRPr="00933A97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319CC">
      <w:rPr>
        <w:noProof/>
      </w:rPr>
      <w:t>18.10.16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CE6" w:rsidRPr="00933A97" w:rsidRDefault="003D4CE6" w:rsidP="00526703">
    <w:pPr>
      <w:pStyle w:val="Footer"/>
      <w:rPr>
        <w:lang w:val="fr-FR"/>
      </w:rPr>
    </w:pPr>
    <w:r>
      <w:fldChar w:fldCharType="begin"/>
    </w:r>
    <w:r w:rsidRPr="00933A97">
      <w:rPr>
        <w:lang w:val="fr-FR"/>
      </w:rPr>
      <w:instrText xml:space="preserve"> FILENAME \p  \* MERGEFORMAT </w:instrText>
    </w:r>
    <w:r>
      <w:fldChar w:fldCharType="separate"/>
    </w:r>
    <w:r w:rsidR="007319CC">
      <w:rPr>
        <w:lang w:val="fr-FR"/>
      </w:rPr>
      <w:t>P:\FRA\ITU-T\CONF-T\WTSA16\000\042ADD32F.docx</w:t>
    </w:r>
    <w:r>
      <w:fldChar w:fldCharType="end"/>
    </w:r>
    <w:r w:rsidRPr="00933A97">
      <w:rPr>
        <w:lang w:val="fr-FR"/>
      </w:rPr>
      <w:t xml:space="preserve"> (406704)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CE6" w:rsidRPr="00933A97" w:rsidRDefault="003D4CE6" w:rsidP="00526703">
    <w:pPr>
      <w:pStyle w:val="Footer"/>
      <w:rPr>
        <w:lang w:val="fr-FR"/>
      </w:rPr>
    </w:pPr>
    <w:r>
      <w:fldChar w:fldCharType="begin"/>
    </w:r>
    <w:r w:rsidRPr="00933A97">
      <w:rPr>
        <w:lang w:val="fr-FR"/>
      </w:rPr>
      <w:instrText xml:space="preserve"> FILENAME \p  \* MERGEFORMAT </w:instrText>
    </w:r>
    <w:r>
      <w:fldChar w:fldCharType="separate"/>
    </w:r>
    <w:r w:rsidR="007319CC">
      <w:rPr>
        <w:lang w:val="fr-FR"/>
      </w:rPr>
      <w:t>P:\FRA\ITU-T\CONF-T\WTSA16\000\042ADD32F.docx</w:t>
    </w:r>
    <w:r>
      <w:fldChar w:fldCharType="end"/>
    </w:r>
    <w:r w:rsidRPr="00933A97">
      <w:rPr>
        <w:lang w:val="fr-FR"/>
      </w:rPr>
      <w:t xml:space="preserve"> (406704)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CE6" w:rsidRDefault="003D4CE6">
      <w:r>
        <w:rPr>
          <w:b/>
        </w:rPr>
        <w:t>_______________</w:t>
      </w:r>
    </w:p>
  </w:footnote>
  <w:footnote w:type="continuationSeparator" w:id="0">
    <w:p w:rsidR="003D4CE6" w:rsidRDefault="003D4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CE6" w:rsidRDefault="003D4CE6" w:rsidP="00987C1F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9D7EF7">
      <w:rPr>
        <w:noProof/>
      </w:rPr>
      <w:t>6</w:t>
    </w:r>
    <w:r>
      <w:fldChar w:fldCharType="end"/>
    </w:r>
  </w:p>
  <w:p w:rsidR="003D4CE6" w:rsidRDefault="003D4CE6" w:rsidP="00987C1F">
    <w:pPr>
      <w:pStyle w:val="Header"/>
    </w:pPr>
    <w:r>
      <w:t>AMNT16/42(Add.32)-</w:t>
    </w:r>
    <w:r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14193164"/>
    <w:multiLevelType w:val="hybridMultilevel"/>
    <w:tmpl w:val="E8C46C0E"/>
    <w:lvl w:ilvl="0" w:tplc="15CEE114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F6"/>
    <w:rsid w:val="000032AD"/>
    <w:rsid w:val="000041EA"/>
    <w:rsid w:val="00021941"/>
    <w:rsid w:val="00022A29"/>
    <w:rsid w:val="00032CF8"/>
    <w:rsid w:val="000355FD"/>
    <w:rsid w:val="00051E39"/>
    <w:rsid w:val="00077239"/>
    <w:rsid w:val="00086491"/>
    <w:rsid w:val="00091346"/>
    <w:rsid w:val="0009706C"/>
    <w:rsid w:val="000A14AF"/>
    <w:rsid w:val="000F1249"/>
    <w:rsid w:val="000F73FF"/>
    <w:rsid w:val="00114CF7"/>
    <w:rsid w:val="00123B68"/>
    <w:rsid w:val="00126F2E"/>
    <w:rsid w:val="00137FF5"/>
    <w:rsid w:val="00146F6F"/>
    <w:rsid w:val="00164C14"/>
    <w:rsid w:val="00187BD9"/>
    <w:rsid w:val="00190B55"/>
    <w:rsid w:val="001978FA"/>
    <w:rsid w:val="001A0F27"/>
    <w:rsid w:val="001A59B4"/>
    <w:rsid w:val="001C3B5F"/>
    <w:rsid w:val="001D058F"/>
    <w:rsid w:val="001D581B"/>
    <w:rsid w:val="001D77E9"/>
    <w:rsid w:val="001E1430"/>
    <w:rsid w:val="002009EA"/>
    <w:rsid w:val="00202CA0"/>
    <w:rsid w:val="00205166"/>
    <w:rsid w:val="00215584"/>
    <w:rsid w:val="00216B6D"/>
    <w:rsid w:val="00250AF4"/>
    <w:rsid w:val="00271316"/>
    <w:rsid w:val="002B2A75"/>
    <w:rsid w:val="002C759F"/>
    <w:rsid w:val="002D58BE"/>
    <w:rsid w:val="002E15E8"/>
    <w:rsid w:val="002E210D"/>
    <w:rsid w:val="00320E05"/>
    <w:rsid w:val="003236A6"/>
    <w:rsid w:val="00332C56"/>
    <w:rsid w:val="00344272"/>
    <w:rsid w:val="00345A52"/>
    <w:rsid w:val="003661DE"/>
    <w:rsid w:val="00377BD3"/>
    <w:rsid w:val="003832C0"/>
    <w:rsid w:val="00384088"/>
    <w:rsid w:val="0039169B"/>
    <w:rsid w:val="003A7F8C"/>
    <w:rsid w:val="003B532E"/>
    <w:rsid w:val="003D0F8B"/>
    <w:rsid w:val="003D4CE6"/>
    <w:rsid w:val="003F01CD"/>
    <w:rsid w:val="003F0D75"/>
    <w:rsid w:val="004054F5"/>
    <w:rsid w:val="004079B0"/>
    <w:rsid w:val="0041348E"/>
    <w:rsid w:val="00417AD4"/>
    <w:rsid w:val="00444030"/>
    <w:rsid w:val="004508E2"/>
    <w:rsid w:val="00476533"/>
    <w:rsid w:val="00492075"/>
    <w:rsid w:val="004969AD"/>
    <w:rsid w:val="004A200D"/>
    <w:rsid w:val="004A26C4"/>
    <w:rsid w:val="004B13CB"/>
    <w:rsid w:val="004D5D5C"/>
    <w:rsid w:val="004E42A3"/>
    <w:rsid w:val="0050139F"/>
    <w:rsid w:val="00526703"/>
    <w:rsid w:val="0052739E"/>
    <w:rsid w:val="00530525"/>
    <w:rsid w:val="00541419"/>
    <w:rsid w:val="00541830"/>
    <w:rsid w:val="0055140B"/>
    <w:rsid w:val="00595780"/>
    <w:rsid w:val="005964AB"/>
    <w:rsid w:val="005A491E"/>
    <w:rsid w:val="005C099A"/>
    <w:rsid w:val="005C31A5"/>
    <w:rsid w:val="005E10C9"/>
    <w:rsid w:val="005E5EE6"/>
    <w:rsid w:val="005E61DD"/>
    <w:rsid w:val="006023DF"/>
    <w:rsid w:val="00603D5B"/>
    <w:rsid w:val="00657DE0"/>
    <w:rsid w:val="00685313"/>
    <w:rsid w:val="0069092B"/>
    <w:rsid w:val="00692833"/>
    <w:rsid w:val="006A6E9B"/>
    <w:rsid w:val="006B249F"/>
    <w:rsid w:val="006B7C2A"/>
    <w:rsid w:val="006C23DA"/>
    <w:rsid w:val="006E013B"/>
    <w:rsid w:val="006E3D45"/>
    <w:rsid w:val="006F580E"/>
    <w:rsid w:val="007149F9"/>
    <w:rsid w:val="007319CC"/>
    <w:rsid w:val="00733A30"/>
    <w:rsid w:val="00745AEE"/>
    <w:rsid w:val="0074758E"/>
    <w:rsid w:val="00750F10"/>
    <w:rsid w:val="007742CA"/>
    <w:rsid w:val="00787C16"/>
    <w:rsid w:val="00790D70"/>
    <w:rsid w:val="00793623"/>
    <w:rsid w:val="007B5374"/>
    <w:rsid w:val="007D5320"/>
    <w:rsid w:val="008006C5"/>
    <w:rsid w:val="00800972"/>
    <w:rsid w:val="00804475"/>
    <w:rsid w:val="00811633"/>
    <w:rsid w:val="00813B79"/>
    <w:rsid w:val="00864CD2"/>
    <w:rsid w:val="00872FC8"/>
    <w:rsid w:val="008845D0"/>
    <w:rsid w:val="008A69FB"/>
    <w:rsid w:val="008B1AEA"/>
    <w:rsid w:val="008B43F2"/>
    <w:rsid w:val="008B6CFF"/>
    <w:rsid w:val="008C27E9"/>
    <w:rsid w:val="008C6BAA"/>
    <w:rsid w:val="00902DFD"/>
    <w:rsid w:val="0092425C"/>
    <w:rsid w:val="009274B4"/>
    <w:rsid w:val="00933A97"/>
    <w:rsid w:val="00934EA2"/>
    <w:rsid w:val="00940614"/>
    <w:rsid w:val="00944A5C"/>
    <w:rsid w:val="00952A66"/>
    <w:rsid w:val="00957670"/>
    <w:rsid w:val="00987C1F"/>
    <w:rsid w:val="00991BA9"/>
    <w:rsid w:val="009C3191"/>
    <w:rsid w:val="009C56E5"/>
    <w:rsid w:val="009D7EF7"/>
    <w:rsid w:val="009E3C50"/>
    <w:rsid w:val="009E3ED7"/>
    <w:rsid w:val="009E5FC8"/>
    <w:rsid w:val="009E687A"/>
    <w:rsid w:val="009F63E2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76689"/>
    <w:rsid w:val="00A811DC"/>
    <w:rsid w:val="00A90939"/>
    <w:rsid w:val="00A93B85"/>
    <w:rsid w:val="00A94A88"/>
    <w:rsid w:val="00AA0B18"/>
    <w:rsid w:val="00AA2587"/>
    <w:rsid w:val="00AA666F"/>
    <w:rsid w:val="00AB5A50"/>
    <w:rsid w:val="00AB7C5F"/>
    <w:rsid w:val="00AD7C7E"/>
    <w:rsid w:val="00AF0309"/>
    <w:rsid w:val="00B31EF6"/>
    <w:rsid w:val="00B639E9"/>
    <w:rsid w:val="00B817CD"/>
    <w:rsid w:val="00B94AD0"/>
    <w:rsid w:val="00BA5265"/>
    <w:rsid w:val="00BB3A95"/>
    <w:rsid w:val="00BB6D50"/>
    <w:rsid w:val="00BC2B74"/>
    <w:rsid w:val="00BF23BA"/>
    <w:rsid w:val="00C0018F"/>
    <w:rsid w:val="00C16A5A"/>
    <w:rsid w:val="00C20466"/>
    <w:rsid w:val="00C214ED"/>
    <w:rsid w:val="00C234E6"/>
    <w:rsid w:val="00C26BA2"/>
    <w:rsid w:val="00C324A8"/>
    <w:rsid w:val="00C54517"/>
    <w:rsid w:val="00C64CD8"/>
    <w:rsid w:val="00C95D76"/>
    <w:rsid w:val="00C97C68"/>
    <w:rsid w:val="00CA1A47"/>
    <w:rsid w:val="00CC247A"/>
    <w:rsid w:val="00CE388F"/>
    <w:rsid w:val="00CE5E47"/>
    <w:rsid w:val="00CF020F"/>
    <w:rsid w:val="00CF1E9D"/>
    <w:rsid w:val="00CF2B5B"/>
    <w:rsid w:val="00CF3A25"/>
    <w:rsid w:val="00D14CE0"/>
    <w:rsid w:val="00D54009"/>
    <w:rsid w:val="00D5651D"/>
    <w:rsid w:val="00D57A34"/>
    <w:rsid w:val="00D6112A"/>
    <w:rsid w:val="00D63D43"/>
    <w:rsid w:val="00D7189F"/>
    <w:rsid w:val="00D72882"/>
    <w:rsid w:val="00D74898"/>
    <w:rsid w:val="00D77ED2"/>
    <w:rsid w:val="00D801ED"/>
    <w:rsid w:val="00D8630F"/>
    <w:rsid w:val="00D936BC"/>
    <w:rsid w:val="00D96530"/>
    <w:rsid w:val="00DA2A24"/>
    <w:rsid w:val="00DD44AF"/>
    <w:rsid w:val="00DE2AC3"/>
    <w:rsid w:val="00DE5692"/>
    <w:rsid w:val="00E03C94"/>
    <w:rsid w:val="00E07AF5"/>
    <w:rsid w:val="00E11197"/>
    <w:rsid w:val="00E14E2A"/>
    <w:rsid w:val="00E16B82"/>
    <w:rsid w:val="00E26226"/>
    <w:rsid w:val="00E30481"/>
    <w:rsid w:val="00E45D05"/>
    <w:rsid w:val="00E55816"/>
    <w:rsid w:val="00E55AEF"/>
    <w:rsid w:val="00E66F59"/>
    <w:rsid w:val="00E84ED7"/>
    <w:rsid w:val="00E917FD"/>
    <w:rsid w:val="00E976C1"/>
    <w:rsid w:val="00EA12E5"/>
    <w:rsid w:val="00EA2B1A"/>
    <w:rsid w:val="00EB55C6"/>
    <w:rsid w:val="00EF2B09"/>
    <w:rsid w:val="00F02766"/>
    <w:rsid w:val="00F05BD4"/>
    <w:rsid w:val="00F6155B"/>
    <w:rsid w:val="00F651FA"/>
    <w:rsid w:val="00F65C19"/>
    <w:rsid w:val="00F7356B"/>
    <w:rsid w:val="00F776DF"/>
    <w:rsid w:val="00F840C7"/>
    <w:rsid w:val="00FB0EC3"/>
    <w:rsid w:val="00FB2986"/>
    <w:rsid w:val="00FD2546"/>
    <w:rsid w:val="00FD772E"/>
    <w:rsid w:val="00FD7E15"/>
    <w:rsid w:val="00FE214C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5:docId w15:val="{8F8817FD-C12C-4D5B-9D52-1DDB7F8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Committee">
    <w:name w:val="Committee"/>
    <w:basedOn w:val="Normal"/>
    <w:qFormat/>
    <w:rsid w:val="0069092B"/>
    <w:pPr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69092B"/>
    <w:pPr>
      <w:jc w:val="center"/>
    </w:pPr>
    <w:rPr>
      <w:b/>
      <w:bCs/>
      <w:sz w:val="28"/>
      <w:szCs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69092B"/>
    <w:rPr>
      <w:rFonts w:ascii="Times New Roman Bold" w:hAnsi="Times New Roman Bold"/>
      <w:b/>
    </w:rPr>
  </w:style>
  <w:style w:type="paragraph" w:customStyle="1" w:styleId="Chaptitle">
    <w:name w:val="Chap_title"/>
    <w:basedOn w:val="Normal"/>
    <w:next w:val="Normal"/>
    <w:rsid w:val="0069092B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813B79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813B79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745AEE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6B249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Resref">
    <w:name w:val="Res_ref"/>
    <w:basedOn w:val="Normal"/>
    <w:next w:val="Normal"/>
    <w:qFormat/>
    <w:rsid w:val="00813B79"/>
    <w:pPr>
      <w:keepNext/>
      <w:keepLines/>
      <w:jc w:val="center"/>
    </w:pPr>
    <w:rPr>
      <w:i/>
      <w:lang w:val="fr-FR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BB6D50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E1430"/>
    <w:pPr>
      <w:keepNext/>
      <w:keepLines/>
      <w:jc w:val="right"/>
    </w:pPr>
    <w:rPr>
      <w:rFonts w:ascii="Times New Roman italic" w:hAnsi="Times New Roman italic" w:cs="Times New Roman italic"/>
      <w:i/>
    </w:rPr>
  </w:style>
  <w:style w:type="paragraph" w:customStyle="1" w:styleId="RecNo">
    <w:name w:val="Rec_No"/>
    <w:basedOn w:val="Normal"/>
    <w:next w:val="Normal"/>
    <w:rsid w:val="00A811DC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A811DC"/>
    <w:pPr>
      <w:spacing w:before="240"/>
      <w:jc w:val="center"/>
    </w:pPr>
    <w:rPr>
      <w:rFonts w:ascii="Times New Roman" w:cs="Times New Roman"/>
      <w:bCs/>
    </w:rPr>
  </w:style>
  <w:style w:type="paragraph" w:customStyle="1" w:styleId="ResNo">
    <w:name w:val="Res_No"/>
    <w:basedOn w:val="RecNo"/>
    <w:next w:val="Normal"/>
    <w:rsid w:val="000A14AF"/>
    <w:pPr>
      <w:jc w:val="center"/>
    </w:pPr>
    <w:rPr>
      <w:rFonts w:ascii="Times New Roman" w:hAnsi="Times New Roman" w:cs="Times New Roman"/>
      <w:b w:val="0"/>
      <w:bCs/>
      <w:caps/>
    </w:rPr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Opiniontitle">
    <w:name w:val="Opinion_title"/>
    <w:basedOn w:val="Normal"/>
    <w:next w:val="Normal"/>
    <w:qFormat/>
    <w:rsid w:val="00987C1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OpinionNo">
    <w:name w:val="Opinion_No"/>
    <w:basedOn w:val="ResNo"/>
    <w:next w:val="Opiniontitle"/>
    <w:qFormat/>
    <w:rsid w:val="00987C1F"/>
    <w:rPr>
      <w:bCs w:val="0"/>
      <w:lang w:val="fr-CH"/>
    </w:rPr>
  </w:style>
  <w:style w:type="paragraph" w:customStyle="1" w:styleId="Opinionref">
    <w:name w:val="Opinion_ref"/>
    <w:basedOn w:val="Annexref"/>
    <w:next w:val="Opiniontitle"/>
    <w:qFormat/>
    <w:rsid w:val="00987C1F"/>
    <w:rPr>
      <w:i/>
      <w:iCs/>
      <w:sz w:val="22"/>
      <w:szCs w:val="22"/>
      <w:lang w:val="fr-CH"/>
    </w:rPr>
  </w:style>
  <w:style w:type="paragraph" w:customStyle="1" w:styleId="Recref">
    <w:name w:val="Rec_ref"/>
    <w:basedOn w:val="Resref"/>
    <w:qFormat/>
    <w:rsid w:val="00813B79"/>
    <w:rPr>
      <w:lang w:val="en-GB"/>
    </w:rPr>
  </w:style>
  <w:style w:type="paragraph" w:customStyle="1" w:styleId="HeadingSummary">
    <w:name w:val="HeadingSummary"/>
    <w:basedOn w:val="Headingb"/>
    <w:qFormat/>
    <w:rsid w:val="00444030"/>
  </w:style>
  <w:style w:type="character" w:styleId="PlaceholderText">
    <w:name w:val="Placeholder Text"/>
    <w:basedOn w:val="DefaultParagraphFont"/>
    <w:uiPriority w:val="99"/>
    <w:semiHidden/>
    <w:rsid w:val="00E11197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576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670"/>
    <w:rPr>
      <w:rFonts w:ascii="Segoe UI" w:hAnsi="Segoe UI" w:cs="Segoe UI"/>
      <w:sz w:val="18"/>
      <w:szCs w:val="18"/>
      <w:lang w:val="en-GB" w:eastAsia="en-US"/>
    </w:rPr>
  </w:style>
  <w:style w:type="character" w:customStyle="1" w:styleId="href">
    <w:name w:val="href"/>
    <w:basedOn w:val="DefaultParagraphFont"/>
    <w:rsid w:val="000A3C7B"/>
  </w:style>
  <w:style w:type="character" w:styleId="Strong">
    <w:name w:val="Strong"/>
    <w:basedOn w:val="DefaultParagraphFont"/>
    <w:uiPriority w:val="22"/>
    <w:qFormat/>
    <w:rsid w:val="00137FF5"/>
    <w:rPr>
      <w:b/>
      <w:bCs/>
    </w:rPr>
  </w:style>
  <w:style w:type="paragraph" w:customStyle="1" w:styleId="Default">
    <w:name w:val="Default"/>
    <w:rsid w:val="00AF03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F0515E39224C1BB445B352EB311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C6A0-6393-4EA1-964C-339330291F37}"/>
      </w:docPartPr>
      <w:docPartBody>
        <w:p w:rsidR="00F85344" w:rsidRDefault="00D83E31" w:rsidP="00D83E31">
          <w:pPr>
            <w:pStyle w:val="CEF0515E39224C1BB445B352EB3113A9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31"/>
    <w:rsid w:val="003C792E"/>
    <w:rsid w:val="004228CC"/>
    <w:rsid w:val="00430751"/>
    <w:rsid w:val="004852F1"/>
    <w:rsid w:val="007007B4"/>
    <w:rsid w:val="00832CBF"/>
    <w:rsid w:val="008B3C62"/>
    <w:rsid w:val="00B95CAC"/>
    <w:rsid w:val="00CD1303"/>
    <w:rsid w:val="00D435E5"/>
    <w:rsid w:val="00D83E31"/>
    <w:rsid w:val="00E52BE5"/>
    <w:rsid w:val="00E927AD"/>
    <w:rsid w:val="00EB6FEA"/>
    <w:rsid w:val="00F3304D"/>
    <w:rsid w:val="00F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E31"/>
    <w:rPr>
      <w:color w:val="808080"/>
    </w:rPr>
  </w:style>
  <w:style w:type="paragraph" w:customStyle="1" w:styleId="CEF0515E39224C1BB445B352EB3113A9">
    <w:name w:val="CEF0515E39224C1BB445B352EB3113A9"/>
    <w:rsid w:val="00D83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480d02f-16d2-4cb4-8387-d0819dee2239" targetNamespace="http://schemas.microsoft.com/office/2006/metadata/properties" ma:root="true" ma:fieldsID="d41af5c836d734370eb92e7ee5f83852" ns2:_="" ns3:_="">
    <xsd:import namespace="996b2e75-67fd-4955-a3b0-5ab9934cb50b"/>
    <xsd:import namespace="3480d02f-16d2-4cb4-8387-d0819dee223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0d02f-16d2-4cb4-8387-d0819dee223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480d02f-16d2-4cb4-8387-d0819dee2239">Documents Proposals Manager (DPM)</DPM_x0020_Author>
    <DPM_x0020_File_x0020_name xmlns="3480d02f-16d2-4cb4-8387-d0819dee2239">T13-WTSA.16-C-0042!A32!MSW-F</DPM_x0020_File_x0020_name>
    <DPM_x0020_Version xmlns="3480d02f-16d2-4cb4-8387-d0819dee2239">DPM_v2016.10.3.1_prod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480d02f-16d2-4cb4-8387-d0819dee2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schemas.microsoft.com/office/2006/metadata/properties"/>
    <ds:schemaRef ds:uri="996b2e75-67fd-4955-a3b0-5ab9934cb50b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480d02f-16d2-4cb4-8387-d0819dee2239"/>
  </ds:schemaRefs>
</ds:datastoreItem>
</file>

<file path=customXml/itemProps3.xml><?xml version="1.0" encoding="utf-8"?>
<ds:datastoreItem xmlns:ds="http://schemas.openxmlformats.org/officeDocument/2006/customXml" ds:itemID="{F525D9C4-514B-415E-82FB-637FCCAE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2207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T13-WTSA.16-C-0042!A32!MSW-F</vt:lpstr>
    </vt:vector>
  </TitlesOfParts>
  <Manager>General Secretariat - Pool</Manager>
  <Company>International Telecommunication Union (ITU)</Company>
  <LinksUpToDate>false</LinksUpToDate>
  <CharactersWithSpaces>14897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T13-WTSA.16-C-0042!A32!MSW-F</dc:title>
  <dc:subject>World Telecommunication Standardization Assembly</dc:subject>
  <dc:creator>Documents Proposals Manager (DPM)</dc:creator>
  <cp:keywords>DPM_v2016.10.3.1_prod</cp:keywords>
  <dc:description>Template used by DPM and CPI for the WTSA-16</dc:description>
  <cp:lastModifiedBy>Jones, Jacqueline</cp:lastModifiedBy>
  <cp:revision>37</cp:revision>
  <cp:lastPrinted>2016-10-18T13:21:00Z</cp:lastPrinted>
  <dcterms:created xsi:type="dcterms:W3CDTF">2016-10-18T12:17:00Z</dcterms:created>
  <dcterms:modified xsi:type="dcterms:W3CDTF">2016-10-19T09:21:00Z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