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5610B3" w14:paraId="7443FAC4" w14:textId="77777777" w:rsidTr="00F00DDC">
        <w:trPr>
          <w:cantSplit/>
        </w:trPr>
        <w:tc>
          <w:tcPr>
            <w:tcW w:w="1357" w:type="dxa"/>
            <w:vAlign w:val="center"/>
          </w:tcPr>
          <w:p w14:paraId="1A173144" w14:textId="77777777" w:rsidR="00BC7D84" w:rsidRPr="005610B3" w:rsidRDefault="00BC7D84" w:rsidP="00F00DDC">
            <w:pPr>
              <w:pStyle w:val="TopHeader"/>
              <w:rPr>
                <w:sz w:val="22"/>
                <w:szCs w:val="22"/>
              </w:rPr>
            </w:pPr>
            <w:r w:rsidRPr="005610B3">
              <w:rPr>
                <w:noProof/>
                <w:lang w:val="en-US" w:eastAsia="zh-CN"/>
              </w:rPr>
              <w:drawing>
                <wp:inline distT="0" distB="0" distL="0" distR="0" wp14:anchorId="3544C0D1" wp14:editId="29A5DF54">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06C9AC8A" w14:textId="77777777" w:rsidR="00BC7D84" w:rsidRPr="005610B3" w:rsidRDefault="00BC7D84" w:rsidP="00E94DBA">
            <w:pPr>
              <w:pStyle w:val="TopHeader"/>
              <w:rPr>
                <w:sz w:val="22"/>
                <w:szCs w:val="22"/>
              </w:rPr>
            </w:pPr>
            <w:r w:rsidRPr="005610B3">
              <w:t>World Telecommunication Standardization Assembly (WTSA-16)</w:t>
            </w:r>
            <w:r w:rsidRPr="005610B3">
              <w:br/>
            </w:r>
            <w:proofErr w:type="spellStart"/>
            <w:r w:rsidRPr="005610B3">
              <w:rPr>
                <w:sz w:val="20"/>
                <w:szCs w:val="20"/>
              </w:rPr>
              <w:t>Hammamet</w:t>
            </w:r>
            <w:proofErr w:type="spellEnd"/>
            <w:r w:rsidRPr="005610B3">
              <w:rPr>
                <w:sz w:val="20"/>
                <w:szCs w:val="20"/>
              </w:rPr>
              <w:t>, 25 October - 3 November 2016</w:t>
            </w:r>
          </w:p>
        </w:tc>
        <w:tc>
          <w:tcPr>
            <w:tcW w:w="1804" w:type="dxa"/>
            <w:vAlign w:val="center"/>
          </w:tcPr>
          <w:p w14:paraId="01ECCB68" w14:textId="77777777" w:rsidR="00BC7D84" w:rsidRPr="005610B3" w:rsidRDefault="00BC7D84" w:rsidP="00F00DDC">
            <w:pPr>
              <w:jc w:val="right"/>
            </w:pPr>
            <w:r w:rsidRPr="005610B3">
              <w:rPr>
                <w:noProof/>
                <w:lang w:val="en-US" w:eastAsia="zh-CN"/>
              </w:rPr>
              <w:drawing>
                <wp:inline distT="0" distB="0" distL="0" distR="0" wp14:anchorId="5B756557" wp14:editId="41BDB3EA">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5610B3" w14:paraId="5A27E8A2" w14:textId="77777777" w:rsidTr="00F00DDC">
        <w:trPr>
          <w:cantSplit/>
        </w:trPr>
        <w:tc>
          <w:tcPr>
            <w:tcW w:w="6617" w:type="dxa"/>
            <w:gridSpan w:val="2"/>
            <w:tcBorders>
              <w:bottom w:val="single" w:sz="12" w:space="0" w:color="auto"/>
            </w:tcBorders>
          </w:tcPr>
          <w:p w14:paraId="6EF834ED" w14:textId="77777777" w:rsidR="00BC7D84" w:rsidRPr="005610B3" w:rsidRDefault="00BC7D84" w:rsidP="00F00DDC">
            <w:pPr>
              <w:pStyle w:val="TopHeader"/>
              <w:spacing w:before="60"/>
              <w:rPr>
                <w:sz w:val="20"/>
                <w:szCs w:val="20"/>
              </w:rPr>
            </w:pPr>
          </w:p>
        </w:tc>
        <w:tc>
          <w:tcPr>
            <w:tcW w:w="3194" w:type="dxa"/>
            <w:gridSpan w:val="2"/>
            <w:tcBorders>
              <w:bottom w:val="single" w:sz="12" w:space="0" w:color="auto"/>
            </w:tcBorders>
          </w:tcPr>
          <w:p w14:paraId="43136574" w14:textId="77777777" w:rsidR="00BC7D84" w:rsidRPr="005610B3" w:rsidRDefault="00BC7D84" w:rsidP="00F00DDC">
            <w:pPr>
              <w:spacing w:before="0"/>
              <w:rPr>
                <w:sz w:val="20"/>
              </w:rPr>
            </w:pPr>
          </w:p>
        </w:tc>
      </w:tr>
      <w:tr w:rsidR="00BC7D84" w:rsidRPr="005610B3" w14:paraId="21AFC8BF" w14:textId="77777777" w:rsidTr="00F00DDC">
        <w:trPr>
          <w:cantSplit/>
        </w:trPr>
        <w:tc>
          <w:tcPr>
            <w:tcW w:w="6617" w:type="dxa"/>
            <w:gridSpan w:val="2"/>
            <w:tcBorders>
              <w:top w:val="single" w:sz="12" w:space="0" w:color="auto"/>
            </w:tcBorders>
          </w:tcPr>
          <w:p w14:paraId="4814725B" w14:textId="77777777" w:rsidR="00BC7D84" w:rsidRPr="005610B3" w:rsidRDefault="00BC7D84" w:rsidP="00F00DDC">
            <w:pPr>
              <w:spacing w:before="0"/>
              <w:rPr>
                <w:sz w:val="20"/>
              </w:rPr>
            </w:pPr>
          </w:p>
        </w:tc>
        <w:tc>
          <w:tcPr>
            <w:tcW w:w="3194" w:type="dxa"/>
            <w:gridSpan w:val="2"/>
          </w:tcPr>
          <w:p w14:paraId="5373EF4A" w14:textId="77777777" w:rsidR="00BC7D84" w:rsidRPr="005610B3" w:rsidRDefault="00BC7D84" w:rsidP="00F00DDC">
            <w:pPr>
              <w:spacing w:before="0"/>
              <w:rPr>
                <w:rFonts w:ascii="Verdana" w:hAnsi="Verdana"/>
                <w:b/>
                <w:bCs/>
                <w:sz w:val="20"/>
              </w:rPr>
            </w:pPr>
          </w:p>
        </w:tc>
      </w:tr>
      <w:tr w:rsidR="00BC7D84" w:rsidRPr="005610B3" w14:paraId="29F893CD" w14:textId="77777777" w:rsidTr="00F00DDC">
        <w:trPr>
          <w:cantSplit/>
        </w:trPr>
        <w:tc>
          <w:tcPr>
            <w:tcW w:w="6617" w:type="dxa"/>
            <w:gridSpan w:val="2"/>
          </w:tcPr>
          <w:p w14:paraId="6FB4F936" w14:textId="77777777" w:rsidR="00BC7D84" w:rsidRPr="005610B3" w:rsidRDefault="00AB416A" w:rsidP="00F00DDC">
            <w:pPr>
              <w:pStyle w:val="Committee"/>
            </w:pPr>
            <w:r w:rsidRPr="005610B3">
              <w:t>PLENARY MEETING</w:t>
            </w:r>
          </w:p>
        </w:tc>
        <w:tc>
          <w:tcPr>
            <w:tcW w:w="3194" w:type="dxa"/>
            <w:gridSpan w:val="2"/>
          </w:tcPr>
          <w:p w14:paraId="0CC984CE" w14:textId="77777777" w:rsidR="00BC7D84" w:rsidRPr="005610B3" w:rsidRDefault="00BC7D84" w:rsidP="00F00DDC">
            <w:pPr>
              <w:pStyle w:val="Docnumber"/>
              <w:ind w:left="-57"/>
            </w:pPr>
            <w:r w:rsidRPr="005610B3">
              <w:t>Addendum 32 to</w:t>
            </w:r>
            <w:r w:rsidRPr="005610B3">
              <w:br/>
              <w:t>Document 42-E</w:t>
            </w:r>
          </w:p>
        </w:tc>
      </w:tr>
      <w:tr w:rsidR="00BC7D84" w:rsidRPr="005610B3" w14:paraId="168EBFAA" w14:textId="77777777" w:rsidTr="00F00DDC">
        <w:trPr>
          <w:cantSplit/>
        </w:trPr>
        <w:tc>
          <w:tcPr>
            <w:tcW w:w="6617" w:type="dxa"/>
            <w:gridSpan w:val="2"/>
          </w:tcPr>
          <w:p w14:paraId="404AE575" w14:textId="77777777" w:rsidR="00BC7D84" w:rsidRPr="005610B3" w:rsidRDefault="00BC7D84" w:rsidP="00F00DDC">
            <w:pPr>
              <w:spacing w:before="0"/>
              <w:rPr>
                <w:sz w:val="20"/>
              </w:rPr>
            </w:pPr>
          </w:p>
        </w:tc>
        <w:tc>
          <w:tcPr>
            <w:tcW w:w="3194" w:type="dxa"/>
            <w:gridSpan w:val="2"/>
          </w:tcPr>
          <w:p w14:paraId="14518602" w14:textId="77777777" w:rsidR="00BC7D84" w:rsidRPr="005610B3" w:rsidRDefault="00BC7D84" w:rsidP="00E94DBA">
            <w:pPr>
              <w:pStyle w:val="Docnumber"/>
              <w:ind w:left="-57"/>
            </w:pPr>
            <w:r w:rsidRPr="005610B3">
              <w:t>10 October 2016</w:t>
            </w:r>
          </w:p>
        </w:tc>
      </w:tr>
      <w:tr w:rsidR="00BC7D84" w:rsidRPr="005610B3" w14:paraId="44604203" w14:textId="77777777" w:rsidTr="00F00DDC">
        <w:trPr>
          <w:cantSplit/>
        </w:trPr>
        <w:tc>
          <w:tcPr>
            <w:tcW w:w="6617" w:type="dxa"/>
            <w:gridSpan w:val="2"/>
          </w:tcPr>
          <w:p w14:paraId="7D5B946D" w14:textId="77777777" w:rsidR="00BC7D84" w:rsidRPr="005610B3" w:rsidRDefault="00BC7D84" w:rsidP="00F00DDC">
            <w:pPr>
              <w:spacing w:before="0"/>
              <w:rPr>
                <w:sz w:val="20"/>
              </w:rPr>
            </w:pPr>
          </w:p>
        </w:tc>
        <w:tc>
          <w:tcPr>
            <w:tcW w:w="3194" w:type="dxa"/>
            <w:gridSpan w:val="2"/>
          </w:tcPr>
          <w:p w14:paraId="3D5A183A" w14:textId="77777777" w:rsidR="00BC7D84" w:rsidRPr="005610B3" w:rsidRDefault="00BC7D84" w:rsidP="00E94DBA">
            <w:pPr>
              <w:pStyle w:val="Docnumber"/>
              <w:ind w:left="-57"/>
            </w:pPr>
            <w:r w:rsidRPr="005610B3">
              <w:t>Original: English</w:t>
            </w:r>
          </w:p>
        </w:tc>
      </w:tr>
      <w:tr w:rsidR="00BC7D84" w:rsidRPr="005610B3" w14:paraId="64592420" w14:textId="77777777" w:rsidTr="00F00DDC">
        <w:trPr>
          <w:cantSplit/>
        </w:trPr>
        <w:tc>
          <w:tcPr>
            <w:tcW w:w="9811" w:type="dxa"/>
            <w:gridSpan w:val="4"/>
          </w:tcPr>
          <w:p w14:paraId="3BD137DE" w14:textId="77777777" w:rsidR="00BC7D84" w:rsidRPr="005610B3" w:rsidRDefault="00BC7D84" w:rsidP="00F00DDC">
            <w:pPr>
              <w:pStyle w:val="TopHeader"/>
              <w:spacing w:before="0"/>
              <w:rPr>
                <w:sz w:val="20"/>
                <w:szCs w:val="20"/>
              </w:rPr>
            </w:pPr>
          </w:p>
        </w:tc>
      </w:tr>
      <w:tr w:rsidR="00BC7D84" w:rsidRPr="005610B3" w14:paraId="07EC957F" w14:textId="77777777" w:rsidTr="00F00DDC">
        <w:trPr>
          <w:cantSplit/>
        </w:trPr>
        <w:tc>
          <w:tcPr>
            <w:tcW w:w="9811" w:type="dxa"/>
            <w:gridSpan w:val="4"/>
          </w:tcPr>
          <w:p w14:paraId="4ACBCFB8" w14:textId="77777777" w:rsidR="00BC7D84" w:rsidRPr="005610B3" w:rsidRDefault="00BC7D84" w:rsidP="00F00DDC">
            <w:pPr>
              <w:pStyle w:val="Source"/>
              <w:rPr>
                <w:highlight w:val="yellow"/>
              </w:rPr>
            </w:pPr>
            <w:r w:rsidRPr="005610B3">
              <w:t>African Telecommunication Union Administrations</w:t>
            </w:r>
          </w:p>
        </w:tc>
      </w:tr>
      <w:tr w:rsidR="00BC7D84" w:rsidRPr="005610B3" w14:paraId="39AADF26" w14:textId="77777777" w:rsidTr="00F00DDC">
        <w:trPr>
          <w:cantSplit/>
        </w:trPr>
        <w:tc>
          <w:tcPr>
            <w:tcW w:w="9811" w:type="dxa"/>
            <w:gridSpan w:val="4"/>
          </w:tcPr>
          <w:p w14:paraId="1A2FDFD6" w14:textId="77777777" w:rsidR="00BC7D84" w:rsidRPr="005610B3" w:rsidRDefault="00BC7D84" w:rsidP="00F00DDC">
            <w:pPr>
              <w:pStyle w:val="Title1"/>
              <w:rPr>
                <w:highlight w:val="yellow"/>
              </w:rPr>
            </w:pPr>
            <w:r w:rsidRPr="005610B3">
              <w:t>African Member States position on ITU-T Restructuring</w:t>
            </w:r>
          </w:p>
        </w:tc>
      </w:tr>
      <w:tr w:rsidR="00BC7D84" w:rsidRPr="005610B3" w14:paraId="7CAFAB62" w14:textId="77777777" w:rsidTr="00F00DDC">
        <w:trPr>
          <w:cantSplit/>
        </w:trPr>
        <w:tc>
          <w:tcPr>
            <w:tcW w:w="9811" w:type="dxa"/>
            <w:gridSpan w:val="4"/>
          </w:tcPr>
          <w:p w14:paraId="6B3F7671" w14:textId="77777777" w:rsidR="00BC7D84" w:rsidRPr="005610B3" w:rsidRDefault="00BC7D84" w:rsidP="00F00DDC">
            <w:pPr>
              <w:pStyle w:val="Title2"/>
            </w:pPr>
          </w:p>
        </w:tc>
      </w:tr>
    </w:tbl>
    <w:p w14:paraId="7215B40E" w14:textId="77777777" w:rsidR="009E1967" w:rsidRPr="005610B3"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5610B3" w14:paraId="203DC800" w14:textId="77777777" w:rsidTr="00D055D3">
        <w:trPr>
          <w:cantSplit/>
        </w:trPr>
        <w:tc>
          <w:tcPr>
            <w:tcW w:w="1951" w:type="dxa"/>
          </w:tcPr>
          <w:p w14:paraId="45A95EF1" w14:textId="77777777" w:rsidR="009E1967" w:rsidRPr="005610B3" w:rsidRDefault="009E1967" w:rsidP="00D055D3">
            <w:r w:rsidRPr="005610B3">
              <w:rPr>
                <w:b/>
                <w:bCs/>
              </w:rPr>
              <w:t>Abstract:</w:t>
            </w:r>
          </w:p>
        </w:tc>
        <w:sdt>
          <w:sdtPr>
            <w:rPr>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0DAC2616" w14:textId="5D64419C" w:rsidR="009E1967" w:rsidRPr="005610B3" w:rsidRDefault="00614304" w:rsidP="00614304">
                <w:pPr>
                  <w:rPr>
                    <w:color w:val="000000" w:themeColor="text1"/>
                  </w:rPr>
                </w:pPr>
                <w:r w:rsidRPr="005610B3">
                  <w:rPr>
                    <w:szCs w:val="24"/>
                  </w:rPr>
                  <w:t xml:space="preserve">This African Common Proposal is about the high-level principles for structuring, as well as ITU-T study group restructuring proposals, and proposed suppression of Resolution 82 so that </w:t>
                </w:r>
                <w:proofErr w:type="spellStart"/>
                <w:r w:rsidRPr="005610B3">
                  <w:rPr>
                    <w:szCs w:val="24"/>
                  </w:rPr>
                  <w:t>RevCom</w:t>
                </w:r>
                <w:proofErr w:type="spellEnd"/>
                <w:r w:rsidRPr="005610B3">
                  <w:rPr>
                    <w:szCs w:val="24"/>
                  </w:rPr>
                  <w:t xml:space="preserve"> end its activity at this Assembly. </w:t>
                </w:r>
              </w:p>
            </w:tc>
          </w:sdtContent>
        </w:sdt>
      </w:tr>
    </w:tbl>
    <w:p w14:paraId="79804612" w14:textId="77777777" w:rsidR="000A243F" w:rsidRPr="005610B3" w:rsidRDefault="000A243F" w:rsidP="00460202">
      <w:pPr>
        <w:pStyle w:val="Heading1"/>
      </w:pPr>
      <w:r w:rsidRPr="005610B3">
        <w:t>1</w:t>
      </w:r>
      <w:r w:rsidRPr="005610B3">
        <w:tab/>
        <w:t xml:space="preserve">Introduction </w:t>
      </w:r>
    </w:p>
    <w:p w14:paraId="490D2024" w14:textId="2D6B7E6C" w:rsidR="000A243F" w:rsidRPr="005610B3" w:rsidRDefault="000A243F" w:rsidP="00CA21B7">
      <w:r w:rsidRPr="005610B3">
        <w:t xml:space="preserve">The World Telecommunication Standardization Assembly (WTSA), which takes place every four years, defines the structure, functioning and activities of the ITU-T for the coming study period. The last one was held from </w:t>
      </w:r>
      <w:r w:rsidR="007C1378" w:rsidRPr="005610B3">
        <w:t xml:space="preserve">20-29 </w:t>
      </w:r>
      <w:r w:rsidRPr="005610B3">
        <w:t>November 2012 in Dubai and the next WTSA is scheduled to take place from 25 October to 3 November 2016.</w:t>
      </w:r>
    </w:p>
    <w:p w14:paraId="1796EBCF" w14:textId="77777777" w:rsidR="000A243F" w:rsidRPr="005610B3" w:rsidRDefault="000A243F" w:rsidP="00460202">
      <w:r w:rsidRPr="005610B3">
        <w:t>To develop common African proposals on topics to be discussed at the next WTSA-16, the African Telecommunications Union has set up four working groups to reflect on the restructuring of ITU-T, its working methods, standardization issues and issues relating to reducing the standardization gap and related issues. These are the groups 1, 2, 3 and 4.</w:t>
      </w:r>
    </w:p>
    <w:p w14:paraId="13E118CD" w14:textId="77777777" w:rsidR="000A243F" w:rsidRPr="005610B3" w:rsidRDefault="000A243F" w:rsidP="00460202">
      <w:r w:rsidRPr="005610B3">
        <w:t>This document reproduces the conclusions of Working Group 1 work and reflects the African position on the issue of restructuring of ITU-T.</w:t>
      </w:r>
    </w:p>
    <w:p w14:paraId="3D813795" w14:textId="77777777" w:rsidR="000A243F" w:rsidRPr="005610B3" w:rsidRDefault="000A243F" w:rsidP="00460202">
      <w:pPr>
        <w:pStyle w:val="Heading1"/>
      </w:pPr>
      <w:r w:rsidRPr="005610B3">
        <w:t>2</w:t>
      </w:r>
      <w:r w:rsidRPr="005610B3">
        <w:tab/>
        <w:t xml:space="preserve">Initial proposals for ITU-T structuring </w:t>
      </w:r>
    </w:p>
    <w:p w14:paraId="213E1111" w14:textId="6C7EAF14" w:rsidR="000A243F" w:rsidRPr="005610B3" w:rsidRDefault="000A243F" w:rsidP="00460202">
      <w:r w:rsidRPr="005610B3">
        <w:t xml:space="preserve">Based on proposals of the USA and </w:t>
      </w:r>
      <w:r w:rsidR="00CA21B7" w:rsidRPr="005610B3">
        <w:t>Canada</w:t>
      </w:r>
      <w:r w:rsidRPr="005610B3">
        <w:t>, TSAG</w:t>
      </w:r>
      <w:r w:rsidR="007C1378" w:rsidRPr="005610B3">
        <w:t>,</w:t>
      </w:r>
      <w:r w:rsidRPr="005610B3">
        <w:t xml:space="preserve"> at its meeting in February 2016, agreed on the principles to be considered for the restructuring of ITU-T study groups. </w:t>
      </w:r>
    </w:p>
    <w:p w14:paraId="65218D05" w14:textId="77777777" w:rsidR="000A243F" w:rsidRPr="005610B3" w:rsidRDefault="000A243F" w:rsidP="00460202">
      <w:r w:rsidRPr="005610B3">
        <w:t>Also</w:t>
      </w:r>
      <w:r w:rsidR="007C1378" w:rsidRPr="005610B3">
        <w:t>,</w:t>
      </w:r>
      <w:r w:rsidRPr="005610B3">
        <w:t xml:space="preserve"> the Director of TSB has meanwhile made proposals for the ITU-T study groups’ structuring. </w:t>
      </w:r>
    </w:p>
    <w:p w14:paraId="532BDC78" w14:textId="21404299" w:rsidR="000A243F" w:rsidRPr="005610B3" w:rsidRDefault="000A243F" w:rsidP="000010D1">
      <w:pPr>
        <w:pStyle w:val="Heading1"/>
      </w:pPr>
      <w:r w:rsidRPr="005610B3">
        <w:t xml:space="preserve">2.1 </w:t>
      </w:r>
      <w:r w:rsidRPr="005610B3">
        <w:tab/>
        <w:t>Principles for restructuring (TSAG)</w:t>
      </w:r>
    </w:p>
    <w:p w14:paraId="54B5D7C3" w14:textId="77777777" w:rsidR="000A243F" w:rsidRPr="005610B3" w:rsidRDefault="000A243F" w:rsidP="00460202">
      <w:r w:rsidRPr="005610B3">
        <w:t xml:space="preserve">TSAG has agreed on seven high-level SG structure principles that should be adopted formally by TSAG for guiding discussions towards SG restructuring, whereas the detailed explanation /expression of the principles was omitted and not included with these principles. </w:t>
      </w:r>
    </w:p>
    <w:p w14:paraId="5F232A75" w14:textId="2C8F2933" w:rsidR="000A243F" w:rsidRPr="005610B3" w:rsidRDefault="000A243F" w:rsidP="004572E2">
      <w:r w:rsidRPr="005610B3">
        <w:lastRenderedPageBreak/>
        <w:t xml:space="preserve">Contributions to this Assembly, WTSA-16, elaborate more on the principles for structuring the ITU-T, and African Member States </w:t>
      </w:r>
      <w:r w:rsidR="007C1378" w:rsidRPr="005610B3">
        <w:t xml:space="preserve">were </w:t>
      </w:r>
      <w:r w:rsidRPr="005610B3">
        <w:t xml:space="preserve">concerned of the details of some of these principles, which may need reconsideration. </w:t>
      </w:r>
    </w:p>
    <w:p w14:paraId="6320A371" w14:textId="1F4B27BD" w:rsidR="000A243F" w:rsidRPr="005610B3" w:rsidRDefault="000A243F" w:rsidP="00460202">
      <w:r w:rsidRPr="005610B3">
        <w:t xml:space="preserve">First, regarding the </w:t>
      </w:r>
      <w:r w:rsidR="007C1378" w:rsidRPr="005610B3">
        <w:t xml:space="preserve">seven </w:t>
      </w:r>
      <w:r w:rsidRPr="005610B3">
        <w:t>principles agreed by TSAG, these are</w:t>
      </w:r>
      <w:r w:rsidR="007C1378" w:rsidRPr="005610B3">
        <w:t>:</w:t>
      </w:r>
    </w:p>
    <w:p w14:paraId="762B1731" w14:textId="77777777" w:rsidR="000A243F" w:rsidRPr="005610B3" w:rsidRDefault="000A243F">
      <w:pPr>
        <w:tabs>
          <w:tab w:val="clear" w:pos="1134"/>
          <w:tab w:val="clear" w:pos="1871"/>
          <w:tab w:val="clear" w:pos="2268"/>
        </w:tabs>
        <w:overflowPunct/>
        <w:autoSpaceDE/>
        <w:autoSpaceDN/>
        <w:adjustRightInd/>
        <w:spacing w:before="0"/>
        <w:textAlignment w:val="auto"/>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8"/>
      </w:tblGrid>
      <w:tr w:rsidR="000A243F" w:rsidRPr="005610B3" w14:paraId="33296EF6" w14:textId="77777777" w:rsidTr="00CA21B7">
        <w:trPr>
          <w:tblHeader/>
          <w:jc w:val="center"/>
        </w:trPr>
        <w:tc>
          <w:tcPr>
            <w:tcW w:w="5088" w:type="dxa"/>
            <w:shd w:val="clear" w:color="auto" w:fill="auto"/>
            <w:hideMark/>
          </w:tcPr>
          <w:p w14:paraId="6E259747" w14:textId="77777777" w:rsidR="000A243F" w:rsidRPr="005610B3" w:rsidRDefault="000A243F" w:rsidP="00CA21B7">
            <w:pPr>
              <w:pStyle w:val="Tablehead"/>
              <w:rPr>
                <w:lang w:eastAsia="zh-CN"/>
              </w:rPr>
            </w:pPr>
            <w:r w:rsidRPr="00CA21B7">
              <w:t>High</w:t>
            </w:r>
            <w:r w:rsidRPr="005610B3">
              <w:rPr>
                <w:lang w:eastAsia="zh-CN"/>
              </w:rPr>
              <w:t xml:space="preserve"> level SG restructuring principles</w:t>
            </w:r>
          </w:p>
        </w:tc>
      </w:tr>
      <w:tr w:rsidR="000A243F" w:rsidRPr="005610B3" w14:paraId="3092E15C" w14:textId="77777777" w:rsidTr="00CA21B7">
        <w:trPr>
          <w:jc w:val="center"/>
        </w:trPr>
        <w:tc>
          <w:tcPr>
            <w:tcW w:w="5088" w:type="dxa"/>
            <w:shd w:val="clear" w:color="auto" w:fill="auto"/>
            <w:vAlign w:val="center"/>
            <w:hideMark/>
          </w:tcPr>
          <w:p w14:paraId="5792AA0F" w14:textId="77777777" w:rsidR="000A243F" w:rsidRPr="005610B3" w:rsidRDefault="000A243F" w:rsidP="00D26DBE">
            <w:pPr>
              <w:pStyle w:val="Tabletext"/>
              <w:keepNext/>
              <w:spacing w:before="60" w:after="60"/>
              <w:rPr>
                <w:lang w:eastAsia="zh-CN"/>
              </w:rPr>
            </w:pPr>
            <w:r w:rsidRPr="005610B3">
              <w:rPr>
                <w:lang w:eastAsia="zh-CN"/>
              </w:rPr>
              <w:t>A: Optimized structure</w:t>
            </w:r>
          </w:p>
        </w:tc>
      </w:tr>
      <w:tr w:rsidR="000A243F" w:rsidRPr="005610B3" w14:paraId="5785DD1E" w14:textId="77777777" w:rsidTr="00CA21B7">
        <w:trPr>
          <w:jc w:val="center"/>
        </w:trPr>
        <w:tc>
          <w:tcPr>
            <w:tcW w:w="5088" w:type="dxa"/>
            <w:shd w:val="clear" w:color="auto" w:fill="auto"/>
            <w:vAlign w:val="center"/>
            <w:hideMark/>
          </w:tcPr>
          <w:p w14:paraId="0DDC4D15" w14:textId="77777777" w:rsidR="000A243F" w:rsidRPr="005610B3" w:rsidRDefault="000A243F" w:rsidP="00D26DBE">
            <w:pPr>
              <w:pStyle w:val="Tabletext"/>
              <w:keepNext/>
              <w:spacing w:before="60" w:after="60"/>
              <w:rPr>
                <w:lang w:eastAsia="zh-CN"/>
              </w:rPr>
            </w:pPr>
            <w:r w:rsidRPr="005610B3">
              <w:rPr>
                <w:lang w:eastAsia="zh-CN"/>
              </w:rPr>
              <w:t>B: Clear mandates</w:t>
            </w:r>
          </w:p>
        </w:tc>
      </w:tr>
      <w:tr w:rsidR="000A243F" w:rsidRPr="005610B3" w14:paraId="759840FF" w14:textId="77777777" w:rsidTr="00CA21B7">
        <w:trPr>
          <w:jc w:val="center"/>
        </w:trPr>
        <w:tc>
          <w:tcPr>
            <w:tcW w:w="5088" w:type="dxa"/>
            <w:shd w:val="clear" w:color="auto" w:fill="auto"/>
            <w:vAlign w:val="center"/>
            <w:hideMark/>
          </w:tcPr>
          <w:p w14:paraId="4580B478" w14:textId="77777777" w:rsidR="000A243F" w:rsidRPr="005610B3" w:rsidRDefault="000A243F" w:rsidP="00D26DBE">
            <w:pPr>
              <w:pStyle w:val="Tabletext"/>
              <w:keepNext/>
              <w:spacing w:before="60" w:after="60"/>
              <w:rPr>
                <w:lang w:eastAsia="zh-CN"/>
              </w:rPr>
            </w:pPr>
            <w:r w:rsidRPr="005610B3">
              <w:rPr>
                <w:lang w:eastAsia="zh-CN"/>
              </w:rPr>
              <w:t>C: Enhanced coordination and cooperation</w:t>
            </w:r>
          </w:p>
        </w:tc>
      </w:tr>
      <w:tr w:rsidR="000A243F" w:rsidRPr="005610B3" w14:paraId="13595F10" w14:textId="77777777" w:rsidTr="00CA21B7">
        <w:trPr>
          <w:jc w:val="center"/>
        </w:trPr>
        <w:tc>
          <w:tcPr>
            <w:tcW w:w="5088" w:type="dxa"/>
            <w:shd w:val="clear" w:color="auto" w:fill="auto"/>
            <w:vAlign w:val="center"/>
            <w:hideMark/>
          </w:tcPr>
          <w:p w14:paraId="6D027BEF" w14:textId="77777777" w:rsidR="000A243F" w:rsidRPr="005610B3" w:rsidRDefault="000A243F" w:rsidP="00D26DBE">
            <w:pPr>
              <w:pStyle w:val="Tabletext"/>
              <w:spacing w:before="60" w:after="60"/>
              <w:rPr>
                <w:lang w:eastAsia="zh-CN"/>
              </w:rPr>
            </w:pPr>
            <w:r w:rsidRPr="005610B3">
              <w:rPr>
                <w:lang w:eastAsia="zh-CN"/>
              </w:rPr>
              <w:t>D: Cost-effective</w:t>
            </w:r>
            <w:r w:rsidRPr="005610B3">
              <w:rPr>
                <w:rFonts w:eastAsia="Malgun Gothic"/>
                <w:lang w:eastAsia="zh-CN"/>
              </w:rPr>
              <w:t>ness</w:t>
            </w:r>
            <w:r w:rsidRPr="005610B3">
              <w:rPr>
                <w:lang w:eastAsia="zh-CN"/>
              </w:rPr>
              <w:t xml:space="preserve"> and attractive</w:t>
            </w:r>
            <w:r w:rsidRPr="005610B3">
              <w:rPr>
                <w:rFonts w:eastAsia="Malgun Gothic"/>
                <w:lang w:eastAsia="zh-CN"/>
              </w:rPr>
              <w:t>ness</w:t>
            </w:r>
          </w:p>
        </w:tc>
      </w:tr>
      <w:tr w:rsidR="000A243F" w:rsidRPr="005610B3" w14:paraId="39D51D59" w14:textId="77777777" w:rsidTr="00CA21B7">
        <w:trPr>
          <w:jc w:val="center"/>
        </w:trPr>
        <w:tc>
          <w:tcPr>
            <w:tcW w:w="5088" w:type="dxa"/>
            <w:shd w:val="clear" w:color="auto" w:fill="auto"/>
            <w:vAlign w:val="center"/>
            <w:hideMark/>
          </w:tcPr>
          <w:p w14:paraId="66A09731" w14:textId="77777777" w:rsidR="000A243F" w:rsidRPr="005610B3" w:rsidRDefault="000A243F" w:rsidP="00D26DBE">
            <w:pPr>
              <w:pStyle w:val="Tabletext"/>
              <w:spacing w:before="60" w:after="60"/>
              <w:rPr>
                <w:lang w:eastAsia="zh-CN"/>
              </w:rPr>
            </w:pPr>
            <w:r w:rsidRPr="005610B3">
              <w:rPr>
                <w:lang w:eastAsia="zh-CN"/>
              </w:rPr>
              <w:t>E: Efficient and productive working methods</w:t>
            </w:r>
          </w:p>
        </w:tc>
      </w:tr>
      <w:tr w:rsidR="000A243F" w:rsidRPr="005610B3" w14:paraId="3A22CB42" w14:textId="77777777" w:rsidTr="00CA21B7">
        <w:trPr>
          <w:jc w:val="center"/>
        </w:trPr>
        <w:tc>
          <w:tcPr>
            <w:tcW w:w="5088" w:type="dxa"/>
            <w:shd w:val="clear" w:color="auto" w:fill="auto"/>
            <w:vAlign w:val="center"/>
            <w:hideMark/>
          </w:tcPr>
          <w:p w14:paraId="3FD3C469" w14:textId="77777777" w:rsidR="000A243F" w:rsidRPr="005610B3" w:rsidRDefault="000A243F" w:rsidP="00D26DBE">
            <w:pPr>
              <w:pStyle w:val="Tabletext"/>
              <w:spacing w:before="60" w:after="60"/>
              <w:rPr>
                <w:lang w:eastAsia="zh-CN"/>
              </w:rPr>
            </w:pPr>
            <w:r w:rsidRPr="005610B3">
              <w:rPr>
                <w:lang w:eastAsia="zh-CN"/>
              </w:rPr>
              <w:t xml:space="preserve">F: Timely </w:t>
            </w:r>
            <w:r w:rsidRPr="005610B3">
              <w:rPr>
                <w:rFonts w:eastAsia="Malgun Gothic"/>
                <w:lang w:eastAsia="zh-CN"/>
              </w:rPr>
              <w:t>identification of</w:t>
            </w:r>
            <w:r w:rsidRPr="005610B3">
              <w:rPr>
                <w:lang w:eastAsia="zh-CN"/>
              </w:rPr>
              <w:t xml:space="preserve"> standardization needs</w:t>
            </w:r>
          </w:p>
        </w:tc>
      </w:tr>
      <w:tr w:rsidR="000A243F" w:rsidRPr="005610B3" w14:paraId="1BF537E1" w14:textId="77777777" w:rsidTr="00CA21B7">
        <w:trPr>
          <w:jc w:val="center"/>
        </w:trPr>
        <w:tc>
          <w:tcPr>
            <w:tcW w:w="5088" w:type="dxa"/>
            <w:shd w:val="clear" w:color="auto" w:fill="auto"/>
            <w:vAlign w:val="center"/>
            <w:hideMark/>
          </w:tcPr>
          <w:p w14:paraId="63DC7805" w14:textId="77777777" w:rsidR="000A243F" w:rsidRPr="005610B3" w:rsidRDefault="000A243F" w:rsidP="000A243F">
            <w:pPr>
              <w:pStyle w:val="Tabletext"/>
              <w:numPr>
                <w:ilvl w:val="0"/>
                <w:numId w:val="12"/>
              </w:numPr>
              <w:tabs>
                <w:tab w:val="clear" w:pos="1871"/>
                <w:tab w:val="left" w:pos="794"/>
                <w:tab w:val="left" w:pos="1191"/>
                <w:tab w:val="left" w:pos="1588"/>
              </w:tabs>
              <w:spacing w:before="60" w:after="60"/>
              <w:rPr>
                <w:b/>
                <w:bCs/>
                <w:i/>
                <w:iCs/>
                <w:lang w:eastAsia="zh-CN"/>
              </w:rPr>
            </w:pPr>
            <w:r w:rsidRPr="005610B3">
              <w:rPr>
                <w:b/>
                <w:bCs/>
                <w:i/>
                <w:iCs/>
                <w:lang w:eastAsia="zh-CN"/>
              </w:rPr>
              <w:t xml:space="preserve">G: </w:t>
            </w:r>
            <w:r w:rsidRPr="005610B3">
              <w:rPr>
                <w:rFonts w:eastAsia="Malgun Gothic"/>
                <w:b/>
                <w:bCs/>
                <w:i/>
                <w:iCs/>
                <w:lang w:eastAsia="zh-CN"/>
              </w:rPr>
              <w:t>Support for</w:t>
            </w:r>
            <w:r w:rsidRPr="005610B3">
              <w:rPr>
                <w:b/>
                <w:bCs/>
                <w:i/>
                <w:iCs/>
                <w:lang w:eastAsia="zh-CN"/>
              </w:rPr>
              <w:t xml:space="preserve"> bridging the standardization gap</w:t>
            </w:r>
          </w:p>
        </w:tc>
      </w:tr>
    </w:tbl>
    <w:p w14:paraId="7ABA5BA4" w14:textId="77777777" w:rsidR="00CA21B7" w:rsidRDefault="00CA21B7" w:rsidP="00460202"/>
    <w:p w14:paraId="296D60F9" w14:textId="22A2E915" w:rsidR="000A243F" w:rsidRPr="005610B3" w:rsidRDefault="000A243F" w:rsidP="00460202">
      <w:r w:rsidRPr="005610B3">
        <w:t xml:space="preserve">It was noted that the “G:” principle addresses directly the </w:t>
      </w:r>
      <w:r w:rsidR="007C1378" w:rsidRPr="005610B3">
        <w:t xml:space="preserve">issue of </w:t>
      </w:r>
      <w:r w:rsidRPr="005610B3">
        <w:t xml:space="preserve">BSG, and the description of this principle by </w:t>
      </w:r>
      <w:proofErr w:type="spellStart"/>
      <w:r w:rsidRPr="005610B3">
        <w:t>RevCom</w:t>
      </w:r>
      <w:proofErr w:type="spellEnd"/>
      <w:r w:rsidRPr="005610B3">
        <w:t xml:space="preserve"> was: </w:t>
      </w:r>
      <w:r w:rsidRPr="005610B3">
        <w:rPr>
          <w:i/>
          <w:iCs/>
        </w:rPr>
        <w:t xml:space="preserve">“The new structure should assist developing countries to bridge the standardization gap, such as the </w:t>
      </w:r>
      <w:r w:rsidRPr="005610B3">
        <w:rPr>
          <w:i/>
          <w:iCs/>
          <w:u w:val="single"/>
        </w:rPr>
        <w:t>identification of measures to enhance participation in the work</w:t>
      </w:r>
      <w:r w:rsidRPr="005610B3">
        <w:rPr>
          <w:i/>
          <w:iCs/>
        </w:rPr>
        <w:t xml:space="preserve"> of the study groups, including the use of </w:t>
      </w:r>
      <w:r w:rsidRPr="005610B3">
        <w:rPr>
          <w:i/>
          <w:iCs/>
          <w:u w:val="single"/>
        </w:rPr>
        <w:t>electronic working methods</w:t>
      </w:r>
      <w:r w:rsidRPr="005610B3">
        <w:t xml:space="preserve">.”. </w:t>
      </w:r>
    </w:p>
    <w:p w14:paraId="642DE6B4" w14:textId="77777777" w:rsidR="000A243F" w:rsidRPr="005610B3" w:rsidRDefault="000A243F" w:rsidP="00460202">
      <w:r w:rsidRPr="005610B3">
        <w:t>So it seems that the perception of BSG is limited, e.g.</w:t>
      </w:r>
      <w:r w:rsidR="007C1378" w:rsidRPr="005610B3">
        <w:t>,</w:t>
      </w:r>
      <w:r w:rsidRPr="005610B3">
        <w:t xml:space="preserve"> enhancing the participation in the study group</w:t>
      </w:r>
      <w:r w:rsidR="007C1378" w:rsidRPr="005610B3">
        <w:t>s</w:t>
      </w:r>
      <w:r w:rsidRPr="005610B3">
        <w:t xml:space="preserve"> including EWM, and in many instances BSG activities focus mainly on capacity building. </w:t>
      </w:r>
    </w:p>
    <w:p w14:paraId="4FF874B6" w14:textId="7E9F57A2" w:rsidR="000A243F" w:rsidRPr="005610B3" w:rsidRDefault="007C1378" w:rsidP="00C93267">
      <w:pPr>
        <w:rPr>
          <w:i/>
          <w:iCs/>
        </w:rPr>
      </w:pPr>
      <w:r w:rsidRPr="005610B3">
        <w:t>T</w:t>
      </w:r>
      <w:r w:rsidR="000A243F" w:rsidRPr="005610B3">
        <w:t>hese are very relevant requirements</w:t>
      </w:r>
      <w:r w:rsidRPr="005610B3">
        <w:t>;</w:t>
      </w:r>
      <w:r w:rsidR="000A243F" w:rsidRPr="005610B3">
        <w:t xml:space="preserve"> however</w:t>
      </w:r>
      <w:r w:rsidRPr="005610B3">
        <w:t>,</w:t>
      </w:r>
      <w:r w:rsidR="000A243F" w:rsidRPr="005610B3">
        <w:t xml:space="preserve"> structuring of </w:t>
      </w:r>
      <w:r w:rsidRPr="005610B3">
        <w:t xml:space="preserve">study groups </w:t>
      </w:r>
      <w:r w:rsidR="000A243F" w:rsidRPr="005610B3">
        <w:t xml:space="preserve">should address more elaborate issues that address the needs and concerns of developing countries. This stems from the ITU Constitution (CS104) </w:t>
      </w:r>
      <w:r w:rsidR="000A243F" w:rsidRPr="005610B3">
        <w:rPr>
          <w:i/>
          <w:iCs/>
        </w:rPr>
        <w:t>“The functions of the Telecommunication Standardization Sector shall be, bearing in mind the particular concerns of the developing countries , …..”</w:t>
      </w:r>
      <w:r w:rsidR="000A243F" w:rsidRPr="005610B3">
        <w:t xml:space="preserve">; also from the preamble of the CS: </w:t>
      </w:r>
      <w:r w:rsidR="000A243F" w:rsidRPr="005610B3">
        <w:rPr>
          <w:i/>
          <w:iCs/>
        </w:rPr>
        <w:t>“taking into consideration of facilitating peaceful relations, international cooperation among peoples and economic and social development by means of efficient telecommunication services”.</w:t>
      </w:r>
    </w:p>
    <w:p w14:paraId="09A2447C" w14:textId="5A5AAD1F" w:rsidR="000A243F" w:rsidRPr="005610B3" w:rsidRDefault="000A243F" w:rsidP="00CA21B7">
      <w:r w:rsidRPr="005610B3">
        <w:t>It has been noted in the globalization era that commercialization, competition and market forces are mostly in favour for the “strongest” (e.g.</w:t>
      </w:r>
      <w:r w:rsidR="007C1378" w:rsidRPr="005610B3">
        <w:t>,</w:t>
      </w:r>
      <w:r w:rsidRPr="005610B3">
        <w:t xml:space="preserve"> those with SMPs), and this applies to global markets </w:t>
      </w:r>
      <w:r w:rsidR="007C1378" w:rsidRPr="005610B3">
        <w:t xml:space="preserve">the </w:t>
      </w:r>
      <w:r w:rsidRPr="005610B3">
        <w:t xml:space="preserve">same as </w:t>
      </w:r>
      <w:r w:rsidR="007C1378" w:rsidRPr="005610B3">
        <w:t xml:space="preserve">to </w:t>
      </w:r>
      <w:r w:rsidRPr="005610B3">
        <w:t>local markets. Accordingly, the ITU-T Recommendations are developed to define elements in the global infrastructure of telecommunications/ICTs targeting improved global connectivity and offering innovative</w:t>
      </w:r>
      <w:r w:rsidR="007C1378" w:rsidRPr="005610B3">
        <w:t>,</w:t>
      </w:r>
      <w:r w:rsidRPr="005610B3">
        <w:t xml:space="preserve"> affordable services, also avoiding costly market battles over preferred technologies. However</w:t>
      </w:r>
      <w:r w:rsidR="007C1378" w:rsidRPr="005610B3">
        <w:t>,</w:t>
      </w:r>
      <w:r w:rsidRPr="005610B3">
        <w:t xml:space="preserve"> such technology </w:t>
      </w:r>
      <w:r w:rsidR="007C1378" w:rsidRPr="005610B3">
        <w:t xml:space="preserve">battles </w:t>
      </w:r>
      <w:r w:rsidRPr="005610B3">
        <w:t xml:space="preserve">still exist in the global arena as well as sometimes inside the ITU-T. </w:t>
      </w:r>
      <w:r w:rsidR="00DA539F" w:rsidRPr="005610B3">
        <w:t xml:space="preserve">The </w:t>
      </w:r>
      <w:r w:rsidRPr="005610B3">
        <w:t xml:space="preserve">needs and concerns of developing countries are seldom considered during these </w:t>
      </w:r>
      <w:r w:rsidR="00DA539F" w:rsidRPr="005610B3">
        <w:t>battles</w:t>
      </w:r>
      <w:r w:rsidRPr="005610B3">
        <w:t xml:space="preserve">. </w:t>
      </w:r>
    </w:p>
    <w:p w14:paraId="3129FEC6" w14:textId="61916D89" w:rsidR="000A243F" w:rsidRPr="005610B3" w:rsidRDefault="000A243F" w:rsidP="00C93267">
      <w:r w:rsidRPr="005610B3">
        <w:t>For example, it is noted that two study groups among the eleven ITU-T study groups deal to a great extent with regulatory and policy matters; and from every</w:t>
      </w:r>
      <w:r w:rsidR="00C93267" w:rsidRPr="005610B3">
        <w:t>-</w:t>
      </w:r>
      <w:r w:rsidRPr="005610B3">
        <w:t>day practice, it appears that almost all of the topics that have regulatory or policy aspects are commensurate with negative impacts on developing countries! (e.g.</w:t>
      </w:r>
      <w:r w:rsidR="00DA539F" w:rsidRPr="005610B3">
        <w:t>,</w:t>
      </w:r>
      <w:r w:rsidRPr="005610B3">
        <w:t xml:space="preserve"> Alternative Calling Procedures and call back, Numbering Misuse, IIC, Originating Identification spoofing and non-delivery, refiling, counterfeit devices, OTT, roaming charges, extraterritorial use of numbering and identification resources, etc</w:t>
      </w:r>
      <w:r w:rsidR="00DA539F" w:rsidRPr="005610B3">
        <w:t>.</w:t>
      </w:r>
      <w:r w:rsidRPr="005610B3">
        <w:t>), which cause huge losses to developing countries</w:t>
      </w:r>
      <w:r w:rsidR="00DA539F" w:rsidRPr="005610B3">
        <w:t>’</w:t>
      </w:r>
      <w:r w:rsidRPr="005610B3">
        <w:t xml:space="preserve"> national revenues, as well </w:t>
      </w:r>
      <w:r w:rsidR="00DA539F" w:rsidRPr="005610B3">
        <w:t xml:space="preserve">as </w:t>
      </w:r>
      <w:r w:rsidRPr="005610B3">
        <w:t>its operating agencies. Even though the current standards may result in affordable access to services worldwide regardless of the underlying technology, still the above</w:t>
      </w:r>
      <w:r w:rsidR="00DA539F" w:rsidRPr="005610B3">
        <w:t>-</w:t>
      </w:r>
      <w:r w:rsidRPr="005610B3">
        <w:t>listed sample of topics have overall negative socioeconomic impact on developing countries, and the associated standards are in many aspects not sufficiently supportive in this regard.</w:t>
      </w:r>
      <w:r w:rsidR="002B7CD2">
        <w:t xml:space="preserve"> </w:t>
      </w:r>
    </w:p>
    <w:p w14:paraId="331FAE79" w14:textId="450342FF" w:rsidR="000A243F" w:rsidRPr="005610B3" w:rsidRDefault="000A243F" w:rsidP="00460202">
      <w:r w:rsidRPr="005610B3">
        <w:t>Such countries and their operating agencies usually do not have enough market power, negotiation power or technical know-how to counter such practices. Indeed</w:t>
      </w:r>
      <w:r w:rsidR="00DA539F" w:rsidRPr="005610B3">
        <w:t>,</w:t>
      </w:r>
      <w:r w:rsidRPr="005610B3">
        <w:t xml:space="preserve"> some of the technologies have the promise to provide affordable services on the long term (e.g.</w:t>
      </w:r>
      <w:r w:rsidR="00DA539F" w:rsidRPr="005610B3">
        <w:t>,</w:t>
      </w:r>
      <w:r w:rsidRPr="005610B3">
        <w:t xml:space="preserve"> VoIP, OTT, etc</w:t>
      </w:r>
      <w:r w:rsidR="00DA539F" w:rsidRPr="005610B3">
        <w:t>.</w:t>
      </w:r>
      <w:r w:rsidRPr="005610B3">
        <w:t xml:space="preserve">), but until this happens, standards should be developed with consideration of the current environment. </w:t>
      </w:r>
    </w:p>
    <w:p w14:paraId="617528CE" w14:textId="2D9C83E9" w:rsidR="000A243F" w:rsidRPr="005610B3" w:rsidRDefault="000A243F" w:rsidP="00C93267">
      <w:r w:rsidRPr="005610B3">
        <w:t xml:space="preserve">Therefore, African Member States are looking for an ITU-T </w:t>
      </w:r>
      <w:r w:rsidR="00DA539F" w:rsidRPr="005610B3">
        <w:t>study</w:t>
      </w:r>
      <w:r w:rsidR="003A0BF0" w:rsidRPr="005610B3">
        <w:t xml:space="preserve"> </w:t>
      </w:r>
      <w:r w:rsidR="00DA539F" w:rsidRPr="005610B3">
        <w:t>group</w:t>
      </w:r>
      <w:r w:rsidRPr="005610B3">
        <w:t xml:space="preserve"> structure that help</w:t>
      </w:r>
      <w:r w:rsidR="00DA539F" w:rsidRPr="005610B3">
        <w:t>s</w:t>
      </w:r>
      <w:r w:rsidRPr="005610B3">
        <w:t xml:space="preserve"> in developing standards which address effectively and promptly the concerns and needs of developing countries. </w:t>
      </w:r>
    </w:p>
    <w:p w14:paraId="5BBCFC40" w14:textId="77777777" w:rsidR="00994E17" w:rsidRPr="005610B3" w:rsidRDefault="000A243F" w:rsidP="00460202">
      <w:pPr>
        <w:pStyle w:val="Proposal"/>
      </w:pPr>
      <w:r w:rsidRPr="005610B3">
        <w:tab/>
        <w:t>AFCP/42A32/1</w:t>
      </w:r>
    </w:p>
    <w:p w14:paraId="7C2615F6" w14:textId="42790D0A" w:rsidR="000A243F" w:rsidRPr="005610B3" w:rsidRDefault="000A243F" w:rsidP="000010D1">
      <w:r w:rsidRPr="005610B3">
        <w:t xml:space="preserve">Among any </w:t>
      </w:r>
      <w:r w:rsidR="00DA539F" w:rsidRPr="005610B3">
        <w:t>high</w:t>
      </w:r>
      <w:r w:rsidR="00DA539F" w:rsidRPr="005610B3">
        <w:noBreakHyphen/>
      </w:r>
      <w:r w:rsidRPr="005610B3">
        <w:t xml:space="preserve">level SG structure principles, there should be a principle which includes “Assisting in addressing the concerns of developing countries and in </w:t>
      </w:r>
      <w:proofErr w:type="gramStart"/>
      <w:r w:rsidRPr="005610B3">
        <w:t>Bridging</w:t>
      </w:r>
      <w:proofErr w:type="gramEnd"/>
      <w:r w:rsidRPr="005610B3">
        <w:t xml:space="preserve"> the Standardization Gap”</w:t>
      </w:r>
      <w:r w:rsidR="00DA539F" w:rsidRPr="005610B3">
        <w:t>, specifically</w:t>
      </w:r>
      <w:r w:rsidRPr="005610B3">
        <w:t>:</w:t>
      </w:r>
    </w:p>
    <w:p w14:paraId="5C258217" w14:textId="18BB2C97" w:rsidR="000A243F" w:rsidRPr="005610B3" w:rsidRDefault="000010D1" w:rsidP="000010D1">
      <w:pPr>
        <w:pStyle w:val="enumlev1"/>
      </w:pPr>
      <w:r w:rsidRPr="005610B3">
        <w:t>•</w:t>
      </w:r>
      <w:r w:rsidRPr="005610B3">
        <w:tab/>
      </w:r>
      <w:r w:rsidR="000A243F" w:rsidRPr="005610B3">
        <w:t>The new structure should assist developing countries to bridge the standardization gap, such as the identification of measures to enhance participation in the work of the study groups, including the use of electronic working methods, capacity building, sharing of information, technology transfer, etc.</w:t>
      </w:r>
    </w:p>
    <w:p w14:paraId="25FC92C9" w14:textId="7576930C" w:rsidR="00994E17" w:rsidRDefault="000010D1" w:rsidP="000010D1">
      <w:pPr>
        <w:pStyle w:val="enumlev1"/>
      </w:pPr>
      <w:r w:rsidRPr="005610B3">
        <w:t>•</w:t>
      </w:r>
      <w:r w:rsidRPr="005610B3">
        <w:tab/>
      </w:r>
      <w:r w:rsidR="000A243F" w:rsidRPr="005610B3">
        <w:t xml:space="preserve">The new structure should consider the concerns of developing countries, in particular for those </w:t>
      </w:r>
      <w:r w:rsidR="00DA539F" w:rsidRPr="005610B3">
        <w:t xml:space="preserve">study groups </w:t>
      </w:r>
      <w:r w:rsidR="000A243F" w:rsidRPr="005610B3">
        <w:t xml:space="preserve">that mainly develop </w:t>
      </w:r>
      <w:r w:rsidR="00CA21B7" w:rsidRPr="005610B3">
        <w:t xml:space="preserve">recommendations </w:t>
      </w:r>
      <w:r w:rsidR="000A243F" w:rsidRPr="005610B3">
        <w:t>having regulatory aspects.</w:t>
      </w:r>
    </w:p>
    <w:p w14:paraId="63B0528E" w14:textId="77777777" w:rsidR="00CA21B7" w:rsidRPr="005610B3" w:rsidRDefault="00CA21B7" w:rsidP="00CA21B7">
      <w:pPr>
        <w:pStyle w:val="Reasons"/>
      </w:pPr>
    </w:p>
    <w:p w14:paraId="0FB051C4" w14:textId="78B3E257" w:rsidR="000A243F" w:rsidRPr="005610B3" w:rsidRDefault="000A243F" w:rsidP="000010D1">
      <w:pPr>
        <w:pStyle w:val="Heading1"/>
      </w:pPr>
      <w:r w:rsidRPr="005610B3">
        <w:t>2.2</w:t>
      </w:r>
      <w:r w:rsidRPr="005610B3">
        <w:tab/>
        <w:t>TSB thoughts for ITU-T restructuring</w:t>
      </w:r>
    </w:p>
    <w:p w14:paraId="71657F5C" w14:textId="77777777" w:rsidR="00CD6AD6" w:rsidRPr="005610B3" w:rsidRDefault="000A243F" w:rsidP="000010D1">
      <w:r w:rsidRPr="005610B3">
        <w:t>According to the Director of TSB, the work of the existing ITU-T is not geared toward industries and market solutions. He suggested therefore that a restructuring of groups and study groups is carried out to compensate for this situation and to make the operation of ITU-T more efficient.</w:t>
      </w:r>
    </w:p>
    <w:p w14:paraId="7A3D8CA3" w14:textId="25940E99" w:rsidR="000A243F" w:rsidRPr="005610B3" w:rsidRDefault="000A243F" w:rsidP="000010D1">
      <w:r w:rsidRPr="005610B3">
        <w:t xml:space="preserve">To this end, he proposed a reduction in the number of study groups to </w:t>
      </w:r>
      <w:r w:rsidR="00DA539F" w:rsidRPr="005610B3">
        <w:t xml:space="preserve">four domains </w:t>
      </w:r>
      <w:r w:rsidRPr="005610B3">
        <w:t>according to aspects of telecommunications in which they operate. The recommendation was:</w:t>
      </w:r>
    </w:p>
    <w:p w14:paraId="26495183" w14:textId="100C93DC" w:rsidR="000A243F" w:rsidRPr="005610B3" w:rsidRDefault="000010D1" w:rsidP="000010D1">
      <w:pPr>
        <w:pStyle w:val="enumlev1"/>
      </w:pPr>
      <w:r w:rsidRPr="005610B3">
        <w:t>•</w:t>
      </w:r>
      <w:r w:rsidRPr="005610B3">
        <w:tab/>
      </w:r>
      <w:r w:rsidR="000A243F" w:rsidRPr="005610B3">
        <w:t xml:space="preserve">Operational, policy and regulation based </w:t>
      </w:r>
      <w:r w:rsidR="00DA539F" w:rsidRPr="005610B3">
        <w:t xml:space="preserve">study groups </w:t>
      </w:r>
      <w:r w:rsidR="000A243F" w:rsidRPr="005610B3">
        <w:t>(SG</w:t>
      </w:r>
      <w:r w:rsidR="00CA21B7">
        <w:t xml:space="preserve"> </w:t>
      </w:r>
      <w:r w:rsidR="000A243F" w:rsidRPr="005610B3">
        <w:t>2 and SG</w:t>
      </w:r>
      <w:r w:rsidR="00CA21B7">
        <w:t xml:space="preserve"> </w:t>
      </w:r>
      <w:r w:rsidR="000A243F" w:rsidRPr="005610B3">
        <w:t>3);</w:t>
      </w:r>
    </w:p>
    <w:p w14:paraId="65C8D1A6" w14:textId="53C32A79" w:rsidR="000A243F" w:rsidRPr="005610B3" w:rsidRDefault="000010D1" w:rsidP="000010D1">
      <w:pPr>
        <w:pStyle w:val="enumlev1"/>
      </w:pPr>
      <w:r w:rsidRPr="005610B3">
        <w:t>•</w:t>
      </w:r>
      <w:r w:rsidRPr="005610B3">
        <w:tab/>
      </w:r>
      <w:r w:rsidR="000A243F" w:rsidRPr="005610B3">
        <w:t xml:space="preserve">Contemporary function based </w:t>
      </w:r>
      <w:r w:rsidR="00485155" w:rsidRPr="005610B3">
        <w:t xml:space="preserve">study groups </w:t>
      </w:r>
      <w:r w:rsidR="000A243F" w:rsidRPr="005610B3">
        <w:t>(SG</w:t>
      </w:r>
      <w:r w:rsidR="00CA21B7">
        <w:t xml:space="preserve"> </w:t>
      </w:r>
      <w:r w:rsidR="000A243F" w:rsidRPr="005610B3">
        <w:t>5, SG</w:t>
      </w:r>
      <w:r w:rsidR="00CA21B7">
        <w:t xml:space="preserve"> </w:t>
      </w:r>
      <w:r w:rsidR="000A243F" w:rsidRPr="005610B3">
        <w:t>12 and SG 17);</w:t>
      </w:r>
    </w:p>
    <w:p w14:paraId="641FBCF2" w14:textId="237625E1" w:rsidR="000A243F" w:rsidRPr="005610B3" w:rsidRDefault="000010D1" w:rsidP="000010D1">
      <w:pPr>
        <w:pStyle w:val="enumlev1"/>
      </w:pPr>
      <w:r w:rsidRPr="005610B3">
        <w:t>•</w:t>
      </w:r>
      <w:r w:rsidRPr="005610B3">
        <w:tab/>
      </w:r>
      <w:r w:rsidR="000A243F" w:rsidRPr="005610B3">
        <w:t xml:space="preserve">Services and applications based </w:t>
      </w:r>
      <w:r w:rsidR="00485155" w:rsidRPr="005610B3">
        <w:t xml:space="preserve">study groups </w:t>
      </w:r>
      <w:r w:rsidR="000A243F" w:rsidRPr="005610B3">
        <w:t>(SG</w:t>
      </w:r>
      <w:r w:rsidR="00CA21B7">
        <w:t xml:space="preserve"> </w:t>
      </w:r>
      <w:r w:rsidR="000A243F" w:rsidRPr="005610B3">
        <w:t>9, SG</w:t>
      </w:r>
      <w:r w:rsidR="00CA21B7">
        <w:t xml:space="preserve"> </w:t>
      </w:r>
      <w:r w:rsidR="000A243F" w:rsidRPr="005610B3">
        <w:t>16 and SG</w:t>
      </w:r>
      <w:r w:rsidR="00CA21B7">
        <w:t xml:space="preserve"> </w:t>
      </w:r>
      <w:r w:rsidR="000A243F" w:rsidRPr="005610B3">
        <w:t>20);</w:t>
      </w:r>
    </w:p>
    <w:p w14:paraId="30A0827B" w14:textId="101ADFC7" w:rsidR="000A243F" w:rsidRPr="005610B3" w:rsidRDefault="000010D1" w:rsidP="000010D1">
      <w:pPr>
        <w:pStyle w:val="enumlev1"/>
      </w:pPr>
      <w:r w:rsidRPr="005610B3">
        <w:t>•</w:t>
      </w:r>
      <w:r w:rsidRPr="005610B3">
        <w:tab/>
      </w:r>
      <w:r w:rsidR="000A243F" w:rsidRPr="005610B3">
        <w:t xml:space="preserve">Infrastructure focused </w:t>
      </w:r>
      <w:r w:rsidR="00485155" w:rsidRPr="005610B3">
        <w:t xml:space="preserve">study groups </w:t>
      </w:r>
      <w:r w:rsidR="000A243F" w:rsidRPr="005610B3">
        <w:t>(SG 11, SG</w:t>
      </w:r>
      <w:r w:rsidR="00CA21B7">
        <w:t xml:space="preserve"> </w:t>
      </w:r>
      <w:r w:rsidR="000A243F" w:rsidRPr="005610B3">
        <w:t>13 and SG</w:t>
      </w:r>
      <w:r w:rsidR="00CA21B7">
        <w:t xml:space="preserve"> </w:t>
      </w:r>
      <w:r w:rsidR="000A243F" w:rsidRPr="005610B3">
        <w:t>15).</w:t>
      </w:r>
    </w:p>
    <w:p w14:paraId="18BA781C" w14:textId="54FF0032" w:rsidR="000A243F" w:rsidRPr="005610B3" w:rsidRDefault="000A243F" w:rsidP="000010D1">
      <w:r w:rsidRPr="005610B3">
        <w:t>The African Member States support in principle the restructuring proposed by the TSB. Based on these principles, it would be more efficient to make a reduction in the number of study group</w:t>
      </w:r>
      <w:r w:rsidR="00485155" w:rsidRPr="005610B3">
        <w:t>s</w:t>
      </w:r>
      <w:r w:rsidRPr="005610B3">
        <w:t>. This would:</w:t>
      </w:r>
    </w:p>
    <w:p w14:paraId="449E9254" w14:textId="09881229" w:rsidR="000A243F" w:rsidRPr="005610B3" w:rsidRDefault="000010D1" w:rsidP="000010D1">
      <w:pPr>
        <w:pStyle w:val="enumlev1"/>
        <w:rPr>
          <w:szCs w:val="24"/>
        </w:rPr>
      </w:pPr>
      <w:r w:rsidRPr="005610B3">
        <w:t>•</w:t>
      </w:r>
      <w:r w:rsidRPr="005610B3">
        <w:tab/>
      </w:r>
      <w:r w:rsidR="000A243F" w:rsidRPr="005610B3">
        <w:t>facilitate cooperation between groups within the ITU-T and rightly reduce the correspondence with other Standardization Organizations;</w:t>
      </w:r>
    </w:p>
    <w:p w14:paraId="12607749" w14:textId="442D59C1" w:rsidR="000A243F" w:rsidRPr="005610B3" w:rsidRDefault="000010D1" w:rsidP="000010D1">
      <w:pPr>
        <w:pStyle w:val="enumlev1"/>
        <w:rPr>
          <w:szCs w:val="24"/>
        </w:rPr>
      </w:pPr>
      <w:r w:rsidRPr="005610B3">
        <w:t>•</w:t>
      </w:r>
      <w:r w:rsidRPr="005610B3">
        <w:tab/>
      </w:r>
      <w:r w:rsidR="000A243F" w:rsidRPr="005610B3">
        <w:t xml:space="preserve">avoid </w:t>
      </w:r>
      <w:r w:rsidR="00485155" w:rsidRPr="005610B3">
        <w:t xml:space="preserve">the </w:t>
      </w:r>
      <w:r w:rsidR="000A243F" w:rsidRPr="005610B3">
        <w:t>duplication of work;</w:t>
      </w:r>
    </w:p>
    <w:p w14:paraId="19CCEC09" w14:textId="1AD9170F" w:rsidR="000A243F" w:rsidRPr="005610B3" w:rsidRDefault="000010D1" w:rsidP="000010D1">
      <w:pPr>
        <w:pStyle w:val="enumlev1"/>
      </w:pPr>
      <w:r w:rsidRPr="005610B3">
        <w:t>•</w:t>
      </w:r>
      <w:r w:rsidRPr="005610B3">
        <w:tab/>
      </w:r>
      <w:r w:rsidR="000A243F" w:rsidRPr="005610B3">
        <w:t>facilitate the participation of experts on a variety of topics;</w:t>
      </w:r>
    </w:p>
    <w:p w14:paraId="6587D7CE" w14:textId="1303197A" w:rsidR="000A243F" w:rsidRPr="005610B3" w:rsidRDefault="000010D1" w:rsidP="00CA21B7">
      <w:pPr>
        <w:pStyle w:val="enumlev1"/>
      </w:pPr>
      <w:r w:rsidRPr="005610B3">
        <w:t>•</w:t>
      </w:r>
      <w:r w:rsidRPr="005610B3">
        <w:tab/>
      </w:r>
      <w:r w:rsidR="00485155" w:rsidRPr="005610B3">
        <w:t xml:space="preserve">optimize </w:t>
      </w:r>
      <w:r w:rsidR="000A243F" w:rsidRPr="005610B3">
        <w:t>the management of the budget for study groups;</w:t>
      </w:r>
      <w:r w:rsidR="00CA21B7">
        <w:t xml:space="preserve"> e</w:t>
      </w:r>
      <w:r w:rsidR="000A243F" w:rsidRPr="005610B3">
        <w:t>tc.</w:t>
      </w:r>
    </w:p>
    <w:p w14:paraId="276EDF11" w14:textId="55B75FB8" w:rsidR="000A243F" w:rsidRPr="005610B3" w:rsidRDefault="000A243F" w:rsidP="000010D1">
      <w:r w:rsidRPr="005610B3">
        <w:t xml:space="preserve">However, </w:t>
      </w:r>
      <w:r w:rsidR="00485155" w:rsidRPr="005610B3">
        <w:t xml:space="preserve">in </w:t>
      </w:r>
      <w:r w:rsidRPr="005610B3">
        <w:t xml:space="preserve">order not to heavily affect the ITU-T activities by undertaking a radical transformation which may require a relatively long time to adapt, it would be prudent to make </w:t>
      </w:r>
      <w:r w:rsidR="00485155" w:rsidRPr="005610B3">
        <w:t xml:space="preserve">a </w:t>
      </w:r>
      <w:r w:rsidRPr="005610B3">
        <w:t xml:space="preserve">more flexible way of reform. </w:t>
      </w:r>
    </w:p>
    <w:p w14:paraId="637051DC" w14:textId="2C046315" w:rsidR="000A243F" w:rsidRPr="005610B3" w:rsidRDefault="000A243F" w:rsidP="00614304">
      <w:pPr>
        <w:rPr>
          <w:sz w:val="28"/>
          <w:szCs w:val="22"/>
        </w:rPr>
      </w:pPr>
      <w:r w:rsidRPr="005610B3">
        <w:rPr>
          <w:b/>
          <w:bCs/>
          <w:color w:val="222222"/>
          <w:sz w:val="28"/>
          <w:szCs w:val="22"/>
        </w:rPr>
        <w:t>African Member S</w:t>
      </w:r>
      <w:r w:rsidR="005920D1" w:rsidRPr="005610B3">
        <w:rPr>
          <w:b/>
          <w:bCs/>
          <w:color w:val="222222"/>
          <w:sz w:val="28"/>
          <w:szCs w:val="22"/>
        </w:rPr>
        <w:t>t</w:t>
      </w:r>
      <w:r w:rsidRPr="005610B3">
        <w:rPr>
          <w:b/>
          <w:bCs/>
          <w:color w:val="222222"/>
          <w:sz w:val="28"/>
          <w:szCs w:val="22"/>
        </w:rPr>
        <w:t>ates’ proposals for restructuring are as follows:</w:t>
      </w:r>
    </w:p>
    <w:p w14:paraId="67015816" w14:textId="77777777" w:rsidR="00994E17" w:rsidRPr="005610B3" w:rsidRDefault="000A243F" w:rsidP="000010D1">
      <w:pPr>
        <w:pStyle w:val="Proposal"/>
      </w:pPr>
      <w:r w:rsidRPr="005610B3">
        <w:tab/>
        <w:t>AFCP/42A32/2</w:t>
      </w:r>
    </w:p>
    <w:p w14:paraId="399D24CD" w14:textId="77777777" w:rsidR="000A243F" w:rsidRPr="005610B3" w:rsidRDefault="000A243F" w:rsidP="000010D1">
      <w:r w:rsidRPr="005610B3">
        <w:t>The African countries suggest that further discussions be conducted during the next study period to assess whether any restructuring</w:t>
      </w:r>
      <w:r w:rsidR="00485155" w:rsidRPr="005610B3">
        <w:t xml:space="preserve"> is necessary,</w:t>
      </w:r>
      <w:r w:rsidRPr="005610B3">
        <w:t xml:space="preserve"> and defining the conditions and modalities of its implementation.</w:t>
      </w:r>
    </w:p>
    <w:p w14:paraId="5C999A06" w14:textId="77777777" w:rsidR="000A243F" w:rsidRPr="005610B3" w:rsidRDefault="000A243F" w:rsidP="000010D1">
      <w:r w:rsidRPr="005610B3">
        <w:t xml:space="preserve">To this end, African countries suggest the creation of a working group of TSAG, preferably small, with a mandate to implement such </w:t>
      </w:r>
      <w:r w:rsidR="00485155" w:rsidRPr="005610B3">
        <w:t xml:space="preserve">a </w:t>
      </w:r>
      <w:r w:rsidRPr="005610B3">
        <w:t>proposition. Thus, to carry out this work, the group may use the following approach:</w:t>
      </w:r>
    </w:p>
    <w:p w14:paraId="0BB6B1F3" w14:textId="2CEF5824" w:rsidR="000A243F" w:rsidRPr="005610B3" w:rsidRDefault="000010D1" w:rsidP="000010D1">
      <w:pPr>
        <w:pStyle w:val="enumlev1"/>
      </w:pPr>
      <w:r w:rsidRPr="005610B3">
        <w:t>•</w:t>
      </w:r>
      <w:r w:rsidRPr="005610B3">
        <w:tab/>
      </w:r>
      <w:r w:rsidR="000A243F" w:rsidRPr="005610B3">
        <w:t>Assess the strengths and weaknesses of the current structure and organization of the ITU-T study groups;</w:t>
      </w:r>
    </w:p>
    <w:p w14:paraId="7AD55B9D" w14:textId="29926C44" w:rsidR="000A243F" w:rsidRPr="005610B3" w:rsidRDefault="000010D1" w:rsidP="000010D1">
      <w:pPr>
        <w:pStyle w:val="enumlev1"/>
      </w:pPr>
      <w:r w:rsidRPr="005610B3">
        <w:t>•</w:t>
      </w:r>
      <w:r w:rsidRPr="005610B3">
        <w:tab/>
      </w:r>
      <w:r w:rsidR="000A243F" w:rsidRPr="005610B3">
        <w:t xml:space="preserve">Evaluate the </w:t>
      </w:r>
      <w:r w:rsidR="00CA21B7" w:rsidRPr="005610B3">
        <w:t xml:space="preserve">recommendations </w:t>
      </w:r>
      <w:r w:rsidR="000A243F" w:rsidRPr="005610B3">
        <w:t>of the ITU-T and their implementation by the Membership and the Sector;</w:t>
      </w:r>
    </w:p>
    <w:p w14:paraId="662899E8" w14:textId="453FBCB7" w:rsidR="000A243F" w:rsidRPr="005610B3" w:rsidRDefault="000010D1" w:rsidP="000010D1">
      <w:pPr>
        <w:pStyle w:val="enumlev1"/>
      </w:pPr>
      <w:r w:rsidRPr="005610B3">
        <w:t>•</w:t>
      </w:r>
      <w:r w:rsidRPr="005610B3">
        <w:tab/>
      </w:r>
      <w:r w:rsidR="000A243F" w:rsidRPr="005610B3">
        <w:t>Determine the optimized restructuring;</w:t>
      </w:r>
    </w:p>
    <w:p w14:paraId="3EA54D7F" w14:textId="393781D6" w:rsidR="000A243F" w:rsidRPr="005610B3" w:rsidRDefault="000010D1" w:rsidP="000010D1">
      <w:pPr>
        <w:pStyle w:val="enumlev1"/>
      </w:pPr>
      <w:r w:rsidRPr="005610B3">
        <w:t>•</w:t>
      </w:r>
      <w:r w:rsidRPr="005610B3">
        <w:tab/>
      </w:r>
      <w:r w:rsidR="000A243F" w:rsidRPr="005610B3">
        <w:t>Make any proposals.</w:t>
      </w:r>
    </w:p>
    <w:p w14:paraId="669AD069" w14:textId="76E002B6" w:rsidR="000A243F" w:rsidRPr="005610B3" w:rsidRDefault="000A243F" w:rsidP="000010D1">
      <w:r w:rsidRPr="005610B3">
        <w:t xml:space="preserve">The report of the work of this working group will be transmitted by TSAG to the ITU-T </w:t>
      </w:r>
      <w:r w:rsidR="00485155" w:rsidRPr="005610B3">
        <w:t>study groups</w:t>
      </w:r>
      <w:r w:rsidRPr="005610B3">
        <w:t xml:space="preserve"> at least one year prior to WTSA-20 to gather their views and comments for possible adoption at WTSA-20.</w:t>
      </w:r>
    </w:p>
    <w:p w14:paraId="5C3A2CBA" w14:textId="3C00D40E" w:rsidR="00994E17" w:rsidRDefault="000A243F" w:rsidP="000010D1">
      <w:r w:rsidRPr="005610B3">
        <w:t>ITU will also invite Members to provide their views within the same time</w:t>
      </w:r>
      <w:r w:rsidR="00CD6AD6" w:rsidRPr="005610B3">
        <w:t>-</w:t>
      </w:r>
      <w:r w:rsidRPr="005610B3">
        <w:t>frame</w:t>
      </w:r>
      <w:r w:rsidR="00485155" w:rsidRPr="005610B3">
        <w:t>.</w:t>
      </w:r>
    </w:p>
    <w:p w14:paraId="78F52B05" w14:textId="77777777" w:rsidR="00CA21B7" w:rsidRPr="005610B3" w:rsidRDefault="00CA21B7" w:rsidP="00CA21B7">
      <w:pPr>
        <w:pStyle w:val="Reasons"/>
      </w:pPr>
    </w:p>
    <w:p w14:paraId="354CA5E5" w14:textId="274B7A95" w:rsidR="00994E17" w:rsidRPr="005610B3" w:rsidRDefault="000A243F">
      <w:pPr>
        <w:pStyle w:val="Proposal"/>
      </w:pPr>
      <w:r w:rsidRPr="005610B3">
        <w:tab/>
        <w:t>AFCP/42A32/3</w:t>
      </w:r>
    </w:p>
    <w:p w14:paraId="58850BC5" w14:textId="77777777" w:rsidR="000A243F" w:rsidRPr="005610B3" w:rsidRDefault="000A243F" w:rsidP="00D03646">
      <w:pPr>
        <w:spacing w:after="120"/>
      </w:pPr>
      <w:r w:rsidRPr="005610B3">
        <w:t>Proposals for study groups restructuring:</w:t>
      </w:r>
    </w:p>
    <w:tbl>
      <w:tblPr>
        <w:tblW w:w="96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45"/>
        <w:gridCol w:w="1417"/>
        <w:gridCol w:w="2410"/>
        <w:gridCol w:w="4257"/>
      </w:tblGrid>
      <w:tr w:rsidR="00D03646" w:rsidRPr="00CA21B7" w14:paraId="1B66E45F" w14:textId="77777777" w:rsidTr="00CA21B7">
        <w:trPr>
          <w:trHeight w:val="239"/>
          <w:tblHeader/>
        </w:trPr>
        <w:tc>
          <w:tcPr>
            <w:tcW w:w="1545" w:type="dxa"/>
            <w:shd w:val="clear" w:color="auto" w:fill="auto"/>
            <w:vAlign w:val="center"/>
          </w:tcPr>
          <w:p w14:paraId="24A8096B" w14:textId="1AB11360" w:rsidR="00D03646" w:rsidRPr="00CA21B7" w:rsidRDefault="00D03646" w:rsidP="00CA21B7">
            <w:pPr>
              <w:pStyle w:val="Tablehead"/>
              <w:rPr>
                <w:szCs w:val="22"/>
                <w:lang w:eastAsia="zh-CN"/>
              </w:rPr>
            </w:pPr>
            <w:r w:rsidRPr="00CA21B7">
              <w:rPr>
                <w:szCs w:val="22"/>
              </w:rPr>
              <w:t>Current ITU</w:t>
            </w:r>
            <w:r w:rsidRPr="00CA21B7">
              <w:rPr>
                <w:szCs w:val="22"/>
              </w:rPr>
              <w:noBreakHyphen/>
              <w:t>T SG</w:t>
            </w:r>
          </w:p>
        </w:tc>
        <w:tc>
          <w:tcPr>
            <w:tcW w:w="1417" w:type="dxa"/>
            <w:shd w:val="clear" w:color="auto" w:fill="auto"/>
            <w:vAlign w:val="center"/>
          </w:tcPr>
          <w:p w14:paraId="5D7E229D" w14:textId="5490E27F" w:rsidR="00D03646" w:rsidRPr="00CA21B7" w:rsidRDefault="00D03646" w:rsidP="00CA21B7">
            <w:pPr>
              <w:pStyle w:val="Tablehead"/>
              <w:rPr>
                <w:szCs w:val="22"/>
                <w:lang w:eastAsia="zh-CN"/>
              </w:rPr>
            </w:pPr>
            <w:r w:rsidRPr="00CA21B7">
              <w:rPr>
                <w:szCs w:val="22"/>
              </w:rPr>
              <w:t>Proposed action</w:t>
            </w:r>
          </w:p>
        </w:tc>
        <w:tc>
          <w:tcPr>
            <w:tcW w:w="2410" w:type="dxa"/>
            <w:shd w:val="clear" w:color="auto" w:fill="auto"/>
            <w:vAlign w:val="center"/>
          </w:tcPr>
          <w:p w14:paraId="4B02CB95" w14:textId="73C4C77C" w:rsidR="00D03646" w:rsidRPr="00CA21B7" w:rsidRDefault="00D03646" w:rsidP="00CA21B7">
            <w:pPr>
              <w:pStyle w:val="Tablehead"/>
              <w:rPr>
                <w:szCs w:val="22"/>
                <w:lang w:eastAsia="zh-CN"/>
              </w:rPr>
            </w:pPr>
            <w:r w:rsidRPr="00CA21B7">
              <w:rPr>
                <w:szCs w:val="22"/>
              </w:rPr>
              <w:t>Description</w:t>
            </w:r>
          </w:p>
        </w:tc>
        <w:tc>
          <w:tcPr>
            <w:tcW w:w="4257" w:type="dxa"/>
            <w:shd w:val="clear" w:color="auto" w:fill="auto"/>
            <w:vAlign w:val="center"/>
          </w:tcPr>
          <w:p w14:paraId="4548F835" w14:textId="3980AA7F" w:rsidR="00D03646" w:rsidRPr="00CA21B7" w:rsidRDefault="00D03646" w:rsidP="00CA21B7">
            <w:pPr>
              <w:pStyle w:val="Tablehead"/>
              <w:rPr>
                <w:szCs w:val="22"/>
                <w:lang w:eastAsia="zh-CN"/>
              </w:rPr>
            </w:pPr>
            <w:r w:rsidRPr="00CA21B7">
              <w:rPr>
                <w:szCs w:val="22"/>
              </w:rPr>
              <w:t>Rationale and Resulting SG structure</w:t>
            </w:r>
          </w:p>
        </w:tc>
      </w:tr>
      <w:tr w:rsidR="00DB4186" w:rsidRPr="00CA21B7" w14:paraId="53982A0D" w14:textId="77777777" w:rsidTr="00CA21B7">
        <w:trPr>
          <w:trHeight w:val="239"/>
        </w:trPr>
        <w:tc>
          <w:tcPr>
            <w:tcW w:w="1545" w:type="dxa"/>
            <w:shd w:val="clear" w:color="auto" w:fill="auto"/>
            <w:vAlign w:val="center"/>
          </w:tcPr>
          <w:p w14:paraId="50BC8BFF" w14:textId="77777777" w:rsidR="000A243F" w:rsidRPr="00CA21B7" w:rsidRDefault="000A243F" w:rsidP="00CA21B7">
            <w:pPr>
              <w:pStyle w:val="Tabletext"/>
              <w:jc w:val="center"/>
              <w:rPr>
                <w:b/>
                <w:bCs/>
                <w:lang w:eastAsia="zh-CN"/>
              </w:rPr>
            </w:pPr>
            <w:r w:rsidRPr="00CA21B7">
              <w:rPr>
                <w:b/>
                <w:bCs/>
                <w:lang w:eastAsia="zh-CN"/>
              </w:rPr>
              <w:t>TSAG</w:t>
            </w:r>
          </w:p>
        </w:tc>
        <w:tc>
          <w:tcPr>
            <w:tcW w:w="1417" w:type="dxa"/>
            <w:shd w:val="clear" w:color="auto" w:fill="auto"/>
            <w:vAlign w:val="center"/>
          </w:tcPr>
          <w:p w14:paraId="6C53A19B" w14:textId="77777777" w:rsidR="000A243F" w:rsidRPr="00CA21B7" w:rsidRDefault="000A243F" w:rsidP="00CA21B7">
            <w:pPr>
              <w:pStyle w:val="Tabletext"/>
              <w:jc w:val="center"/>
              <w:rPr>
                <w:lang w:eastAsia="zh-CN"/>
              </w:rPr>
            </w:pPr>
            <w:r w:rsidRPr="00CA21B7">
              <w:rPr>
                <w:lang w:eastAsia="zh-CN"/>
              </w:rPr>
              <w:t>NOC</w:t>
            </w:r>
          </w:p>
        </w:tc>
        <w:tc>
          <w:tcPr>
            <w:tcW w:w="2410" w:type="dxa"/>
            <w:shd w:val="clear" w:color="auto" w:fill="auto"/>
            <w:vAlign w:val="center"/>
          </w:tcPr>
          <w:p w14:paraId="5F6BADB2" w14:textId="77777777" w:rsidR="000A243F" w:rsidRPr="00CA21B7" w:rsidRDefault="000A243F" w:rsidP="00CA21B7">
            <w:pPr>
              <w:pStyle w:val="Tabletext"/>
              <w:jc w:val="center"/>
              <w:rPr>
                <w:lang w:eastAsia="zh-CN"/>
              </w:rPr>
            </w:pPr>
          </w:p>
        </w:tc>
        <w:tc>
          <w:tcPr>
            <w:tcW w:w="4257" w:type="dxa"/>
            <w:shd w:val="clear" w:color="auto" w:fill="auto"/>
            <w:vAlign w:val="center"/>
          </w:tcPr>
          <w:p w14:paraId="40F35F34" w14:textId="77777777" w:rsidR="000A243F" w:rsidRPr="00CA21B7" w:rsidRDefault="000A243F" w:rsidP="002D4A6B">
            <w:pPr>
              <w:pStyle w:val="Default"/>
              <w:tabs>
                <w:tab w:val="left" w:pos="155"/>
              </w:tabs>
              <w:spacing w:before="20" w:after="20"/>
              <w:rPr>
                <w:sz w:val="22"/>
                <w:szCs w:val="22"/>
                <w:lang w:val="en-GB" w:eastAsia="zh-CN"/>
              </w:rPr>
            </w:pPr>
          </w:p>
        </w:tc>
      </w:tr>
      <w:tr w:rsidR="00DB4186" w:rsidRPr="00CA21B7" w14:paraId="73E7882F" w14:textId="77777777" w:rsidTr="00CA21B7">
        <w:trPr>
          <w:trHeight w:val="796"/>
        </w:trPr>
        <w:tc>
          <w:tcPr>
            <w:tcW w:w="1545" w:type="dxa"/>
            <w:vMerge w:val="restart"/>
            <w:shd w:val="clear" w:color="auto" w:fill="auto"/>
            <w:vAlign w:val="center"/>
          </w:tcPr>
          <w:p w14:paraId="0F921E9A" w14:textId="1641198B" w:rsidR="000A243F" w:rsidRPr="00CA21B7" w:rsidRDefault="000A243F" w:rsidP="00CA21B7">
            <w:pPr>
              <w:pStyle w:val="Tabletext"/>
              <w:jc w:val="center"/>
              <w:rPr>
                <w:b/>
                <w:bCs/>
                <w:lang w:eastAsia="zh-CN"/>
              </w:rPr>
            </w:pPr>
            <w:r w:rsidRPr="00CA21B7">
              <w:rPr>
                <w:b/>
                <w:bCs/>
                <w:lang w:eastAsia="zh-CN"/>
              </w:rPr>
              <w:t>SG</w:t>
            </w:r>
            <w:r w:rsidR="00CA21B7">
              <w:rPr>
                <w:b/>
                <w:bCs/>
                <w:lang w:eastAsia="zh-CN"/>
              </w:rPr>
              <w:t xml:space="preserve"> </w:t>
            </w:r>
            <w:r w:rsidRPr="00CA21B7">
              <w:rPr>
                <w:b/>
                <w:bCs/>
                <w:lang w:eastAsia="zh-CN"/>
              </w:rPr>
              <w:t>2</w:t>
            </w:r>
          </w:p>
        </w:tc>
        <w:tc>
          <w:tcPr>
            <w:tcW w:w="1417" w:type="dxa"/>
            <w:shd w:val="clear" w:color="auto" w:fill="auto"/>
            <w:vAlign w:val="center"/>
          </w:tcPr>
          <w:p w14:paraId="408ED08A" w14:textId="1001204E" w:rsidR="000A243F" w:rsidRPr="00CA21B7" w:rsidRDefault="000A243F" w:rsidP="00CA21B7">
            <w:pPr>
              <w:pStyle w:val="Tabletext"/>
              <w:jc w:val="center"/>
              <w:rPr>
                <w:lang w:eastAsia="zh-CN"/>
              </w:rPr>
            </w:pPr>
            <w:r w:rsidRPr="00CA21B7">
              <w:rPr>
                <w:lang w:eastAsia="zh-CN"/>
              </w:rPr>
              <w:t>Option 1:</w:t>
            </w:r>
            <w:r w:rsidR="00CA21B7">
              <w:rPr>
                <w:lang w:eastAsia="zh-CN"/>
              </w:rPr>
              <w:br/>
            </w:r>
            <w:r w:rsidRPr="00CA21B7">
              <w:rPr>
                <w:lang w:eastAsia="zh-CN"/>
              </w:rPr>
              <w:t>SUP WP</w:t>
            </w:r>
            <w:r w:rsidR="00CA21B7">
              <w:rPr>
                <w:lang w:eastAsia="zh-CN"/>
              </w:rPr>
              <w:t> </w:t>
            </w:r>
            <w:r w:rsidRPr="00CA21B7">
              <w:rPr>
                <w:lang w:eastAsia="zh-CN"/>
              </w:rPr>
              <w:t>2/2</w:t>
            </w:r>
          </w:p>
        </w:tc>
        <w:tc>
          <w:tcPr>
            <w:tcW w:w="2410" w:type="dxa"/>
            <w:shd w:val="clear" w:color="auto" w:fill="auto"/>
            <w:vAlign w:val="center"/>
          </w:tcPr>
          <w:p w14:paraId="41E30FE1" w14:textId="059B63E9" w:rsidR="000A243F" w:rsidRPr="00CA21B7" w:rsidRDefault="000A243F" w:rsidP="00CA21B7">
            <w:pPr>
              <w:pStyle w:val="Tabletext"/>
              <w:jc w:val="center"/>
              <w:rPr>
                <w:lang w:eastAsia="zh-CN"/>
              </w:rPr>
            </w:pPr>
            <w:r w:rsidRPr="00CA21B7">
              <w:rPr>
                <w:lang w:eastAsia="zh-CN"/>
              </w:rPr>
              <w:t>Transfer WP</w:t>
            </w:r>
            <w:r w:rsidR="00401B5D">
              <w:rPr>
                <w:lang w:eastAsia="zh-CN"/>
              </w:rPr>
              <w:t> </w:t>
            </w:r>
            <w:r w:rsidRPr="00CA21B7">
              <w:rPr>
                <w:lang w:eastAsia="zh-CN"/>
              </w:rPr>
              <w:t>2/2 to SG</w:t>
            </w:r>
            <w:r w:rsidR="00401B5D">
              <w:rPr>
                <w:lang w:eastAsia="zh-CN"/>
              </w:rPr>
              <w:t> </w:t>
            </w:r>
            <w:r w:rsidRPr="00CA21B7">
              <w:rPr>
                <w:lang w:eastAsia="zh-CN"/>
              </w:rPr>
              <w:t>13</w:t>
            </w:r>
          </w:p>
        </w:tc>
        <w:tc>
          <w:tcPr>
            <w:tcW w:w="4257" w:type="dxa"/>
            <w:shd w:val="clear" w:color="auto" w:fill="auto"/>
            <w:vAlign w:val="center"/>
          </w:tcPr>
          <w:p w14:paraId="3EE50B19" w14:textId="35549F76" w:rsidR="000A243F" w:rsidRPr="00CA21B7" w:rsidRDefault="000A243F" w:rsidP="00CA21B7">
            <w:pPr>
              <w:pStyle w:val="Tabletext"/>
              <w:rPr>
                <w:lang w:eastAsia="zh-CN"/>
              </w:rPr>
            </w:pPr>
            <w:r w:rsidRPr="00CA21B7">
              <w:rPr>
                <w:lang w:eastAsia="zh-CN"/>
              </w:rPr>
              <w:t>SG</w:t>
            </w:r>
            <w:r w:rsidR="00401B5D">
              <w:rPr>
                <w:lang w:eastAsia="zh-CN"/>
              </w:rPr>
              <w:t> </w:t>
            </w:r>
            <w:r w:rsidRPr="00CA21B7">
              <w:rPr>
                <w:lang w:eastAsia="zh-CN"/>
              </w:rPr>
              <w:t>2 will be focused on NNAI</w:t>
            </w:r>
          </w:p>
        </w:tc>
      </w:tr>
      <w:tr w:rsidR="002D4A6B" w:rsidRPr="00CA21B7" w14:paraId="2F76FDDC" w14:textId="77777777" w:rsidTr="00CA21B7">
        <w:trPr>
          <w:trHeight w:val="556"/>
        </w:trPr>
        <w:tc>
          <w:tcPr>
            <w:tcW w:w="1545" w:type="dxa"/>
            <w:vMerge/>
            <w:shd w:val="clear" w:color="auto" w:fill="auto"/>
            <w:vAlign w:val="center"/>
          </w:tcPr>
          <w:p w14:paraId="14606591" w14:textId="77777777" w:rsidR="000A243F" w:rsidRPr="00CA21B7" w:rsidRDefault="000A243F" w:rsidP="00CA21B7">
            <w:pPr>
              <w:pStyle w:val="Tabletext"/>
              <w:jc w:val="center"/>
              <w:rPr>
                <w:b/>
                <w:bCs/>
                <w:lang w:eastAsia="zh-CN"/>
              </w:rPr>
            </w:pPr>
          </w:p>
        </w:tc>
        <w:tc>
          <w:tcPr>
            <w:tcW w:w="1417" w:type="dxa"/>
            <w:shd w:val="clear" w:color="auto" w:fill="auto"/>
            <w:vAlign w:val="center"/>
          </w:tcPr>
          <w:p w14:paraId="1B4DC8A2" w14:textId="5BF7EB1B" w:rsidR="000A243F" w:rsidRPr="00CA21B7" w:rsidRDefault="000A243F" w:rsidP="00CA21B7">
            <w:pPr>
              <w:pStyle w:val="Tabletext"/>
              <w:jc w:val="center"/>
              <w:rPr>
                <w:lang w:eastAsia="zh-CN"/>
              </w:rPr>
            </w:pPr>
            <w:r w:rsidRPr="00CA21B7">
              <w:rPr>
                <w:lang w:eastAsia="zh-CN"/>
              </w:rPr>
              <w:t>Option 2:</w:t>
            </w:r>
            <w:r w:rsidR="00CA21B7">
              <w:rPr>
                <w:lang w:eastAsia="zh-CN"/>
              </w:rPr>
              <w:br/>
            </w:r>
            <w:r w:rsidRPr="00CA21B7">
              <w:rPr>
                <w:lang w:eastAsia="zh-CN"/>
              </w:rPr>
              <w:t>NOC WP</w:t>
            </w:r>
            <w:r w:rsidR="00401B5D">
              <w:rPr>
                <w:lang w:eastAsia="zh-CN"/>
              </w:rPr>
              <w:t> </w:t>
            </w:r>
            <w:r w:rsidRPr="00CA21B7">
              <w:rPr>
                <w:lang w:eastAsia="zh-CN"/>
              </w:rPr>
              <w:t>2/2</w:t>
            </w:r>
          </w:p>
        </w:tc>
        <w:tc>
          <w:tcPr>
            <w:tcW w:w="2410" w:type="dxa"/>
            <w:shd w:val="clear" w:color="auto" w:fill="auto"/>
            <w:vAlign w:val="center"/>
          </w:tcPr>
          <w:p w14:paraId="12169EE2" w14:textId="69D62470" w:rsidR="000A243F" w:rsidRPr="00CA21B7" w:rsidRDefault="000A243F" w:rsidP="00CA21B7">
            <w:pPr>
              <w:pStyle w:val="Tabletext"/>
              <w:jc w:val="center"/>
              <w:rPr>
                <w:lang w:eastAsia="zh-CN"/>
              </w:rPr>
            </w:pPr>
            <w:r w:rsidRPr="00CA21B7">
              <w:rPr>
                <w:lang w:eastAsia="zh-CN"/>
              </w:rPr>
              <w:t>Keep the current state of WP</w:t>
            </w:r>
            <w:r w:rsidR="00CA21B7">
              <w:rPr>
                <w:lang w:eastAsia="zh-CN"/>
              </w:rPr>
              <w:t> </w:t>
            </w:r>
            <w:r w:rsidRPr="00CA21B7">
              <w:rPr>
                <w:lang w:eastAsia="zh-CN"/>
              </w:rPr>
              <w:t>2/2</w:t>
            </w:r>
          </w:p>
        </w:tc>
        <w:tc>
          <w:tcPr>
            <w:tcW w:w="4257" w:type="dxa"/>
            <w:shd w:val="clear" w:color="auto" w:fill="auto"/>
            <w:vAlign w:val="center"/>
          </w:tcPr>
          <w:p w14:paraId="08DA0824" w14:textId="3019110C" w:rsidR="000A243F" w:rsidRPr="00CA21B7" w:rsidRDefault="000A243F" w:rsidP="00CA21B7">
            <w:pPr>
              <w:pStyle w:val="Tabletext"/>
              <w:rPr>
                <w:lang w:eastAsia="zh-CN"/>
              </w:rPr>
            </w:pPr>
            <w:r w:rsidRPr="00CA21B7">
              <w:rPr>
                <w:lang w:eastAsia="zh-CN"/>
              </w:rPr>
              <w:t>WP</w:t>
            </w:r>
            <w:r w:rsidR="00CA21B7">
              <w:rPr>
                <w:lang w:eastAsia="zh-CN"/>
              </w:rPr>
              <w:t> </w:t>
            </w:r>
            <w:r w:rsidRPr="00CA21B7">
              <w:rPr>
                <w:lang w:eastAsia="zh-CN"/>
              </w:rPr>
              <w:t>2/2 is concerned with ope</w:t>
            </w:r>
            <w:r w:rsidR="00CD6AD6" w:rsidRPr="00CA21B7">
              <w:rPr>
                <w:lang w:eastAsia="zh-CN"/>
              </w:rPr>
              <w:t>ra</w:t>
            </w:r>
            <w:r w:rsidRPr="00CA21B7">
              <w:rPr>
                <w:lang w:eastAsia="zh-CN"/>
              </w:rPr>
              <w:t xml:space="preserve">tional </w:t>
            </w:r>
            <w:r w:rsidR="00485155" w:rsidRPr="00CA21B7">
              <w:rPr>
                <w:lang w:eastAsia="zh-CN"/>
              </w:rPr>
              <w:t>aspects</w:t>
            </w:r>
            <w:r w:rsidRPr="00CA21B7">
              <w:rPr>
                <w:lang w:eastAsia="zh-CN"/>
              </w:rPr>
              <w:t>, in harmony with SG</w:t>
            </w:r>
            <w:r w:rsidR="00CA21B7">
              <w:rPr>
                <w:lang w:eastAsia="zh-CN"/>
              </w:rPr>
              <w:t> </w:t>
            </w:r>
            <w:r w:rsidRPr="00CA21B7">
              <w:rPr>
                <w:lang w:eastAsia="zh-CN"/>
              </w:rPr>
              <w:t>2</w:t>
            </w:r>
            <w:r w:rsidR="00485155" w:rsidRPr="00CA21B7">
              <w:rPr>
                <w:lang w:eastAsia="zh-CN"/>
              </w:rPr>
              <w:t>’s</w:t>
            </w:r>
            <w:r w:rsidRPr="00CA21B7">
              <w:rPr>
                <w:lang w:eastAsia="zh-CN"/>
              </w:rPr>
              <w:t xml:space="preserve"> operational mandate.</w:t>
            </w:r>
          </w:p>
        </w:tc>
      </w:tr>
      <w:tr w:rsidR="00DB4186" w:rsidRPr="00CA21B7" w14:paraId="7684D021" w14:textId="77777777" w:rsidTr="00CA21B7">
        <w:trPr>
          <w:trHeight w:val="353"/>
        </w:trPr>
        <w:tc>
          <w:tcPr>
            <w:tcW w:w="1545" w:type="dxa"/>
            <w:vMerge/>
            <w:shd w:val="clear" w:color="auto" w:fill="auto"/>
            <w:vAlign w:val="center"/>
          </w:tcPr>
          <w:p w14:paraId="02F59DEB" w14:textId="77777777" w:rsidR="000A243F" w:rsidRPr="00CA21B7" w:rsidRDefault="000A243F" w:rsidP="00CA21B7">
            <w:pPr>
              <w:pStyle w:val="Tabletext"/>
              <w:jc w:val="center"/>
              <w:rPr>
                <w:b/>
                <w:bCs/>
                <w:lang w:eastAsia="zh-CN"/>
              </w:rPr>
            </w:pPr>
          </w:p>
        </w:tc>
        <w:tc>
          <w:tcPr>
            <w:tcW w:w="1417" w:type="dxa"/>
            <w:shd w:val="clear" w:color="auto" w:fill="auto"/>
            <w:vAlign w:val="center"/>
          </w:tcPr>
          <w:p w14:paraId="23B7EE4E" w14:textId="77777777" w:rsidR="000A243F" w:rsidRPr="00CA21B7" w:rsidRDefault="000A243F" w:rsidP="00CA21B7">
            <w:pPr>
              <w:pStyle w:val="Tabletext"/>
              <w:jc w:val="center"/>
              <w:rPr>
                <w:lang w:eastAsia="zh-CN"/>
              </w:rPr>
            </w:pPr>
            <w:r w:rsidRPr="00CA21B7">
              <w:rPr>
                <w:lang w:eastAsia="zh-CN"/>
              </w:rPr>
              <w:t>SUP Q4/2</w:t>
            </w:r>
          </w:p>
        </w:tc>
        <w:tc>
          <w:tcPr>
            <w:tcW w:w="2410" w:type="dxa"/>
            <w:shd w:val="clear" w:color="auto" w:fill="auto"/>
            <w:vAlign w:val="center"/>
          </w:tcPr>
          <w:p w14:paraId="623DE713" w14:textId="5740DED6" w:rsidR="000A243F" w:rsidRPr="00CA21B7" w:rsidRDefault="000A243F" w:rsidP="00CA21B7">
            <w:pPr>
              <w:pStyle w:val="Tabletext"/>
              <w:jc w:val="center"/>
              <w:rPr>
                <w:lang w:eastAsia="zh-CN"/>
              </w:rPr>
            </w:pPr>
            <w:r w:rsidRPr="00CA21B7">
              <w:rPr>
                <w:lang w:eastAsia="zh-CN"/>
              </w:rPr>
              <w:t>Move Q4/2 to SG</w:t>
            </w:r>
            <w:r w:rsidR="00CA21B7">
              <w:rPr>
                <w:lang w:eastAsia="zh-CN"/>
              </w:rPr>
              <w:t> </w:t>
            </w:r>
            <w:r w:rsidRPr="00CA21B7">
              <w:rPr>
                <w:lang w:eastAsia="zh-CN"/>
              </w:rPr>
              <w:t>16</w:t>
            </w:r>
          </w:p>
        </w:tc>
        <w:tc>
          <w:tcPr>
            <w:tcW w:w="4257" w:type="dxa"/>
            <w:shd w:val="clear" w:color="auto" w:fill="auto"/>
            <w:vAlign w:val="center"/>
          </w:tcPr>
          <w:p w14:paraId="7BD6B258" w14:textId="0A764617" w:rsidR="000A243F" w:rsidRPr="00CA21B7" w:rsidRDefault="000A243F" w:rsidP="00CA21B7">
            <w:pPr>
              <w:pStyle w:val="Tabletext"/>
              <w:rPr>
                <w:lang w:eastAsia="zh-CN"/>
              </w:rPr>
            </w:pPr>
            <w:r w:rsidRPr="00CA21B7">
              <w:rPr>
                <w:lang w:eastAsia="zh-CN"/>
              </w:rPr>
              <w:t>Human Factors to move to SG</w:t>
            </w:r>
            <w:r w:rsidR="00401B5D">
              <w:rPr>
                <w:lang w:eastAsia="zh-CN"/>
              </w:rPr>
              <w:t> </w:t>
            </w:r>
            <w:r w:rsidRPr="00CA21B7">
              <w:rPr>
                <w:lang w:eastAsia="zh-CN"/>
              </w:rPr>
              <w:t xml:space="preserve">16 but as a separate Question from </w:t>
            </w:r>
            <w:r w:rsidR="00485155" w:rsidRPr="00CA21B7">
              <w:rPr>
                <w:lang w:eastAsia="zh-CN"/>
              </w:rPr>
              <w:t xml:space="preserve">the </w:t>
            </w:r>
            <w:r w:rsidRPr="00CA21B7">
              <w:rPr>
                <w:lang w:eastAsia="zh-CN"/>
              </w:rPr>
              <w:t>Accessibility Question.</w:t>
            </w:r>
          </w:p>
        </w:tc>
      </w:tr>
      <w:tr w:rsidR="00DB4186" w:rsidRPr="00CA21B7" w14:paraId="40E061D9" w14:textId="77777777" w:rsidTr="00CA21B7">
        <w:trPr>
          <w:trHeight w:val="239"/>
        </w:trPr>
        <w:tc>
          <w:tcPr>
            <w:tcW w:w="1545" w:type="dxa"/>
            <w:shd w:val="clear" w:color="auto" w:fill="auto"/>
            <w:vAlign w:val="center"/>
          </w:tcPr>
          <w:p w14:paraId="60316D0F" w14:textId="5A7DAEBB" w:rsidR="000A243F" w:rsidRPr="00CA21B7" w:rsidRDefault="000A243F" w:rsidP="00CA21B7">
            <w:pPr>
              <w:pStyle w:val="Tabletext"/>
              <w:jc w:val="center"/>
              <w:rPr>
                <w:b/>
                <w:bCs/>
                <w:lang w:eastAsia="zh-CN"/>
              </w:rPr>
            </w:pPr>
            <w:r w:rsidRPr="00CA21B7">
              <w:rPr>
                <w:b/>
                <w:bCs/>
                <w:lang w:eastAsia="zh-CN"/>
              </w:rPr>
              <w:t>SG</w:t>
            </w:r>
            <w:r w:rsidR="00CA21B7">
              <w:rPr>
                <w:b/>
                <w:bCs/>
                <w:lang w:eastAsia="zh-CN"/>
              </w:rPr>
              <w:t xml:space="preserve"> </w:t>
            </w:r>
            <w:r w:rsidRPr="00CA21B7">
              <w:rPr>
                <w:b/>
                <w:bCs/>
                <w:lang w:eastAsia="zh-CN"/>
              </w:rPr>
              <w:t>3</w:t>
            </w:r>
          </w:p>
        </w:tc>
        <w:tc>
          <w:tcPr>
            <w:tcW w:w="1417" w:type="dxa"/>
            <w:shd w:val="clear" w:color="auto" w:fill="auto"/>
            <w:vAlign w:val="center"/>
          </w:tcPr>
          <w:p w14:paraId="6331C804" w14:textId="77777777" w:rsidR="000A243F" w:rsidRPr="00CA21B7" w:rsidRDefault="000A243F" w:rsidP="00CA21B7">
            <w:pPr>
              <w:pStyle w:val="Tabletext"/>
              <w:jc w:val="center"/>
              <w:rPr>
                <w:lang w:eastAsia="zh-CN"/>
              </w:rPr>
            </w:pPr>
            <w:r w:rsidRPr="00CA21B7">
              <w:rPr>
                <w:lang w:eastAsia="zh-CN"/>
              </w:rPr>
              <w:t>NOC</w:t>
            </w:r>
          </w:p>
        </w:tc>
        <w:tc>
          <w:tcPr>
            <w:tcW w:w="2410" w:type="dxa"/>
            <w:shd w:val="clear" w:color="auto" w:fill="auto"/>
            <w:vAlign w:val="center"/>
          </w:tcPr>
          <w:p w14:paraId="07D32D0E" w14:textId="77777777" w:rsidR="000A243F" w:rsidRPr="00CA21B7" w:rsidRDefault="000A243F" w:rsidP="00CA21B7">
            <w:pPr>
              <w:pStyle w:val="Tabletext"/>
              <w:jc w:val="center"/>
              <w:rPr>
                <w:lang w:eastAsia="zh-CN"/>
              </w:rPr>
            </w:pPr>
          </w:p>
        </w:tc>
        <w:tc>
          <w:tcPr>
            <w:tcW w:w="4257" w:type="dxa"/>
            <w:shd w:val="clear" w:color="auto" w:fill="auto"/>
            <w:vAlign w:val="center"/>
          </w:tcPr>
          <w:p w14:paraId="4B741F44" w14:textId="65AF3BE0" w:rsidR="000A243F" w:rsidRPr="00CA21B7" w:rsidRDefault="000A243F" w:rsidP="00CA21B7">
            <w:pPr>
              <w:pStyle w:val="Tabletext"/>
              <w:rPr>
                <w:lang w:eastAsia="zh-CN"/>
              </w:rPr>
            </w:pPr>
            <w:r w:rsidRPr="00CA21B7">
              <w:rPr>
                <w:lang w:eastAsia="zh-CN"/>
              </w:rPr>
              <w:t xml:space="preserve">Stable SG with considerable importance to </w:t>
            </w:r>
            <w:r w:rsidR="00CD6AD6" w:rsidRPr="00CA21B7">
              <w:rPr>
                <w:lang w:eastAsia="zh-CN"/>
              </w:rPr>
              <w:t>developing countries</w:t>
            </w:r>
            <w:r w:rsidRPr="00CA21B7">
              <w:rPr>
                <w:lang w:eastAsia="zh-CN"/>
              </w:rPr>
              <w:t>.</w:t>
            </w:r>
          </w:p>
        </w:tc>
      </w:tr>
      <w:tr w:rsidR="00DB4186" w:rsidRPr="00CA21B7" w14:paraId="49B0A655" w14:textId="77777777" w:rsidTr="00CA21B7">
        <w:trPr>
          <w:trHeight w:val="225"/>
        </w:trPr>
        <w:tc>
          <w:tcPr>
            <w:tcW w:w="1545" w:type="dxa"/>
            <w:shd w:val="clear" w:color="auto" w:fill="auto"/>
            <w:vAlign w:val="center"/>
          </w:tcPr>
          <w:p w14:paraId="7B169C1E" w14:textId="22A50F7B" w:rsidR="000A243F" w:rsidRPr="00CA21B7" w:rsidRDefault="000A243F" w:rsidP="00CA21B7">
            <w:pPr>
              <w:pStyle w:val="Tabletext"/>
              <w:jc w:val="center"/>
              <w:rPr>
                <w:b/>
                <w:bCs/>
                <w:lang w:eastAsia="zh-CN"/>
              </w:rPr>
            </w:pPr>
            <w:r w:rsidRPr="00CA21B7">
              <w:rPr>
                <w:b/>
                <w:bCs/>
                <w:lang w:eastAsia="zh-CN"/>
              </w:rPr>
              <w:t>SG</w:t>
            </w:r>
            <w:r w:rsidR="00CA21B7">
              <w:rPr>
                <w:b/>
                <w:bCs/>
                <w:lang w:eastAsia="zh-CN"/>
              </w:rPr>
              <w:t xml:space="preserve"> </w:t>
            </w:r>
            <w:r w:rsidRPr="00CA21B7">
              <w:rPr>
                <w:b/>
                <w:bCs/>
                <w:lang w:eastAsia="zh-CN"/>
              </w:rPr>
              <w:t>5</w:t>
            </w:r>
          </w:p>
        </w:tc>
        <w:tc>
          <w:tcPr>
            <w:tcW w:w="1417" w:type="dxa"/>
            <w:shd w:val="clear" w:color="auto" w:fill="auto"/>
            <w:vAlign w:val="center"/>
          </w:tcPr>
          <w:p w14:paraId="2D702662" w14:textId="77777777" w:rsidR="000A243F" w:rsidRPr="00CA21B7" w:rsidRDefault="000A243F" w:rsidP="00CA21B7">
            <w:pPr>
              <w:pStyle w:val="Tabletext"/>
              <w:jc w:val="center"/>
              <w:rPr>
                <w:lang w:eastAsia="zh-CN"/>
              </w:rPr>
            </w:pPr>
            <w:r w:rsidRPr="00CA21B7">
              <w:rPr>
                <w:lang w:eastAsia="zh-CN"/>
              </w:rPr>
              <w:t>NOC</w:t>
            </w:r>
          </w:p>
        </w:tc>
        <w:tc>
          <w:tcPr>
            <w:tcW w:w="2410" w:type="dxa"/>
            <w:shd w:val="clear" w:color="auto" w:fill="auto"/>
            <w:vAlign w:val="center"/>
          </w:tcPr>
          <w:p w14:paraId="427D3E44" w14:textId="77777777" w:rsidR="000A243F" w:rsidRPr="00CA21B7" w:rsidRDefault="000A243F" w:rsidP="00CA21B7">
            <w:pPr>
              <w:pStyle w:val="Tabletext"/>
              <w:jc w:val="center"/>
              <w:rPr>
                <w:lang w:eastAsia="zh-CN"/>
              </w:rPr>
            </w:pPr>
          </w:p>
        </w:tc>
        <w:tc>
          <w:tcPr>
            <w:tcW w:w="4257" w:type="dxa"/>
            <w:shd w:val="clear" w:color="auto" w:fill="auto"/>
            <w:vAlign w:val="center"/>
          </w:tcPr>
          <w:p w14:paraId="59CA872D" w14:textId="1C53BAFD" w:rsidR="000A243F" w:rsidRPr="00CA21B7" w:rsidRDefault="000A243F" w:rsidP="00CA21B7">
            <w:pPr>
              <w:pStyle w:val="Tabletext"/>
              <w:rPr>
                <w:lang w:eastAsia="zh-CN"/>
              </w:rPr>
            </w:pPr>
            <w:r w:rsidRPr="00CA21B7">
              <w:rPr>
                <w:lang w:eastAsia="zh-CN"/>
              </w:rPr>
              <w:t xml:space="preserve">Stable SG with considerable importance to </w:t>
            </w:r>
            <w:r w:rsidR="00CD6AD6" w:rsidRPr="00CA21B7">
              <w:rPr>
                <w:lang w:eastAsia="zh-CN"/>
              </w:rPr>
              <w:t>developing countries</w:t>
            </w:r>
            <w:r w:rsidRPr="00CA21B7">
              <w:rPr>
                <w:lang w:eastAsia="zh-CN"/>
              </w:rPr>
              <w:t>.</w:t>
            </w:r>
          </w:p>
        </w:tc>
      </w:tr>
      <w:tr w:rsidR="00DB4186" w:rsidRPr="00CA21B7" w14:paraId="49214283" w14:textId="77777777" w:rsidTr="00CA21B7">
        <w:trPr>
          <w:trHeight w:val="863"/>
        </w:trPr>
        <w:tc>
          <w:tcPr>
            <w:tcW w:w="1545" w:type="dxa"/>
            <w:shd w:val="clear" w:color="auto" w:fill="auto"/>
            <w:vAlign w:val="center"/>
          </w:tcPr>
          <w:p w14:paraId="18E9F4AE" w14:textId="314FA977" w:rsidR="000A243F" w:rsidRPr="00CA21B7" w:rsidRDefault="000A243F" w:rsidP="00CA21B7">
            <w:pPr>
              <w:pStyle w:val="Tabletext"/>
              <w:jc w:val="center"/>
              <w:rPr>
                <w:b/>
                <w:bCs/>
                <w:lang w:eastAsia="zh-CN"/>
              </w:rPr>
            </w:pPr>
            <w:r w:rsidRPr="00CA21B7">
              <w:rPr>
                <w:b/>
                <w:bCs/>
                <w:lang w:eastAsia="zh-CN"/>
              </w:rPr>
              <w:t>SG</w:t>
            </w:r>
            <w:r w:rsidR="00CA21B7">
              <w:rPr>
                <w:b/>
                <w:bCs/>
                <w:lang w:eastAsia="zh-CN"/>
              </w:rPr>
              <w:t xml:space="preserve"> </w:t>
            </w:r>
            <w:r w:rsidRPr="00CA21B7">
              <w:rPr>
                <w:b/>
                <w:bCs/>
                <w:lang w:eastAsia="zh-CN"/>
              </w:rPr>
              <w:t>9</w:t>
            </w:r>
          </w:p>
        </w:tc>
        <w:tc>
          <w:tcPr>
            <w:tcW w:w="1417" w:type="dxa"/>
            <w:shd w:val="clear" w:color="auto" w:fill="auto"/>
            <w:vAlign w:val="center"/>
          </w:tcPr>
          <w:p w14:paraId="625C7CF8" w14:textId="77777777" w:rsidR="000A243F" w:rsidRPr="00CA21B7" w:rsidRDefault="000A243F" w:rsidP="00CA21B7">
            <w:pPr>
              <w:pStyle w:val="Tabletext"/>
              <w:jc w:val="center"/>
              <w:rPr>
                <w:lang w:eastAsia="zh-CN"/>
              </w:rPr>
            </w:pPr>
            <w:r w:rsidRPr="00CA21B7">
              <w:rPr>
                <w:lang w:eastAsia="zh-CN"/>
              </w:rPr>
              <w:t>MOD</w:t>
            </w:r>
          </w:p>
        </w:tc>
        <w:tc>
          <w:tcPr>
            <w:tcW w:w="2410" w:type="dxa"/>
            <w:shd w:val="clear" w:color="auto" w:fill="auto"/>
            <w:vAlign w:val="center"/>
          </w:tcPr>
          <w:p w14:paraId="1133140F" w14:textId="1267D018" w:rsidR="000A243F" w:rsidRPr="00CA21B7" w:rsidRDefault="000A243F" w:rsidP="00CA21B7">
            <w:pPr>
              <w:pStyle w:val="Tabletext"/>
              <w:jc w:val="center"/>
              <w:rPr>
                <w:lang w:eastAsia="zh-CN"/>
              </w:rPr>
            </w:pPr>
            <w:r w:rsidRPr="00CA21B7">
              <w:rPr>
                <w:lang w:eastAsia="zh-CN"/>
              </w:rPr>
              <w:t>Transfer the Question</w:t>
            </w:r>
            <w:r w:rsidR="00485155" w:rsidRPr="00CA21B7">
              <w:rPr>
                <w:lang w:eastAsia="zh-CN"/>
              </w:rPr>
              <w:t>s</w:t>
            </w:r>
            <w:r w:rsidRPr="00CA21B7">
              <w:rPr>
                <w:lang w:eastAsia="zh-CN"/>
              </w:rPr>
              <w:t xml:space="preserve"> related to </w:t>
            </w:r>
            <w:proofErr w:type="spellStart"/>
            <w:r w:rsidRPr="00CA21B7">
              <w:rPr>
                <w:lang w:eastAsia="zh-CN"/>
              </w:rPr>
              <w:t>QoS</w:t>
            </w:r>
            <w:proofErr w:type="spellEnd"/>
            <w:r w:rsidRPr="00CA21B7">
              <w:rPr>
                <w:lang w:eastAsia="zh-CN"/>
              </w:rPr>
              <w:t xml:space="preserve"> issues to SG12</w:t>
            </w:r>
          </w:p>
        </w:tc>
        <w:tc>
          <w:tcPr>
            <w:tcW w:w="4257" w:type="dxa"/>
            <w:shd w:val="clear" w:color="auto" w:fill="auto"/>
            <w:vAlign w:val="center"/>
          </w:tcPr>
          <w:p w14:paraId="6F952E61" w14:textId="4CAFD166" w:rsidR="000A243F" w:rsidRPr="00CA21B7" w:rsidRDefault="00DB4186" w:rsidP="00CA21B7">
            <w:pPr>
              <w:pStyle w:val="Tabletext"/>
              <w:rPr>
                <w:lang w:eastAsia="zh-CN"/>
              </w:rPr>
            </w:pPr>
            <w:proofErr w:type="spellStart"/>
            <w:r w:rsidRPr="00CA21B7">
              <w:rPr>
                <w:lang w:eastAsia="zh-CN"/>
              </w:rPr>
              <w:t>QoS</w:t>
            </w:r>
            <w:proofErr w:type="spellEnd"/>
            <w:r w:rsidRPr="00CA21B7">
              <w:rPr>
                <w:lang w:eastAsia="zh-CN"/>
              </w:rPr>
              <w:t xml:space="preserve"> </w:t>
            </w:r>
            <w:r w:rsidR="003A0BF0" w:rsidRPr="00CA21B7">
              <w:rPr>
                <w:lang w:eastAsia="zh-CN"/>
              </w:rPr>
              <w:t>related</w:t>
            </w:r>
            <w:r w:rsidRPr="00CA21B7">
              <w:rPr>
                <w:lang w:eastAsia="zh-CN"/>
              </w:rPr>
              <w:t xml:space="preserve"> Questions should be studied in SG</w:t>
            </w:r>
            <w:r w:rsidR="00CA21B7">
              <w:rPr>
                <w:lang w:eastAsia="zh-CN"/>
              </w:rPr>
              <w:t> </w:t>
            </w:r>
            <w:r w:rsidRPr="00CA21B7">
              <w:rPr>
                <w:lang w:eastAsia="zh-CN"/>
              </w:rPr>
              <w:t xml:space="preserve">12, where </w:t>
            </w:r>
            <w:proofErr w:type="spellStart"/>
            <w:r w:rsidRPr="00CA21B7">
              <w:rPr>
                <w:lang w:eastAsia="zh-CN"/>
              </w:rPr>
              <w:t>QoS</w:t>
            </w:r>
            <w:proofErr w:type="spellEnd"/>
            <w:r w:rsidRPr="00CA21B7">
              <w:rPr>
                <w:lang w:eastAsia="zh-CN"/>
              </w:rPr>
              <w:t xml:space="preserve"> issues are under its mandates.</w:t>
            </w:r>
          </w:p>
        </w:tc>
      </w:tr>
      <w:tr w:rsidR="00DB4186" w:rsidRPr="00CA21B7" w14:paraId="0DCDB7C9" w14:textId="77777777" w:rsidTr="00CA21B7">
        <w:trPr>
          <w:trHeight w:val="863"/>
        </w:trPr>
        <w:tc>
          <w:tcPr>
            <w:tcW w:w="1545" w:type="dxa"/>
            <w:shd w:val="clear" w:color="auto" w:fill="auto"/>
            <w:vAlign w:val="center"/>
          </w:tcPr>
          <w:p w14:paraId="1C017E6C" w14:textId="58251485" w:rsidR="000A243F" w:rsidRPr="00CA21B7" w:rsidRDefault="005A3350" w:rsidP="00CA21B7">
            <w:pPr>
              <w:pStyle w:val="Tabletext"/>
              <w:jc w:val="center"/>
              <w:rPr>
                <w:b/>
                <w:bCs/>
                <w:lang w:eastAsia="zh-CN"/>
              </w:rPr>
            </w:pPr>
            <w:r w:rsidRPr="00CA21B7">
              <w:rPr>
                <w:b/>
                <w:bCs/>
                <w:lang w:eastAsia="zh-CN"/>
              </w:rPr>
              <w:t>SG</w:t>
            </w:r>
            <w:r w:rsidR="00CA21B7">
              <w:rPr>
                <w:b/>
                <w:bCs/>
                <w:lang w:eastAsia="zh-CN"/>
              </w:rPr>
              <w:t xml:space="preserve"> </w:t>
            </w:r>
            <w:r w:rsidR="000A243F" w:rsidRPr="00CA21B7">
              <w:rPr>
                <w:b/>
                <w:bCs/>
                <w:lang w:eastAsia="zh-CN"/>
              </w:rPr>
              <w:t>11</w:t>
            </w:r>
          </w:p>
        </w:tc>
        <w:tc>
          <w:tcPr>
            <w:tcW w:w="1417" w:type="dxa"/>
            <w:shd w:val="clear" w:color="auto" w:fill="auto"/>
            <w:vAlign w:val="center"/>
          </w:tcPr>
          <w:p w14:paraId="005BBF1E" w14:textId="77777777" w:rsidR="000A243F" w:rsidRPr="00CA21B7" w:rsidRDefault="000A243F" w:rsidP="00CA21B7">
            <w:pPr>
              <w:pStyle w:val="Tabletext"/>
              <w:jc w:val="center"/>
              <w:rPr>
                <w:lang w:eastAsia="zh-CN"/>
              </w:rPr>
            </w:pPr>
            <w:r w:rsidRPr="00CA21B7">
              <w:rPr>
                <w:lang w:eastAsia="zh-CN"/>
              </w:rPr>
              <w:t>NOC</w:t>
            </w:r>
          </w:p>
        </w:tc>
        <w:tc>
          <w:tcPr>
            <w:tcW w:w="2410" w:type="dxa"/>
            <w:shd w:val="clear" w:color="auto" w:fill="auto"/>
            <w:vAlign w:val="center"/>
          </w:tcPr>
          <w:p w14:paraId="5ABF991F" w14:textId="77777777" w:rsidR="000A243F" w:rsidRPr="00CA21B7" w:rsidRDefault="000A243F" w:rsidP="00CA21B7">
            <w:pPr>
              <w:pStyle w:val="Tabletext"/>
              <w:jc w:val="center"/>
              <w:rPr>
                <w:lang w:eastAsia="zh-CN"/>
              </w:rPr>
            </w:pPr>
          </w:p>
        </w:tc>
        <w:tc>
          <w:tcPr>
            <w:tcW w:w="4257" w:type="dxa"/>
            <w:shd w:val="clear" w:color="auto" w:fill="auto"/>
            <w:vAlign w:val="center"/>
          </w:tcPr>
          <w:p w14:paraId="03620F16" w14:textId="1AEBFD6F" w:rsidR="000A243F" w:rsidRPr="00CA21B7" w:rsidRDefault="000A243F" w:rsidP="00CA21B7">
            <w:pPr>
              <w:pStyle w:val="Tabletext"/>
              <w:rPr>
                <w:lang w:eastAsia="zh-CN"/>
              </w:rPr>
            </w:pPr>
            <w:r w:rsidRPr="00CA21B7">
              <w:rPr>
                <w:lang w:eastAsia="zh-CN"/>
              </w:rPr>
              <w:t xml:space="preserve">Important SG that should </w:t>
            </w:r>
            <w:r w:rsidR="00485155" w:rsidRPr="00CA21B7">
              <w:rPr>
                <w:lang w:eastAsia="zh-CN"/>
              </w:rPr>
              <w:t>continue</w:t>
            </w:r>
            <w:r w:rsidRPr="00CA21B7">
              <w:rPr>
                <w:lang w:eastAsia="zh-CN"/>
              </w:rPr>
              <w:t xml:space="preserve">, in particular the mandates </w:t>
            </w:r>
            <w:r w:rsidR="005610B3" w:rsidRPr="00CA21B7">
              <w:rPr>
                <w:lang w:eastAsia="zh-CN"/>
              </w:rPr>
              <w:t>related</w:t>
            </w:r>
            <w:r w:rsidRPr="00CA21B7">
              <w:rPr>
                <w:lang w:eastAsia="zh-CN"/>
              </w:rPr>
              <w:t xml:space="preserve"> to C&amp;I and Counterfeit</w:t>
            </w:r>
            <w:r w:rsidR="00485155" w:rsidRPr="00CA21B7">
              <w:rPr>
                <w:lang w:eastAsia="zh-CN"/>
              </w:rPr>
              <w:t>ing</w:t>
            </w:r>
            <w:r w:rsidRPr="00CA21B7">
              <w:rPr>
                <w:lang w:eastAsia="zh-CN"/>
              </w:rPr>
              <w:t xml:space="preserve">. </w:t>
            </w:r>
          </w:p>
          <w:p w14:paraId="63E9722B" w14:textId="53D7145A" w:rsidR="000A243F" w:rsidRPr="00CA21B7" w:rsidRDefault="000A243F" w:rsidP="00CA21B7">
            <w:pPr>
              <w:pStyle w:val="Tabletext"/>
              <w:rPr>
                <w:lang w:eastAsia="zh-CN"/>
              </w:rPr>
            </w:pPr>
            <w:r w:rsidRPr="00CA21B7">
              <w:rPr>
                <w:lang w:eastAsia="zh-CN"/>
              </w:rPr>
              <w:t>Collocated meetings with SG</w:t>
            </w:r>
            <w:r w:rsidR="00CA21B7">
              <w:rPr>
                <w:lang w:eastAsia="zh-CN"/>
              </w:rPr>
              <w:t xml:space="preserve"> </w:t>
            </w:r>
            <w:r w:rsidRPr="00CA21B7">
              <w:rPr>
                <w:lang w:eastAsia="zh-CN"/>
              </w:rPr>
              <w:t>13.</w:t>
            </w:r>
          </w:p>
        </w:tc>
      </w:tr>
      <w:tr w:rsidR="00DB4186" w:rsidRPr="00CA21B7" w14:paraId="46A5B559" w14:textId="77777777" w:rsidTr="00CA21B7">
        <w:trPr>
          <w:trHeight w:val="863"/>
        </w:trPr>
        <w:tc>
          <w:tcPr>
            <w:tcW w:w="1545" w:type="dxa"/>
            <w:shd w:val="clear" w:color="auto" w:fill="auto"/>
            <w:vAlign w:val="center"/>
          </w:tcPr>
          <w:p w14:paraId="28105D88" w14:textId="4FDDB964" w:rsidR="000A243F" w:rsidRPr="00CA21B7" w:rsidRDefault="005A3350" w:rsidP="00CA21B7">
            <w:pPr>
              <w:pStyle w:val="Tabletext"/>
              <w:jc w:val="center"/>
              <w:rPr>
                <w:b/>
                <w:bCs/>
                <w:lang w:eastAsia="zh-CN"/>
              </w:rPr>
            </w:pPr>
            <w:r w:rsidRPr="00CA21B7">
              <w:rPr>
                <w:b/>
                <w:bCs/>
                <w:lang w:eastAsia="zh-CN"/>
              </w:rPr>
              <w:t>SG</w:t>
            </w:r>
            <w:r w:rsidR="00401B5D">
              <w:rPr>
                <w:b/>
                <w:bCs/>
                <w:lang w:eastAsia="zh-CN"/>
              </w:rPr>
              <w:t xml:space="preserve"> </w:t>
            </w:r>
            <w:r w:rsidRPr="00CA21B7">
              <w:rPr>
                <w:b/>
                <w:bCs/>
                <w:lang w:eastAsia="zh-CN"/>
              </w:rPr>
              <w:t>1</w:t>
            </w:r>
            <w:r w:rsidR="000A243F" w:rsidRPr="00CA21B7">
              <w:rPr>
                <w:b/>
                <w:bCs/>
                <w:lang w:eastAsia="zh-CN"/>
              </w:rPr>
              <w:t>2</w:t>
            </w:r>
          </w:p>
        </w:tc>
        <w:tc>
          <w:tcPr>
            <w:tcW w:w="1417" w:type="dxa"/>
            <w:shd w:val="clear" w:color="auto" w:fill="auto"/>
            <w:vAlign w:val="center"/>
          </w:tcPr>
          <w:p w14:paraId="16E0F723" w14:textId="77777777" w:rsidR="000A243F" w:rsidRPr="00CA21B7" w:rsidRDefault="000A243F" w:rsidP="00CA21B7">
            <w:pPr>
              <w:pStyle w:val="Tabletext"/>
              <w:jc w:val="center"/>
              <w:rPr>
                <w:lang w:eastAsia="zh-CN"/>
              </w:rPr>
            </w:pPr>
            <w:r w:rsidRPr="00CA21B7">
              <w:rPr>
                <w:lang w:eastAsia="zh-CN"/>
              </w:rPr>
              <w:t>MOD</w:t>
            </w:r>
          </w:p>
        </w:tc>
        <w:tc>
          <w:tcPr>
            <w:tcW w:w="2410" w:type="dxa"/>
            <w:shd w:val="clear" w:color="auto" w:fill="auto"/>
            <w:vAlign w:val="center"/>
          </w:tcPr>
          <w:p w14:paraId="4F75AD31" w14:textId="42DA0211" w:rsidR="000A243F" w:rsidRPr="00CA21B7" w:rsidRDefault="000A243F" w:rsidP="00CA21B7">
            <w:pPr>
              <w:pStyle w:val="Tabletext"/>
              <w:jc w:val="center"/>
              <w:rPr>
                <w:lang w:eastAsia="zh-CN"/>
              </w:rPr>
            </w:pPr>
            <w:r w:rsidRPr="00CA21B7">
              <w:rPr>
                <w:lang w:eastAsia="zh-CN"/>
              </w:rPr>
              <w:t xml:space="preserve">Insert </w:t>
            </w:r>
            <w:proofErr w:type="spellStart"/>
            <w:r w:rsidRPr="00CA21B7">
              <w:rPr>
                <w:lang w:eastAsia="zh-CN"/>
              </w:rPr>
              <w:t>QoS</w:t>
            </w:r>
            <w:proofErr w:type="spellEnd"/>
            <w:r w:rsidRPr="00CA21B7">
              <w:rPr>
                <w:lang w:eastAsia="zh-CN"/>
              </w:rPr>
              <w:t xml:space="preserve"> Questions from SG</w:t>
            </w:r>
            <w:r w:rsidR="00401B5D">
              <w:rPr>
                <w:lang w:eastAsia="zh-CN"/>
              </w:rPr>
              <w:t> </w:t>
            </w:r>
            <w:r w:rsidRPr="00CA21B7">
              <w:rPr>
                <w:lang w:eastAsia="zh-CN"/>
              </w:rPr>
              <w:t>9</w:t>
            </w:r>
          </w:p>
        </w:tc>
        <w:tc>
          <w:tcPr>
            <w:tcW w:w="4257" w:type="dxa"/>
            <w:shd w:val="clear" w:color="auto" w:fill="auto"/>
            <w:vAlign w:val="center"/>
          </w:tcPr>
          <w:p w14:paraId="70820278" w14:textId="7D34912A" w:rsidR="000A243F" w:rsidRPr="00CA21B7" w:rsidRDefault="000A243F" w:rsidP="00CA21B7">
            <w:pPr>
              <w:pStyle w:val="Tabletext"/>
              <w:rPr>
                <w:color w:val="222222"/>
                <w:szCs w:val="22"/>
                <w:lang w:eastAsia="zh-CN"/>
              </w:rPr>
            </w:pPr>
            <w:r w:rsidRPr="00CA21B7">
              <w:rPr>
                <w:color w:val="222222"/>
                <w:szCs w:val="22"/>
                <w:lang w:eastAsia="zh-CN"/>
              </w:rPr>
              <w:t xml:space="preserve">Take into account all issues of </w:t>
            </w:r>
            <w:proofErr w:type="spellStart"/>
            <w:r w:rsidRPr="00CA21B7">
              <w:rPr>
                <w:color w:val="222222"/>
                <w:szCs w:val="22"/>
                <w:lang w:eastAsia="zh-CN"/>
              </w:rPr>
              <w:t>QoS</w:t>
            </w:r>
            <w:proofErr w:type="spellEnd"/>
            <w:r w:rsidR="00CA21B7">
              <w:rPr>
                <w:color w:val="222222"/>
                <w:szCs w:val="22"/>
                <w:lang w:eastAsia="zh-CN"/>
              </w:rPr>
              <w:t>.</w:t>
            </w:r>
            <w:r w:rsidRPr="00CA21B7">
              <w:rPr>
                <w:color w:val="222222"/>
                <w:szCs w:val="22"/>
                <w:lang w:eastAsia="zh-CN"/>
              </w:rPr>
              <w:t xml:space="preserve"> </w:t>
            </w:r>
          </w:p>
        </w:tc>
      </w:tr>
      <w:tr w:rsidR="00DB4186" w:rsidRPr="00CA21B7" w14:paraId="272A58F2" w14:textId="77777777" w:rsidTr="00CA21B7">
        <w:trPr>
          <w:trHeight w:val="780"/>
        </w:trPr>
        <w:tc>
          <w:tcPr>
            <w:tcW w:w="1545" w:type="dxa"/>
            <w:vMerge w:val="restart"/>
            <w:shd w:val="clear" w:color="auto" w:fill="auto"/>
            <w:vAlign w:val="center"/>
          </w:tcPr>
          <w:p w14:paraId="5E2AE5A1" w14:textId="081E113D" w:rsidR="000A243F" w:rsidRPr="00CA21B7" w:rsidRDefault="000A243F" w:rsidP="00CA21B7">
            <w:pPr>
              <w:pStyle w:val="Tabletext"/>
              <w:jc w:val="center"/>
              <w:rPr>
                <w:b/>
                <w:bCs/>
                <w:lang w:eastAsia="zh-CN"/>
              </w:rPr>
            </w:pPr>
            <w:r w:rsidRPr="00CA21B7">
              <w:rPr>
                <w:b/>
                <w:bCs/>
                <w:lang w:eastAsia="zh-CN"/>
              </w:rPr>
              <w:br w:type="page"/>
            </w:r>
            <w:r w:rsidR="005A3350" w:rsidRPr="00CA21B7">
              <w:rPr>
                <w:b/>
                <w:bCs/>
                <w:lang w:eastAsia="zh-CN"/>
              </w:rPr>
              <w:t>SG</w:t>
            </w:r>
            <w:r w:rsidR="00401B5D">
              <w:rPr>
                <w:b/>
                <w:bCs/>
                <w:lang w:eastAsia="zh-CN"/>
              </w:rPr>
              <w:t xml:space="preserve"> </w:t>
            </w:r>
            <w:r w:rsidRPr="00CA21B7">
              <w:rPr>
                <w:b/>
                <w:bCs/>
                <w:lang w:eastAsia="zh-CN"/>
              </w:rPr>
              <w:t>13</w:t>
            </w:r>
          </w:p>
        </w:tc>
        <w:tc>
          <w:tcPr>
            <w:tcW w:w="1417" w:type="dxa"/>
            <w:shd w:val="clear" w:color="auto" w:fill="auto"/>
            <w:vAlign w:val="center"/>
          </w:tcPr>
          <w:p w14:paraId="2EB84A93" w14:textId="77777777" w:rsidR="000A243F" w:rsidRPr="00CA21B7" w:rsidRDefault="000A243F" w:rsidP="00CA21B7">
            <w:pPr>
              <w:pStyle w:val="Tabletext"/>
              <w:jc w:val="center"/>
              <w:rPr>
                <w:lang w:eastAsia="zh-CN"/>
              </w:rPr>
            </w:pPr>
            <w:r w:rsidRPr="00CA21B7">
              <w:rPr>
                <w:lang w:eastAsia="zh-CN"/>
              </w:rPr>
              <w:t>MOD</w:t>
            </w:r>
          </w:p>
        </w:tc>
        <w:tc>
          <w:tcPr>
            <w:tcW w:w="2410" w:type="dxa"/>
            <w:shd w:val="clear" w:color="auto" w:fill="auto"/>
            <w:vAlign w:val="center"/>
          </w:tcPr>
          <w:p w14:paraId="6F11B142" w14:textId="03468146" w:rsidR="000A243F" w:rsidRPr="00CA21B7" w:rsidRDefault="000A243F" w:rsidP="00CA21B7">
            <w:pPr>
              <w:pStyle w:val="Tabletext"/>
              <w:jc w:val="center"/>
              <w:rPr>
                <w:lang w:eastAsia="zh-CN"/>
              </w:rPr>
            </w:pPr>
            <w:r w:rsidRPr="00CA21B7">
              <w:rPr>
                <w:lang w:eastAsia="zh-CN"/>
              </w:rPr>
              <w:t>Option</w:t>
            </w:r>
            <w:r w:rsidR="004572E2" w:rsidRPr="00CA21B7">
              <w:rPr>
                <w:lang w:eastAsia="zh-CN"/>
              </w:rPr>
              <w:t xml:space="preserve"> </w:t>
            </w:r>
            <w:r w:rsidRPr="00CA21B7">
              <w:rPr>
                <w:lang w:eastAsia="zh-CN"/>
              </w:rPr>
              <w:t>1: Insert Questions addressed by WP</w:t>
            </w:r>
            <w:r w:rsidR="00401B5D">
              <w:rPr>
                <w:lang w:eastAsia="zh-CN"/>
              </w:rPr>
              <w:t> </w:t>
            </w:r>
            <w:r w:rsidRPr="00CA21B7">
              <w:rPr>
                <w:lang w:eastAsia="zh-CN"/>
              </w:rPr>
              <w:t>2/2</w:t>
            </w:r>
          </w:p>
        </w:tc>
        <w:tc>
          <w:tcPr>
            <w:tcW w:w="4257" w:type="dxa"/>
            <w:shd w:val="clear" w:color="auto" w:fill="auto"/>
            <w:vAlign w:val="center"/>
          </w:tcPr>
          <w:p w14:paraId="14CA123D" w14:textId="21910770" w:rsidR="000A243F" w:rsidRPr="00CA21B7" w:rsidRDefault="000A243F" w:rsidP="00CA21B7">
            <w:pPr>
              <w:pStyle w:val="Tabletext"/>
              <w:rPr>
                <w:color w:val="222222"/>
                <w:szCs w:val="22"/>
                <w:lang w:eastAsia="zh-CN"/>
              </w:rPr>
            </w:pPr>
            <w:r w:rsidRPr="00CA21B7">
              <w:rPr>
                <w:color w:val="222222"/>
                <w:szCs w:val="22"/>
                <w:lang w:eastAsia="zh-CN"/>
              </w:rPr>
              <w:t>SG</w:t>
            </w:r>
            <w:r w:rsidR="00CA21B7">
              <w:rPr>
                <w:color w:val="222222"/>
                <w:szCs w:val="22"/>
                <w:lang w:eastAsia="zh-CN"/>
              </w:rPr>
              <w:t xml:space="preserve"> </w:t>
            </w:r>
            <w:r w:rsidRPr="00CA21B7">
              <w:rPr>
                <w:color w:val="222222"/>
                <w:szCs w:val="22"/>
                <w:lang w:eastAsia="zh-CN"/>
              </w:rPr>
              <w:t>13 will be the leading SG on network management for existing and future networks.</w:t>
            </w:r>
          </w:p>
        </w:tc>
      </w:tr>
      <w:tr w:rsidR="00DB4186" w:rsidRPr="00CA21B7" w14:paraId="4692EF65" w14:textId="77777777" w:rsidTr="00CA21B7">
        <w:trPr>
          <w:trHeight w:val="283"/>
        </w:trPr>
        <w:tc>
          <w:tcPr>
            <w:tcW w:w="1545" w:type="dxa"/>
            <w:vMerge/>
            <w:shd w:val="clear" w:color="auto" w:fill="auto"/>
            <w:vAlign w:val="center"/>
          </w:tcPr>
          <w:p w14:paraId="1EA30AE4" w14:textId="77777777" w:rsidR="000A243F" w:rsidRPr="00CA21B7" w:rsidRDefault="000A243F" w:rsidP="00CA21B7">
            <w:pPr>
              <w:pStyle w:val="Tabletext"/>
              <w:jc w:val="center"/>
              <w:rPr>
                <w:b/>
                <w:bCs/>
                <w:lang w:eastAsia="zh-CN"/>
              </w:rPr>
            </w:pPr>
          </w:p>
        </w:tc>
        <w:tc>
          <w:tcPr>
            <w:tcW w:w="1417" w:type="dxa"/>
            <w:shd w:val="clear" w:color="auto" w:fill="auto"/>
            <w:vAlign w:val="center"/>
          </w:tcPr>
          <w:p w14:paraId="6FE59189" w14:textId="77777777" w:rsidR="000A243F" w:rsidRPr="00CA21B7" w:rsidRDefault="000A243F" w:rsidP="00CA21B7">
            <w:pPr>
              <w:pStyle w:val="Tabletext"/>
              <w:jc w:val="center"/>
              <w:rPr>
                <w:lang w:eastAsia="zh-CN"/>
              </w:rPr>
            </w:pPr>
            <w:r w:rsidRPr="00CA21B7">
              <w:rPr>
                <w:lang w:eastAsia="zh-CN"/>
              </w:rPr>
              <w:t>NOC</w:t>
            </w:r>
          </w:p>
        </w:tc>
        <w:tc>
          <w:tcPr>
            <w:tcW w:w="2410" w:type="dxa"/>
            <w:shd w:val="clear" w:color="auto" w:fill="auto"/>
            <w:vAlign w:val="center"/>
          </w:tcPr>
          <w:p w14:paraId="743502F7" w14:textId="69481392" w:rsidR="000A243F" w:rsidRPr="00CA21B7" w:rsidRDefault="000A243F" w:rsidP="00CA21B7">
            <w:pPr>
              <w:pStyle w:val="Tabletext"/>
              <w:jc w:val="center"/>
              <w:rPr>
                <w:lang w:eastAsia="zh-CN"/>
              </w:rPr>
            </w:pPr>
            <w:r w:rsidRPr="00CA21B7">
              <w:rPr>
                <w:lang w:eastAsia="zh-CN"/>
              </w:rPr>
              <w:t>Option 2:</w:t>
            </w:r>
            <w:r w:rsidR="004572E2" w:rsidRPr="00CA21B7">
              <w:rPr>
                <w:lang w:eastAsia="zh-CN"/>
              </w:rPr>
              <w:t xml:space="preserve"> </w:t>
            </w:r>
            <w:r w:rsidRPr="00CA21B7">
              <w:rPr>
                <w:lang w:eastAsia="zh-CN"/>
              </w:rPr>
              <w:t>NOC</w:t>
            </w:r>
          </w:p>
        </w:tc>
        <w:tc>
          <w:tcPr>
            <w:tcW w:w="4257" w:type="dxa"/>
            <w:shd w:val="clear" w:color="auto" w:fill="auto"/>
            <w:vAlign w:val="center"/>
          </w:tcPr>
          <w:p w14:paraId="30BFBBC3" w14:textId="77777777" w:rsidR="000A243F" w:rsidRPr="00CA21B7" w:rsidRDefault="000A243F" w:rsidP="00CA21B7">
            <w:pPr>
              <w:pStyle w:val="Tabletext"/>
              <w:rPr>
                <w:color w:val="222222"/>
                <w:szCs w:val="22"/>
                <w:lang w:eastAsia="zh-CN"/>
              </w:rPr>
            </w:pPr>
          </w:p>
        </w:tc>
      </w:tr>
      <w:tr w:rsidR="00DB4186" w:rsidRPr="00CA21B7" w14:paraId="797C85FE" w14:textId="77777777" w:rsidTr="00CA21B7">
        <w:trPr>
          <w:trHeight w:val="540"/>
        </w:trPr>
        <w:tc>
          <w:tcPr>
            <w:tcW w:w="1545" w:type="dxa"/>
            <w:shd w:val="clear" w:color="auto" w:fill="auto"/>
            <w:vAlign w:val="center"/>
          </w:tcPr>
          <w:p w14:paraId="0DF6E171" w14:textId="048817D2" w:rsidR="000A243F" w:rsidRPr="00CA21B7" w:rsidRDefault="005A3350" w:rsidP="00CA21B7">
            <w:pPr>
              <w:pStyle w:val="Tabletext"/>
              <w:jc w:val="center"/>
              <w:rPr>
                <w:b/>
                <w:bCs/>
                <w:lang w:eastAsia="zh-CN"/>
              </w:rPr>
            </w:pPr>
            <w:r w:rsidRPr="00CA21B7">
              <w:rPr>
                <w:b/>
                <w:bCs/>
                <w:lang w:eastAsia="zh-CN"/>
              </w:rPr>
              <w:t>SG</w:t>
            </w:r>
            <w:r w:rsidR="00401B5D">
              <w:rPr>
                <w:b/>
                <w:bCs/>
                <w:lang w:eastAsia="zh-CN"/>
              </w:rPr>
              <w:t xml:space="preserve"> </w:t>
            </w:r>
            <w:r w:rsidR="000A243F" w:rsidRPr="00CA21B7">
              <w:rPr>
                <w:b/>
                <w:bCs/>
                <w:lang w:eastAsia="zh-CN"/>
              </w:rPr>
              <w:t>15</w:t>
            </w:r>
          </w:p>
        </w:tc>
        <w:tc>
          <w:tcPr>
            <w:tcW w:w="1417" w:type="dxa"/>
            <w:shd w:val="clear" w:color="auto" w:fill="auto"/>
            <w:vAlign w:val="center"/>
          </w:tcPr>
          <w:p w14:paraId="5333672B" w14:textId="3AB7C9C0" w:rsidR="000A243F" w:rsidRPr="00CA21B7" w:rsidRDefault="000A243F" w:rsidP="00CA21B7">
            <w:pPr>
              <w:pStyle w:val="Tabletext"/>
              <w:jc w:val="center"/>
              <w:rPr>
                <w:lang w:eastAsia="zh-CN"/>
              </w:rPr>
            </w:pPr>
            <w:r w:rsidRPr="00CA21B7">
              <w:rPr>
                <w:lang w:eastAsia="zh-CN"/>
              </w:rPr>
              <w:t>N</w:t>
            </w:r>
            <w:r w:rsidR="005A3350" w:rsidRPr="00CA21B7">
              <w:rPr>
                <w:lang w:eastAsia="zh-CN"/>
              </w:rPr>
              <w:t>O</w:t>
            </w:r>
            <w:r w:rsidRPr="00CA21B7">
              <w:rPr>
                <w:lang w:eastAsia="zh-CN"/>
              </w:rPr>
              <w:t>C</w:t>
            </w:r>
          </w:p>
        </w:tc>
        <w:tc>
          <w:tcPr>
            <w:tcW w:w="2410" w:type="dxa"/>
            <w:shd w:val="clear" w:color="auto" w:fill="auto"/>
            <w:vAlign w:val="center"/>
          </w:tcPr>
          <w:p w14:paraId="7609C285" w14:textId="77777777" w:rsidR="000A243F" w:rsidRPr="00CA21B7" w:rsidRDefault="000A243F" w:rsidP="00CA21B7">
            <w:pPr>
              <w:pStyle w:val="Tabletext"/>
              <w:jc w:val="center"/>
              <w:rPr>
                <w:lang w:eastAsia="zh-CN"/>
              </w:rPr>
            </w:pPr>
          </w:p>
        </w:tc>
        <w:tc>
          <w:tcPr>
            <w:tcW w:w="4257" w:type="dxa"/>
            <w:shd w:val="clear" w:color="auto" w:fill="auto"/>
            <w:vAlign w:val="center"/>
          </w:tcPr>
          <w:p w14:paraId="6F7869B7" w14:textId="77777777" w:rsidR="000A243F" w:rsidRPr="00CA21B7" w:rsidRDefault="000A243F" w:rsidP="00CA21B7">
            <w:pPr>
              <w:pStyle w:val="Tabletext"/>
              <w:rPr>
                <w:color w:val="222222"/>
                <w:szCs w:val="22"/>
                <w:lang w:eastAsia="zh-CN"/>
              </w:rPr>
            </w:pPr>
          </w:p>
        </w:tc>
      </w:tr>
      <w:tr w:rsidR="00DB4186" w:rsidRPr="00CA21B7" w14:paraId="3039BA2F" w14:textId="77777777" w:rsidTr="00CA21B7">
        <w:trPr>
          <w:trHeight w:val="406"/>
        </w:trPr>
        <w:tc>
          <w:tcPr>
            <w:tcW w:w="1545" w:type="dxa"/>
            <w:shd w:val="clear" w:color="auto" w:fill="auto"/>
            <w:vAlign w:val="center"/>
          </w:tcPr>
          <w:p w14:paraId="392D4C7F" w14:textId="740691C7" w:rsidR="000A243F" w:rsidRPr="00CA21B7" w:rsidRDefault="005A3350" w:rsidP="00CA21B7">
            <w:pPr>
              <w:pStyle w:val="Tabletext"/>
              <w:jc w:val="center"/>
              <w:rPr>
                <w:b/>
                <w:bCs/>
                <w:lang w:eastAsia="zh-CN"/>
              </w:rPr>
            </w:pPr>
            <w:r w:rsidRPr="00CA21B7">
              <w:rPr>
                <w:b/>
                <w:bCs/>
                <w:lang w:eastAsia="zh-CN"/>
              </w:rPr>
              <w:t>SG</w:t>
            </w:r>
            <w:r w:rsidR="00401B5D">
              <w:rPr>
                <w:b/>
                <w:bCs/>
                <w:lang w:eastAsia="zh-CN"/>
              </w:rPr>
              <w:t xml:space="preserve"> </w:t>
            </w:r>
            <w:r w:rsidR="000A243F" w:rsidRPr="00CA21B7">
              <w:rPr>
                <w:b/>
                <w:bCs/>
                <w:lang w:eastAsia="zh-CN"/>
              </w:rPr>
              <w:t>16</w:t>
            </w:r>
          </w:p>
        </w:tc>
        <w:tc>
          <w:tcPr>
            <w:tcW w:w="1417" w:type="dxa"/>
            <w:shd w:val="clear" w:color="auto" w:fill="auto"/>
            <w:vAlign w:val="center"/>
          </w:tcPr>
          <w:p w14:paraId="19DC7B48" w14:textId="53264639" w:rsidR="000A243F" w:rsidRPr="00CA21B7" w:rsidRDefault="000853EA" w:rsidP="00CA21B7">
            <w:pPr>
              <w:pStyle w:val="Tabletext"/>
              <w:jc w:val="center"/>
              <w:rPr>
                <w:lang w:eastAsia="zh-CN"/>
              </w:rPr>
            </w:pPr>
            <w:r>
              <w:rPr>
                <w:lang w:eastAsia="zh-CN"/>
              </w:rPr>
              <w:t>MOD</w:t>
            </w:r>
            <w:bookmarkStart w:id="0" w:name="_GoBack"/>
            <w:bookmarkEnd w:id="0"/>
          </w:p>
        </w:tc>
        <w:tc>
          <w:tcPr>
            <w:tcW w:w="2410" w:type="dxa"/>
            <w:shd w:val="clear" w:color="auto" w:fill="auto"/>
            <w:vAlign w:val="center"/>
          </w:tcPr>
          <w:p w14:paraId="3A723626" w14:textId="27F07C4F" w:rsidR="000A243F" w:rsidRPr="00CA21B7" w:rsidRDefault="000A243F" w:rsidP="00CA21B7">
            <w:pPr>
              <w:pStyle w:val="Tabletext"/>
              <w:jc w:val="center"/>
              <w:rPr>
                <w:lang w:eastAsia="zh-CN"/>
              </w:rPr>
            </w:pPr>
            <w:r w:rsidRPr="00CA21B7">
              <w:rPr>
                <w:lang w:eastAsia="zh-CN"/>
              </w:rPr>
              <w:t>Insert Q4/2 from SG</w:t>
            </w:r>
            <w:r w:rsidR="00401B5D">
              <w:rPr>
                <w:lang w:eastAsia="zh-CN"/>
              </w:rPr>
              <w:t> </w:t>
            </w:r>
            <w:r w:rsidRPr="00CA21B7">
              <w:rPr>
                <w:lang w:eastAsia="zh-CN"/>
              </w:rPr>
              <w:t>2</w:t>
            </w:r>
          </w:p>
        </w:tc>
        <w:tc>
          <w:tcPr>
            <w:tcW w:w="4257" w:type="dxa"/>
            <w:shd w:val="clear" w:color="auto" w:fill="auto"/>
            <w:vAlign w:val="center"/>
          </w:tcPr>
          <w:p w14:paraId="4A942419" w14:textId="77777777" w:rsidR="000A243F" w:rsidRPr="00CA21B7" w:rsidRDefault="000A243F" w:rsidP="00CA21B7">
            <w:pPr>
              <w:pStyle w:val="Tabletext"/>
              <w:rPr>
                <w:color w:val="222222"/>
                <w:szCs w:val="22"/>
                <w:lang w:eastAsia="zh-CN"/>
              </w:rPr>
            </w:pPr>
            <w:r w:rsidRPr="00CA21B7">
              <w:rPr>
                <w:color w:val="222222"/>
                <w:szCs w:val="22"/>
                <w:lang w:eastAsia="zh-CN"/>
              </w:rPr>
              <w:t>Concerned with MM, accessibility issues as well as human factors.</w:t>
            </w:r>
          </w:p>
        </w:tc>
      </w:tr>
      <w:tr w:rsidR="00DB4186" w:rsidRPr="00CA21B7" w14:paraId="60DA9DED" w14:textId="77777777" w:rsidTr="00CA21B7">
        <w:trPr>
          <w:trHeight w:val="425"/>
        </w:trPr>
        <w:tc>
          <w:tcPr>
            <w:tcW w:w="1545" w:type="dxa"/>
            <w:shd w:val="clear" w:color="auto" w:fill="auto"/>
            <w:vAlign w:val="center"/>
          </w:tcPr>
          <w:p w14:paraId="31A87484" w14:textId="3B136BDD" w:rsidR="000A243F" w:rsidRPr="00CA21B7" w:rsidRDefault="005A3350" w:rsidP="00CA21B7">
            <w:pPr>
              <w:pStyle w:val="Tabletext"/>
              <w:jc w:val="center"/>
              <w:rPr>
                <w:b/>
                <w:bCs/>
                <w:lang w:eastAsia="zh-CN"/>
              </w:rPr>
            </w:pPr>
            <w:r w:rsidRPr="00CA21B7">
              <w:rPr>
                <w:b/>
                <w:bCs/>
                <w:lang w:eastAsia="zh-CN"/>
              </w:rPr>
              <w:t>SG</w:t>
            </w:r>
            <w:r w:rsidR="00401B5D">
              <w:rPr>
                <w:b/>
                <w:bCs/>
                <w:lang w:eastAsia="zh-CN"/>
              </w:rPr>
              <w:t xml:space="preserve"> </w:t>
            </w:r>
            <w:r w:rsidR="000A243F" w:rsidRPr="00CA21B7">
              <w:rPr>
                <w:b/>
                <w:bCs/>
                <w:lang w:eastAsia="zh-CN"/>
              </w:rPr>
              <w:t>17</w:t>
            </w:r>
          </w:p>
        </w:tc>
        <w:tc>
          <w:tcPr>
            <w:tcW w:w="1417" w:type="dxa"/>
            <w:shd w:val="clear" w:color="auto" w:fill="auto"/>
            <w:vAlign w:val="center"/>
          </w:tcPr>
          <w:p w14:paraId="268AC4D2" w14:textId="42227387" w:rsidR="000A243F" w:rsidRPr="00CA21B7" w:rsidRDefault="005A3350" w:rsidP="00CA21B7">
            <w:pPr>
              <w:pStyle w:val="Tabletext"/>
              <w:jc w:val="center"/>
              <w:rPr>
                <w:lang w:eastAsia="zh-CN"/>
              </w:rPr>
            </w:pPr>
            <w:r w:rsidRPr="00CA21B7">
              <w:rPr>
                <w:lang w:eastAsia="zh-CN"/>
              </w:rPr>
              <w:t>NO</w:t>
            </w:r>
            <w:r w:rsidR="000A243F" w:rsidRPr="00CA21B7">
              <w:rPr>
                <w:lang w:eastAsia="zh-CN"/>
              </w:rPr>
              <w:t>C</w:t>
            </w:r>
          </w:p>
        </w:tc>
        <w:tc>
          <w:tcPr>
            <w:tcW w:w="2410" w:type="dxa"/>
            <w:shd w:val="clear" w:color="auto" w:fill="auto"/>
            <w:vAlign w:val="center"/>
          </w:tcPr>
          <w:p w14:paraId="34AD701A" w14:textId="77777777" w:rsidR="000A243F" w:rsidRPr="00CA21B7" w:rsidRDefault="000A243F" w:rsidP="00CA21B7">
            <w:pPr>
              <w:pStyle w:val="Tabletext"/>
              <w:jc w:val="center"/>
              <w:rPr>
                <w:lang w:eastAsia="zh-CN"/>
              </w:rPr>
            </w:pPr>
          </w:p>
        </w:tc>
        <w:tc>
          <w:tcPr>
            <w:tcW w:w="4257" w:type="dxa"/>
            <w:shd w:val="clear" w:color="auto" w:fill="auto"/>
            <w:vAlign w:val="center"/>
          </w:tcPr>
          <w:p w14:paraId="7CB257AE" w14:textId="531B234D" w:rsidR="000A243F" w:rsidRPr="00CA21B7" w:rsidRDefault="000A243F" w:rsidP="00CA21B7">
            <w:pPr>
              <w:pStyle w:val="Tabletext"/>
              <w:rPr>
                <w:color w:val="222222"/>
                <w:szCs w:val="22"/>
                <w:lang w:eastAsia="zh-CN"/>
              </w:rPr>
            </w:pPr>
            <w:r w:rsidRPr="00CA21B7">
              <w:rPr>
                <w:color w:val="222222"/>
                <w:szCs w:val="22"/>
                <w:lang w:eastAsia="zh-CN"/>
              </w:rPr>
              <w:t xml:space="preserve">Stable SG with considerable importance to </w:t>
            </w:r>
            <w:r w:rsidR="00CD6AD6" w:rsidRPr="00CA21B7">
              <w:rPr>
                <w:color w:val="222222"/>
                <w:szCs w:val="22"/>
                <w:lang w:eastAsia="zh-CN"/>
              </w:rPr>
              <w:t>developing countries</w:t>
            </w:r>
            <w:r w:rsidRPr="00CA21B7">
              <w:rPr>
                <w:color w:val="222222"/>
                <w:szCs w:val="22"/>
                <w:lang w:eastAsia="zh-CN"/>
              </w:rPr>
              <w:t>.</w:t>
            </w:r>
          </w:p>
        </w:tc>
      </w:tr>
      <w:tr w:rsidR="00DB4186" w:rsidRPr="00CA21B7" w14:paraId="64B09D16" w14:textId="77777777" w:rsidTr="00CA21B7">
        <w:trPr>
          <w:trHeight w:val="425"/>
        </w:trPr>
        <w:tc>
          <w:tcPr>
            <w:tcW w:w="1545" w:type="dxa"/>
            <w:shd w:val="clear" w:color="auto" w:fill="auto"/>
            <w:vAlign w:val="center"/>
          </w:tcPr>
          <w:p w14:paraId="3DE986B5" w14:textId="731DDEC4" w:rsidR="000A243F" w:rsidRPr="00CA21B7" w:rsidRDefault="005A3350" w:rsidP="00CA21B7">
            <w:pPr>
              <w:pStyle w:val="Tabletext"/>
              <w:jc w:val="center"/>
              <w:rPr>
                <w:b/>
                <w:bCs/>
                <w:lang w:eastAsia="zh-CN"/>
              </w:rPr>
            </w:pPr>
            <w:r w:rsidRPr="00CA21B7">
              <w:rPr>
                <w:b/>
                <w:bCs/>
                <w:lang w:eastAsia="zh-CN"/>
              </w:rPr>
              <w:t>SG</w:t>
            </w:r>
            <w:r w:rsidR="00401B5D">
              <w:rPr>
                <w:b/>
                <w:bCs/>
                <w:lang w:eastAsia="zh-CN"/>
              </w:rPr>
              <w:t xml:space="preserve"> </w:t>
            </w:r>
            <w:r w:rsidR="000A243F" w:rsidRPr="00CA21B7">
              <w:rPr>
                <w:b/>
                <w:bCs/>
                <w:lang w:eastAsia="zh-CN"/>
              </w:rPr>
              <w:t>20</w:t>
            </w:r>
          </w:p>
        </w:tc>
        <w:tc>
          <w:tcPr>
            <w:tcW w:w="1417" w:type="dxa"/>
            <w:shd w:val="clear" w:color="auto" w:fill="auto"/>
            <w:vAlign w:val="center"/>
          </w:tcPr>
          <w:p w14:paraId="42E1A006" w14:textId="568BA050" w:rsidR="000A243F" w:rsidRPr="00CA21B7" w:rsidRDefault="005A3350" w:rsidP="00CA21B7">
            <w:pPr>
              <w:pStyle w:val="Tabletext"/>
              <w:jc w:val="center"/>
              <w:rPr>
                <w:lang w:eastAsia="zh-CN"/>
              </w:rPr>
            </w:pPr>
            <w:r w:rsidRPr="00CA21B7">
              <w:rPr>
                <w:lang w:eastAsia="zh-CN"/>
              </w:rPr>
              <w:t>NO</w:t>
            </w:r>
            <w:r w:rsidR="000A243F" w:rsidRPr="00CA21B7">
              <w:rPr>
                <w:lang w:eastAsia="zh-CN"/>
              </w:rPr>
              <w:t>C</w:t>
            </w:r>
          </w:p>
        </w:tc>
        <w:tc>
          <w:tcPr>
            <w:tcW w:w="2410" w:type="dxa"/>
            <w:shd w:val="clear" w:color="auto" w:fill="auto"/>
            <w:vAlign w:val="center"/>
          </w:tcPr>
          <w:p w14:paraId="64C4F0F3" w14:textId="77777777" w:rsidR="000A243F" w:rsidRPr="00CA21B7" w:rsidRDefault="000A243F" w:rsidP="00CA21B7">
            <w:pPr>
              <w:pStyle w:val="Tabletext"/>
              <w:jc w:val="center"/>
              <w:rPr>
                <w:lang w:eastAsia="zh-CN"/>
              </w:rPr>
            </w:pPr>
          </w:p>
        </w:tc>
        <w:tc>
          <w:tcPr>
            <w:tcW w:w="4257" w:type="dxa"/>
            <w:shd w:val="clear" w:color="auto" w:fill="auto"/>
            <w:vAlign w:val="center"/>
          </w:tcPr>
          <w:p w14:paraId="725C9442" w14:textId="408E2364" w:rsidR="000A243F" w:rsidRPr="00CA21B7" w:rsidRDefault="000A243F" w:rsidP="00CA21B7">
            <w:pPr>
              <w:pStyle w:val="Tabletext"/>
              <w:rPr>
                <w:color w:val="222222"/>
                <w:szCs w:val="22"/>
                <w:lang w:eastAsia="zh-CN"/>
              </w:rPr>
            </w:pPr>
            <w:r w:rsidRPr="00CA21B7">
              <w:rPr>
                <w:color w:val="222222"/>
                <w:szCs w:val="22"/>
                <w:lang w:eastAsia="zh-CN"/>
              </w:rPr>
              <w:t>African MSs Support the creation, the Qs and mandates of SG</w:t>
            </w:r>
            <w:r w:rsidR="00401B5D">
              <w:rPr>
                <w:color w:val="222222"/>
                <w:szCs w:val="22"/>
                <w:lang w:eastAsia="zh-CN"/>
              </w:rPr>
              <w:t> </w:t>
            </w:r>
            <w:r w:rsidRPr="00CA21B7">
              <w:rPr>
                <w:color w:val="222222"/>
                <w:szCs w:val="22"/>
                <w:lang w:eastAsia="zh-CN"/>
              </w:rPr>
              <w:t xml:space="preserve">20, being of considerable importance to </w:t>
            </w:r>
            <w:r w:rsidR="00CD6AD6" w:rsidRPr="00CA21B7">
              <w:rPr>
                <w:color w:val="222222"/>
                <w:szCs w:val="22"/>
                <w:lang w:eastAsia="zh-CN"/>
              </w:rPr>
              <w:t>developing countries</w:t>
            </w:r>
            <w:r w:rsidRPr="00CA21B7">
              <w:rPr>
                <w:color w:val="222222"/>
                <w:szCs w:val="22"/>
                <w:lang w:eastAsia="zh-CN"/>
              </w:rPr>
              <w:t>.</w:t>
            </w:r>
          </w:p>
        </w:tc>
      </w:tr>
    </w:tbl>
    <w:p w14:paraId="766B9A1F" w14:textId="77777777" w:rsidR="00401B5D" w:rsidRDefault="00401B5D" w:rsidP="00401B5D">
      <w:pPr>
        <w:pStyle w:val="Reasons"/>
      </w:pPr>
    </w:p>
    <w:p w14:paraId="7052370A" w14:textId="77777777" w:rsidR="000A243F" w:rsidRPr="005610B3" w:rsidRDefault="000A243F" w:rsidP="000010D1">
      <w:pPr>
        <w:pStyle w:val="Heading1"/>
      </w:pPr>
      <w:r w:rsidRPr="005610B3">
        <w:t>3</w:t>
      </w:r>
      <w:r w:rsidRPr="005610B3">
        <w:tab/>
        <w:t xml:space="preserve">The Review Committee </w:t>
      </w:r>
      <w:proofErr w:type="spellStart"/>
      <w:r w:rsidRPr="005610B3">
        <w:t>RevCom</w:t>
      </w:r>
      <w:proofErr w:type="spellEnd"/>
    </w:p>
    <w:p w14:paraId="7E0AE5B0" w14:textId="4BCE74CA" w:rsidR="00D02917" w:rsidRPr="005610B3" w:rsidRDefault="00D02917" w:rsidP="000010D1">
      <w:pPr>
        <w:rPr>
          <w:rFonts w:hAnsi="Times New Roman Bold"/>
          <w:b/>
        </w:rPr>
      </w:pPr>
      <w:r w:rsidRPr="005610B3">
        <w:t xml:space="preserve">Noting that the Review Committee has fulfilled its mandates, the opinion of African Member States is that </w:t>
      </w:r>
      <w:proofErr w:type="spellStart"/>
      <w:r w:rsidRPr="005610B3">
        <w:t>RevCom</w:t>
      </w:r>
      <w:proofErr w:type="spellEnd"/>
      <w:r w:rsidRPr="005610B3">
        <w:t xml:space="preserve"> ends its activity at WTSA-16, and </w:t>
      </w:r>
      <w:r w:rsidR="00DB4186" w:rsidRPr="005610B3">
        <w:t xml:space="preserve">WTSA </w:t>
      </w:r>
      <w:r w:rsidR="005610B3" w:rsidRPr="005610B3">
        <w:t>Resolution</w:t>
      </w:r>
      <w:r w:rsidRPr="005610B3">
        <w:t xml:space="preserve"> 82 be suppressed.</w:t>
      </w:r>
    </w:p>
    <w:p w14:paraId="7AC05812" w14:textId="77777777" w:rsidR="005B114A" w:rsidRPr="005610B3" w:rsidRDefault="005B114A" w:rsidP="000010D1">
      <w:pPr>
        <w:pStyle w:val="Proposal"/>
      </w:pPr>
      <w:r w:rsidRPr="005610B3">
        <w:tab/>
        <w:t>AFCP/42A32/4</w:t>
      </w:r>
    </w:p>
    <w:p w14:paraId="793278AD" w14:textId="77777777" w:rsidR="000A243F" w:rsidRDefault="000A243F" w:rsidP="000010D1">
      <w:proofErr w:type="spellStart"/>
      <w:r w:rsidRPr="005610B3">
        <w:t>RevCom</w:t>
      </w:r>
      <w:proofErr w:type="spellEnd"/>
      <w:r w:rsidRPr="005610B3">
        <w:t xml:space="preserve"> ends its activity by WTSA-16. </w:t>
      </w:r>
    </w:p>
    <w:p w14:paraId="19049931" w14:textId="77777777" w:rsidR="00401B5D" w:rsidRPr="005610B3" w:rsidRDefault="00401B5D" w:rsidP="00401B5D">
      <w:pPr>
        <w:pStyle w:val="Reasons"/>
      </w:pPr>
    </w:p>
    <w:p w14:paraId="18777BDE" w14:textId="77777777" w:rsidR="00994E17" w:rsidRPr="005610B3" w:rsidRDefault="000A243F" w:rsidP="000010D1">
      <w:pPr>
        <w:pStyle w:val="Proposal"/>
      </w:pPr>
      <w:r w:rsidRPr="005610B3">
        <w:t>SUP</w:t>
      </w:r>
      <w:r w:rsidRPr="005610B3">
        <w:tab/>
        <w:t>AFCP/42A32/5</w:t>
      </w:r>
    </w:p>
    <w:p w14:paraId="3AD7B1EA" w14:textId="77777777" w:rsidR="00324ABE" w:rsidRPr="005610B3" w:rsidRDefault="000A243F" w:rsidP="000010D1">
      <w:pPr>
        <w:pStyle w:val="ResNo"/>
      </w:pPr>
      <w:r w:rsidRPr="005610B3">
        <w:t>RESOLUTION 82 (DUBAI, 2012)</w:t>
      </w:r>
    </w:p>
    <w:p w14:paraId="7FD135AC" w14:textId="77777777" w:rsidR="00324ABE" w:rsidRPr="005610B3" w:rsidRDefault="000A243F" w:rsidP="000010D1">
      <w:pPr>
        <w:pStyle w:val="Restitle"/>
      </w:pPr>
      <w:r w:rsidRPr="005610B3">
        <w:rPr>
          <w:lang w:eastAsia="ja-JP"/>
        </w:rPr>
        <w:t xml:space="preserve">Strategic and structural </w:t>
      </w:r>
      <w:r w:rsidRPr="005610B3">
        <w:t>review</w:t>
      </w:r>
      <w:r w:rsidRPr="005610B3">
        <w:rPr>
          <w:lang w:eastAsia="ja-JP"/>
        </w:rPr>
        <w:t xml:space="preserve"> of </w:t>
      </w:r>
      <w:r w:rsidRPr="005610B3">
        <w:t>the ITU Telecommunication Standardization Sector</w:t>
      </w:r>
    </w:p>
    <w:p w14:paraId="1804F542" w14:textId="77777777" w:rsidR="00324ABE" w:rsidRPr="005610B3" w:rsidRDefault="000A243F" w:rsidP="000010D1">
      <w:pPr>
        <w:pStyle w:val="Resref"/>
      </w:pPr>
      <w:r w:rsidRPr="005610B3">
        <w:t>(Dubai, 2012)</w:t>
      </w:r>
    </w:p>
    <w:p w14:paraId="11419C80" w14:textId="77777777" w:rsidR="00324ABE" w:rsidRPr="005610B3" w:rsidRDefault="000A243F" w:rsidP="000010D1">
      <w:pPr>
        <w:pStyle w:val="Normalaftertitle0"/>
      </w:pPr>
      <w:r w:rsidRPr="005610B3">
        <w:t>The World Telecommunication Standardization Assembly (Dubai, 2012),</w:t>
      </w:r>
    </w:p>
    <w:p w14:paraId="331D2394" w14:textId="77777777" w:rsidR="000010D1" w:rsidRPr="005610B3" w:rsidRDefault="000010D1" w:rsidP="0032202E">
      <w:pPr>
        <w:pStyle w:val="Reasons"/>
      </w:pPr>
    </w:p>
    <w:p w14:paraId="7FEAB024" w14:textId="77777777" w:rsidR="000010D1" w:rsidRPr="005610B3" w:rsidRDefault="000010D1">
      <w:pPr>
        <w:jc w:val="center"/>
      </w:pPr>
      <w:r w:rsidRPr="005610B3">
        <w:t>______________</w:t>
      </w:r>
    </w:p>
    <w:sectPr w:rsidR="000010D1" w:rsidRPr="005610B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9C5B0" w14:textId="77777777" w:rsidR="00F935F2" w:rsidRDefault="00F935F2">
      <w:r>
        <w:separator/>
      </w:r>
    </w:p>
  </w:endnote>
  <w:endnote w:type="continuationSeparator" w:id="0">
    <w:p w14:paraId="3B3FD9AF" w14:textId="77777777" w:rsidR="00F935F2" w:rsidRDefault="00F9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BDFC0" w14:textId="77777777" w:rsidR="00E45D05" w:rsidRDefault="00E45D05">
    <w:pPr>
      <w:framePr w:wrap="around" w:vAnchor="text" w:hAnchor="margin" w:xAlign="right" w:y="1"/>
    </w:pPr>
    <w:r>
      <w:fldChar w:fldCharType="begin"/>
    </w:r>
    <w:r>
      <w:instrText xml:space="preserve">PAGE  </w:instrText>
    </w:r>
    <w:r>
      <w:fldChar w:fldCharType="end"/>
    </w:r>
  </w:p>
  <w:p w14:paraId="5C1398D9" w14:textId="77777777" w:rsidR="00E45D05" w:rsidRPr="002B7CD2" w:rsidRDefault="00E45D05">
    <w:pPr>
      <w:ind w:right="360"/>
      <w:rPr>
        <w:lang w:val="fr-CH"/>
      </w:rPr>
    </w:pPr>
    <w:r>
      <w:fldChar w:fldCharType="begin"/>
    </w:r>
    <w:r w:rsidRPr="002B7CD2">
      <w:rPr>
        <w:lang w:val="fr-CH"/>
      </w:rPr>
      <w:instrText xml:space="preserve"> FILENAME \p  \* MERGEFORMAT </w:instrText>
    </w:r>
    <w:r>
      <w:fldChar w:fldCharType="separate"/>
    </w:r>
    <w:r w:rsidR="002B7CD2" w:rsidRPr="002B7CD2">
      <w:rPr>
        <w:noProof/>
        <w:lang w:val="fr-CH"/>
      </w:rPr>
      <w:t>P:\ENG\ITU-T\CONF-T\WTSA16\000\042ADD32E.docx</w:t>
    </w:r>
    <w:r>
      <w:fldChar w:fldCharType="end"/>
    </w:r>
    <w:r w:rsidRPr="002B7CD2">
      <w:rPr>
        <w:lang w:val="fr-CH"/>
      </w:rPr>
      <w:tab/>
    </w:r>
    <w:r>
      <w:fldChar w:fldCharType="begin"/>
    </w:r>
    <w:r>
      <w:instrText xml:space="preserve"> SAVEDATE \@ DD.MM.YY </w:instrText>
    </w:r>
    <w:r>
      <w:fldChar w:fldCharType="separate"/>
    </w:r>
    <w:r w:rsidR="004244F7">
      <w:rPr>
        <w:noProof/>
      </w:rPr>
      <w:t>13.10.16</w:t>
    </w:r>
    <w:r>
      <w:fldChar w:fldCharType="end"/>
    </w:r>
    <w:r w:rsidRPr="002B7CD2">
      <w:rPr>
        <w:lang w:val="fr-CH"/>
      </w:rPr>
      <w:tab/>
    </w:r>
    <w:r>
      <w:fldChar w:fldCharType="begin"/>
    </w:r>
    <w:r>
      <w:instrText xml:space="preserve"> PRINTDATE \@ DD.MM.YY </w:instrText>
    </w:r>
    <w:r>
      <w:fldChar w:fldCharType="separate"/>
    </w:r>
    <w:r w:rsidR="002B7CD2">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EAA5" w14:textId="698DEEB3" w:rsidR="00C72D5C" w:rsidRPr="00460202" w:rsidRDefault="00C72D5C" w:rsidP="00E94DBA">
    <w:pPr>
      <w:pStyle w:val="Footer"/>
      <w:rPr>
        <w:lang w:val="fr-CH"/>
      </w:rPr>
    </w:pPr>
    <w:r>
      <w:fldChar w:fldCharType="begin"/>
    </w:r>
    <w:r w:rsidRPr="00460202">
      <w:rPr>
        <w:lang w:val="fr-CH"/>
      </w:rPr>
      <w:instrText xml:space="preserve"> FILENAME \p  \* MERGEFORMAT </w:instrText>
    </w:r>
    <w:r>
      <w:fldChar w:fldCharType="separate"/>
    </w:r>
    <w:r w:rsidR="002B7CD2">
      <w:rPr>
        <w:lang w:val="fr-CH"/>
      </w:rPr>
      <w:t>P:\ENG\ITU-T\CONF-T\WTSA16\000\042ADD32E.docx</w:t>
    </w:r>
    <w:r>
      <w:fldChar w:fldCharType="end"/>
    </w:r>
    <w:r w:rsidR="00460202" w:rsidRPr="00460202">
      <w:rPr>
        <w:lang w:val="fr-CH"/>
      </w:rPr>
      <w:t xml:space="preserve"> (406704)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C4EE1" w14:textId="2B91F387" w:rsidR="00864CD2" w:rsidRPr="00460202" w:rsidRDefault="00C72D5C" w:rsidP="00460202">
    <w:pPr>
      <w:pStyle w:val="Footer"/>
      <w:rPr>
        <w:lang w:val="fr-CH"/>
      </w:rPr>
    </w:pPr>
    <w:r>
      <w:fldChar w:fldCharType="begin"/>
    </w:r>
    <w:r w:rsidRPr="00460202">
      <w:rPr>
        <w:lang w:val="fr-CH"/>
      </w:rPr>
      <w:instrText xml:space="preserve"> FILENAME \p  \* MERGEFORMAT </w:instrText>
    </w:r>
    <w:r>
      <w:fldChar w:fldCharType="separate"/>
    </w:r>
    <w:r w:rsidR="002B7CD2">
      <w:rPr>
        <w:lang w:val="fr-CH"/>
      </w:rPr>
      <w:t>P:\ENG\ITU-T\CONF-T\WTSA16\000\042ADD32E.docx</w:t>
    </w:r>
    <w:r>
      <w:fldChar w:fldCharType="end"/>
    </w:r>
    <w:r w:rsidR="00460202" w:rsidRPr="00460202">
      <w:rPr>
        <w:lang w:val="fr-CH"/>
      </w:rPr>
      <w:t xml:space="preserve"> (406704)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1DA7B" w14:textId="77777777" w:rsidR="00F935F2" w:rsidRDefault="00F935F2">
      <w:r>
        <w:rPr>
          <w:b/>
        </w:rPr>
        <w:t>_______________</w:t>
      </w:r>
    </w:p>
  </w:footnote>
  <w:footnote w:type="continuationSeparator" w:id="0">
    <w:p w14:paraId="7961D4DB" w14:textId="77777777" w:rsidR="00F935F2" w:rsidRDefault="00F93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03587" w14:textId="77777777" w:rsidR="00C72D5C" w:rsidRDefault="00C72D5C" w:rsidP="00C72D5C">
    <w:pPr>
      <w:pStyle w:val="Header"/>
    </w:pPr>
    <w:r>
      <w:fldChar w:fldCharType="begin"/>
    </w:r>
    <w:r>
      <w:instrText xml:space="preserve"> PAGE  \* MERGEFORMAT </w:instrText>
    </w:r>
    <w:r>
      <w:fldChar w:fldCharType="separate"/>
    </w:r>
    <w:r w:rsidR="000853EA">
      <w:rPr>
        <w:noProof/>
      </w:rPr>
      <w:t>4</w:t>
    </w:r>
    <w:r>
      <w:fldChar w:fldCharType="end"/>
    </w:r>
  </w:p>
  <w:p w14:paraId="00A2634C" w14:textId="77777777" w:rsidR="00A066F1" w:rsidRPr="00C72D5C" w:rsidRDefault="00C72D5C" w:rsidP="008E67E5">
    <w:pPr>
      <w:pStyle w:val="Header"/>
    </w:pPr>
    <w:r>
      <w:t>WTSA16/</w:t>
    </w:r>
    <w:r w:rsidR="008E67E5">
      <w:t>42(Add.32)-E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D61D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B43C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E092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508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426C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366F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7449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9A3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0EC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DE5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4193164"/>
    <w:multiLevelType w:val="hybridMultilevel"/>
    <w:tmpl w:val="E8C46C0E"/>
    <w:lvl w:ilvl="0" w:tplc="15CEE114">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7A5F7B"/>
    <w:multiLevelType w:val="hybridMultilevel"/>
    <w:tmpl w:val="9CB8A7E8"/>
    <w:lvl w:ilvl="0" w:tplc="21AC050E">
      <w:start w:val="1"/>
      <w:numFmt w:val="bullet"/>
      <w:lvlText w:val=""/>
      <w:lvlJc w:val="left"/>
      <w:pPr>
        <w:tabs>
          <w:tab w:val="num" w:pos="720"/>
        </w:tabs>
        <w:ind w:left="720" w:hanging="360"/>
      </w:pPr>
      <w:rPr>
        <w:rFonts w:ascii="Wingdings 3" w:hAnsi="Wingdings 3" w:hint="default"/>
      </w:rPr>
    </w:lvl>
    <w:lvl w:ilvl="1" w:tplc="296C688E">
      <w:numFmt w:val="bullet"/>
      <w:lvlText w:val="◦"/>
      <w:lvlJc w:val="left"/>
      <w:pPr>
        <w:tabs>
          <w:tab w:val="num" w:pos="1440"/>
        </w:tabs>
        <w:ind w:left="1440" w:hanging="360"/>
      </w:pPr>
      <w:rPr>
        <w:rFonts w:ascii="Verdana" w:hAnsi="Verdana" w:hint="default"/>
      </w:rPr>
    </w:lvl>
    <w:lvl w:ilvl="2" w:tplc="A0543A64">
      <w:numFmt w:val="bullet"/>
      <w:lvlText w:val=""/>
      <w:lvlJc w:val="left"/>
      <w:pPr>
        <w:tabs>
          <w:tab w:val="num" w:pos="2160"/>
        </w:tabs>
        <w:ind w:left="2160" w:hanging="360"/>
      </w:pPr>
      <w:rPr>
        <w:rFonts w:ascii="Wingdings 2" w:hAnsi="Wingdings 2" w:hint="default"/>
      </w:rPr>
    </w:lvl>
    <w:lvl w:ilvl="3" w:tplc="73A85B64" w:tentative="1">
      <w:start w:val="1"/>
      <w:numFmt w:val="bullet"/>
      <w:lvlText w:val=""/>
      <w:lvlJc w:val="left"/>
      <w:pPr>
        <w:tabs>
          <w:tab w:val="num" w:pos="2880"/>
        </w:tabs>
        <w:ind w:left="2880" w:hanging="360"/>
      </w:pPr>
      <w:rPr>
        <w:rFonts w:ascii="Wingdings 3" w:hAnsi="Wingdings 3" w:hint="default"/>
      </w:rPr>
    </w:lvl>
    <w:lvl w:ilvl="4" w:tplc="5D48FFC8" w:tentative="1">
      <w:start w:val="1"/>
      <w:numFmt w:val="bullet"/>
      <w:lvlText w:val=""/>
      <w:lvlJc w:val="left"/>
      <w:pPr>
        <w:tabs>
          <w:tab w:val="num" w:pos="3600"/>
        </w:tabs>
        <w:ind w:left="3600" w:hanging="360"/>
      </w:pPr>
      <w:rPr>
        <w:rFonts w:ascii="Wingdings 3" w:hAnsi="Wingdings 3" w:hint="default"/>
      </w:rPr>
    </w:lvl>
    <w:lvl w:ilvl="5" w:tplc="41FCF5EA" w:tentative="1">
      <w:start w:val="1"/>
      <w:numFmt w:val="bullet"/>
      <w:lvlText w:val=""/>
      <w:lvlJc w:val="left"/>
      <w:pPr>
        <w:tabs>
          <w:tab w:val="num" w:pos="4320"/>
        </w:tabs>
        <w:ind w:left="4320" w:hanging="360"/>
      </w:pPr>
      <w:rPr>
        <w:rFonts w:ascii="Wingdings 3" w:hAnsi="Wingdings 3" w:hint="default"/>
      </w:rPr>
    </w:lvl>
    <w:lvl w:ilvl="6" w:tplc="BECE99F6" w:tentative="1">
      <w:start w:val="1"/>
      <w:numFmt w:val="bullet"/>
      <w:lvlText w:val=""/>
      <w:lvlJc w:val="left"/>
      <w:pPr>
        <w:tabs>
          <w:tab w:val="num" w:pos="5040"/>
        </w:tabs>
        <w:ind w:left="5040" w:hanging="360"/>
      </w:pPr>
      <w:rPr>
        <w:rFonts w:ascii="Wingdings 3" w:hAnsi="Wingdings 3" w:hint="default"/>
      </w:rPr>
    </w:lvl>
    <w:lvl w:ilvl="7" w:tplc="E8743D7E" w:tentative="1">
      <w:start w:val="1"/>
      <w:numFmt w:val="bullet"/>
      <w:lvlText w:val=""/>
      <w:lvlJc w:val="left"/>
      <w:pPr>
        <w:tabs>
          <w:tab w:val="num" w:pos="5760"/>
        </w:tabs>
        <w:ind w:left="5760" w:hanging="360"/>
      </w:pPr>
      <w:rPr>
        <w:rFonts w:ascii="Wingdings 3" w:hAnsi="Wingdings 3" w:hint="default"/>
      </w:rPr>
    </w:lvl>
    <w:lvl w:ilvl="8" w:tplc="9FE2106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B096A5B"/>
    <w:multiLevelType w:val="hybridMultilevel"/>
    <w:tmpl w:val="C1AA22D2"/>
    <w:lvl w:ilvl="0" w:tplc="04090001">
      <w:start w:val="1"/>
      <w:numFmt w:val="bullet"/>
      <w:lvlText w:val=""/>
      <w:lvlJc w:val="left"/>
      <w:pPr>
        <w:ind w:left="720" w:hanging="360"/>
      </w:pPr>
      <w:rPr>
        <w:rFonts w:ascii="Symbol" w:hAnsi="Symbol" w:hint="default"/>
      </w:rPr>
    </w:lvl>
    <w:lvl w:ilvl="1" w:tplc="4ADC3F4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96581"/>
    <w:multiLevelType w:val="hybridMultilevel"/>
    <w:tmpl w:val="93C2DCEE"/>
    <w:lvl w:ilvl="0" w:tplc="15CEE114">
      <w:start w:val="1"/>
      <w:numFmt w:val="bullet"/>
      <w:lvlText w:val=""/>
      <w:lvlJc w:val="left"/>
      <w:pPr>
        <w:tabs>
          <w:tab w:val="num" w:pos="720"/>
        </w:tabs>
        <w:ind w:left="720" w:hanging="360"/>
      </w:pPr>
      <w:rPr>
        <w:rFonts w:ascii="Wingdings 3" w:hAnsi="Wingdings 3" w:hint="default"/>
      </w:rPr>
    </w:lvl>
    <w:lvl w:ilvl="1" w:tplc="43D46BC0">
      <w:numFmt w:val="bullet"/>
      <w:lvlText w:val="◦"/>
      <w:lvlJc w:val="left"/>
      <w:pPr>
        <w:tabs>
          <w:tab w:val="num" w:pos="1440"/>
        </w:tabs>
        <w:ind w:left="1440" w:hanging="360"/>
      </w:pPr>
      <w:rPr>
        <w:rFonts w:ascii="Verdana" w:hAnsi="Verdana" w:hint="default"/>
      </w:rPr>
    </w:lvl>
    <w:lvl w:ilvl="2" w:tplc="37923B4A" w:tentative="1">
      <w:start w:val="1"/>
      <w:numFmt w:val="bullet"/>
      <w:lvlText w:val=""/>
      <w:lvlJc w:val="left"/>
      <w:pPr>
        <w:tabs>
          <w:tab w:val="num" w:pos="2160"/>
        </w:tabs>
        <w:ind w:left="2160" w:hanging="360"/>
      </w:pPr>
      <w:rPr>
        <w:rFonts w:ascii="Wingdings 3" w:hAnsi="Wingdings 3" w:hint="default"/>
      </w:rPr>
    </w:lvl>
    <w:lvl w:ilvl="3" w:tplc="1806F8B8" w:tentative="1">
      <w:start w:val="1"/>
      <w:numFmt w:val="bullet"/>
      <w:lvlText w:val=""/>
      <w:lvlJc w:val="left"/>
      <w:pPr>
        <w:tabs>
          <w:tab w:val="num" w:pos="2880"/>
        </w:tabs>
        <w:ind w:left="2880" w:hanging="360"/>
      </w:pPr>
      <w:rPr>
        <w:rFonts w:ascii="Wingdings 3" w:hAnsi="Wingdings 3" w:hint="default"/>
      </w:rPr>
    </w:lvl>
    <w:lvl w:ilvl="4" w:tplc="3E549D06" w:tentative="1">
      <w:start w:val="1"/>
      <w:numFmt w:val="bullet"/>
      <w:lvlText w:val=""/>
      <w:lvlJc w:val="left"/>
      <w:pPr>
        <w:tabs>
          <w:tab w:val="num" w:pos="3600"/>
        </w:tabs>
        <w:ind w:left="3600" w:hanging="360"/>
      </w:pPr>
      <w:rPr>
        <w:rFonts w:ascii="Wingdings 3" w:hAnsi="Wingdings 3" w:hint="default"/>
      </w:rPr>
    </w:lvl>
    <w:lvl w:ilvl="5" w:tplc="849A9198" w:tentative="1">
      <w:start w:val="1"/>
      <w:numFmt w:val="bullet"/>
      <w:lvlText w:val=""/>
      <w:lvlJc w:val="left"/>
      <w:pPr>
        <w:tabs>
          <w:tab w:val="num" w:pos="4320"/>
        </w:tabs>
        <w:ind w:left="4320" w:hanging="360"/>
      </w:pPr>
      <w:rPr>
        <w:rFonts w:ascii="Wingdings 3" w:hAnsi="Wingdings 3" w:hint="default"/>
      </w:rPr>
    </w:lvl>
    <w:lvl w:ilvl="6" w:tplc="1C962930" w:tentative="1">
      <w:start w:val="1"/>
      <w:numFmt w:val="bullet"/>
      <w:lvlText w:val=""/>
      <w:lvlJc w:val="left"/>
      <w:pPr>
        <w:tabs>
          <w:tab w:val="num" w:pos="5040"/>
        </w:tabs>
        <w:ind w:left="5040" w:hanging="360"/>
      </w:pPr>
      <w:rPr>
        <w:rFonts w:ascii="Wingdings 3" w:hAnsi="Wingdings 3" w:hint="default"/>
      </w:rPr>
    </w:lvl>
    <w:lvl w:ilvl="7" w:tplc="8E4EC740" w:tentative="1">
      <w:start w:val="1"/>
      <w:numFmt w:val="bullet"/>
      <w:lvlText w:val=""/>
      <w:lvlJc w:val="left"/>
      <w:pPr>
        <w:tabs>
          <w:tab w:val="num" w:pos="5760"/>
        </w:tabs>
        <w:ind w:left="5760" w:hanging="360"/>
      </w:pPr>
      <w:rPr>
        <w:rFonts w:ascii="Wingdings 3" w:hAnsi="Wingdings 3" w:hint="default"/>
      </w:rPr>
    </w:lvl>
    <w:lvl w:ilvl="8" w:tplc="951CD03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19E5336"/>
    <w:multiLevelType w:val="hybridMultilevel"/>
    <w:tmpl w:val="153AC52A"/>
    <w:lvl w:ilvl="0" w:tplc="040C0001">
      <w:start w:val="1"/>
      <w:numFmt w:val="bullet"/>
      <w:lvlText w:val=""/>
      <w:lvlJc w:val="left"/>
      <w:pPr>
        <w:ind w:left="720" w:hanging="360"/>
      </w:pPr>
      <w:rPr>
        <w:rFonts w:ascii="Symbol" w:hAnsi="Symbol" w:hint="default"/>
      </w:rPr>
    </w:lvl>
    <w:lvl w:ilvl="1" w:tplc="9846275A">
      <w:numFmt w:val="bullet"/>
      <w:lvlText w:val="•"/>
      <w:lvlJc w:val="left"/>
      <w:pPr>
        <w:ind w:left="1440" w:hanging="360"/>
      </w:pPr>
      <w:rPr>
        <w:rFonts w:ascii="Arial" w:eastAsia="Calibri" w:hAnsi="Arial" w:cs="Arial" w:hint="default"/>
        <w:color w:val="222222"/>
        <w:sz w:val="22"/>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E66C5B"/>
    <w:multiLevelType w:val="hybridMultilevel"/>
    <w:tmpl w:val="79169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A82E7F"/>
    <w:multiLevelType w:val="hybridMultilevel"/>
    <w:tmpl w:val="12B8A44E"/>
    <w:lvl w:ilvl="0" w:tplc="B872895E">
      <w:start w:val="1"/>
      <w:numFmt w:val="bullet"/>
      <w:lvlText w:val=""/>
      <w:lvlJc w:val="left"/>
      <w:pPr>
        <w:tabs>
          <w:tab w:val="num" w:pos="1080"/>
        </w:tabs>
        <w:ind w:left="1080" w:hanging="360"/>
      </w:pPr>
      <w:rPr>
        <w:rFonts w:ascii="Wingdings 3" w:hAnsi="Wingdings 3" w:hint="default"/>
      </w:rPr>
    </w:lvl>
    <w:lvl w:ilvl="1" w:tplc="52364F60" w:tentative="1">
      <w:start w:val="1"/>
      <w:numFmt w:val="bullet"/>
      <w:lvlText w:val=""/>
      <w:lvlJc w:val="left"/>
      <w:pPr>
        <w:tabs>
          <w:tab w:val="num" w:pos="1800"/>
        </w:tabs>
        <w:ind w:left="1800" w:hanging="360"/>
      </w:pPr>
      <w:rPr>
        <w:rFonts w:ascii="Wingdings 3" w:hAnsi="Wingdings 3" w:hint="default"/>
      </w:rPr>
    </w:lvl>
    <w:lvl w:ilvl="2" w:tplc="A8C8695A" w:tentative="1">
      <w:start w:val="1"/>
      <w:numFmt w:val="bullet"/>
      <w:lvlText w:val=""/>
      <w:lvlJc w:val="left"/>
      <w:pPr>
        <w:tabs>
          <w:tab w:val="num" w:pos="2520"/>
        </w:tabs>
        <w:ind w:left="2520" w:hanging="360"/>
      </w:pPr>
      <w:rPr>
        <w:rFonts w:ascii="Wingdings 3" w:hAnsi="Wingdings 3" w:hint="default"/>
      </w:rPr>
    </w:lvl>
    <w:lvl w:ilvl="3" w:tplc="07D861A4" w:tentative="1">
      <w:start w:val="1"/>
      <w:numFmt w:val="bullet"/>
      <w:lvlText w:val=""/>
      <w:lvlJc w:val="left"/>
      <w:pPr>
        <w:tabs>
          <w:tab w:val="num" w:pos="3240"/>
        </w:tabs>
        <w:ind w:left="3240" w:hanging="360"/>
      </w:pPr>
      <w:rPr>
        <w:rFonts w:ascii="Wingdings 3" w:hAnsi="Wingdings 3" w:hint="default"/>
      </w:rPr>
    </w:lvl>
    <w:lvl w:ilvl="4" w:tplc="66FA20E4" w:tentative="1">
      <w:start w:val="1"/>
      <w:numFmt w:val="bullet"/>
      <w:lvlText w:val=""/>
      <w:lvlJc w:val="left"/>
      <w:pPr>
        <w:tabs>
          <w:tab w:val="num" w:pos="3960"/>
        </w:tabs>
        <w:ind w:left="3960" w:hanging="360"/>
      </w:pPr>
      <w:rPr>
        <w:rFonts w:ascii="Wingdings 3" w:hAnsi="Wingdings 3" w:hint="default"/>
      </w:rPr>
    </w:lvl>
    <w:lvl w:ilvl="5" w:tplc="23829026" w:tentative="1">
      <w:start w:val="1"/>
      <w:numFmt w:val="bullet"/>
      <w:lvlText w:val=""/>
      <w:lvlJc w:val="left"/>
      <w:pPr>
        <w:tabs>
          <w:tab w:val="num" w:pos="4680"/>
        </w:tabs>
        <w:ind w:left="4680" w:hanging="360"/>
      </w:pPr>
      <w:rPr>
        <w:rFonts w:ascii="Wingdings 3" w:hAnsi="Wingdings 3" w:hint="default"/>
      </w:rPr>
    </w:lvl>
    <w:lvl w:ilvl="6" w:tplc="81B0A732" w:tentative="1">
      <w:start w:val="1"/>
      <w:numFmt w:val="bullet"/>
      <w:lvlText w:val=""/>
      <w:lvlJc w:val="left"/>
      <w:pPr>
        <w:tabs>
          <w:tab w:val="num" w:pos="5400"/>
        </w:tabs>
        <w:ind w:left="5400" w:hanging="360"/>
      </w:pPr>
      <w:rPr>
        <w:rFonts w:ascii="Wingdings 3" w:hAnsi="Wingdings 3" w:hint="default"/>
      </w:rPr>
    </w:lvl>
    <w:lvl w:ilvl="7" w:tplc="C9E033A6" w:tentative="1">
      <w:start w:val="1"/>
      <w:numFmt w:val="bullet"/>
      <w:lvlText w:val=""/>
      <w:lvlJc w:val="left"/>
      <w:pPr>
        <w:tabs>
          <w:tab w:val="num" w:pos="6120"/>
        </w:tabs>
        <w:ind w:left="6120" w:hanging="360"/>
      </w:pPr>
      <w:rPr>
        <w:rFonts w:ascii="Wingdings 3" w:hAnsi="Wingdings 3" w:hint="default"/>
      </w:rPr>
    </w:lvl>
    <w:lvl w:ilvl="8" w:tplc="B9020DF6" w:tentative="1">
      <w:start w:val="1"/>
      <w:numFmt w:val="bullet"/>
      <w:lvlText w:val=""/>
      <w:lvlJc w:val="left"/>
      <w:pPr>
        <w:tabs>
          <w:tab w:val="num" w:pos="6840"/>
        </w:tabs>
        <w:ind w:left="6840" w:hanging="360"/>
      </w:pPr>
      <w:rPr>
        <w:rFonts w:ascii="Wingdings 3" w:hAnsi="Wingdings 3" w:hint="default"/>
      </w:rPr>
    </w:lvl>
  </w:abstractNum>
  <w:abstractNum w:abstractNumId="18" w15:restartNumberingAfterBreak="0">
    <w:nsid w:val="7F0D614B"/>
    <w:multiLevelType w:val="hybridMultilevel"/>
    <w:tmpl w:val="BEE0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2"/>
  </w:num>
  <w:num w:numId="15">
    <w:abstractNumId w:val="18"/>
  </w:num>
  <w:num w:numId="16">
    <w:abstractNumId w:val="13"/>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0D1"/>
    <w:rsid w:val="000041EA"/>
    <w:rsid w:val="00022A29"/>
    <w:rsid w:val="000355FD"/>
    <w:rsid w:val="00051E39"/>
    <w:rsid w:val="00061806"/>
    <w:rsid w:val="00063D0B"/>
    <w:rsid w:val="00077239"/>
    <w:rsid w:val="000807E9"/>
    <w:rsid w:val="000853EA"/>
    <w:rsid w:val="00086491"/>
    <w:rsid w:val="00091346"/>
    <w:rsid w:val="0009706C"/>
    <w:rsid w:val="000A243F"/>
    <w:rsid w:val="000F73FF"/>
    <w:rsid w:val="00114CF7"/>
    <w:rsid w:val="00123B68"/>
    <w:rsid w:val="00126F2E"/>
    <w:rsid w:val="001301F4"/>
    <w:rsid w:val="00130789"/>
    <w:rsid w:val="00137CF6"/>
    <w:rsid w:val="00146F6F"/>
    <w:rsid w:val="00161472"/>
    <w:rsid w:val="0017074E"/>
    <w:rsid w:val="0018176D"/>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B7CD2"/>
    <w:rsid w:val="002C2A87"/>
    <w:rsid w:val="002D4A6B"/>
    <w:rsid w:val="002D58BE"/>
    <w:rsid w:val="00316B80"/>
    <w:rsid w:val="003251EA"/>
    <w:rsid w:val="00337375"/>
    <w:rsid w:val="0034635C"/>
    <w:rsid w:val="00377BD3"/>
    <w:rsid w:val="00384088"/>
    <w:rsid w:val="0039169B"/>
    <w:rsid w:val="00394470"/>
    <w:rsid w:val="003A0BF0"/>
    <w:rsid w:val="003A7F8C"/>
    <w:rsid w:val="003B2E20"/>
    <w:rsid w:val="003B532E"/>
    <w:rsid w:val="003D0F8B"/>
    <w:rsid w:val="00401B5D"/>
    <w:rsid w:val="0041348E"/>
    <w:rsid w:val="00420EDB"/>
    <w:rsid w:val="004244F7"/>
    <w:rsid w:val="004373CA"/>
    <w:rsid w:val="004420C9"/>
    <w:rsid w:val="004572E2"/>
    <w:rsid w:val="00460202"/>
    <w:rsid w:val="00465799"/>
    <w:rsid w:val="00471EF9"/>
    <w:rsid w:val="00485155"/>
    <w:rsid w:val="00492075"/>
    <w:rsid w:val="004969AD"/>
    <w:rsid w:val="004A26C4"/>
    <w:rsid w:val="004B13CB"/>
    <w:rsid w:val="004B4AAE"/>
    <w:rsid w:val="004C6FBE"/>
    <w:rsid w:val="004D5D5C"/>
    <w:rsid w:val="004D6DFC"/>
    <w:rsid w:val="0050139F"/>
    <w:rsid w:val="0055140B"/>
    <w:rsid w:val="00553247"/>
    <w:rsid w:val="005610B3"/>
    <w:rsid w:val="0056747D"/>
    <w:rsid w:val="00581B01"/>
    <w:rsid w:val="005920D1"/>
    <w:rsid w:val="00595780"/>
    <w:rsid w:val="005964AB"/>
    <w:rsid w:val="005A3350"/>
    <w:rsid w:val="005B114A"/>
    <w:rsid w:val="005C099A"/>
    <w:rsid w:val="005C31A5"/>
    <w:rsid w:val="005E10C9"/>
    <w:rsid w:val="005E61DD"/>
    <w:rsid w:val="006023DF"/>
    <w:rsid w:val="00602F64"/>
    <w:rsid w:val="00614304"/>
    <w:rsid w:val="00623F15"/>
    <w:rsid w:val="00630A91"/>
    <w:rsid w:val="00643684"/>
    <w:rsid w:val="00657DE0"/>
    <w:rsid w:val="0067500B"/>
    <w:rsid w:val="006763BF"/>
    <w:rsid w:val="00685313"/>
    <w:rsid w:val="00692833"/>
    <w:rsid w:val="00694925"/>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B68F9"/>
    <w:rsid w:val="007C1378"/>
    <w:rsid w:val="007D3E2B"/>
    <w:rsid w:val="007D5320"/>
    <w:rsid w:val="007E51BA"/>
    <w:rsid w:val="007E66EA"/>
    <w:rsid w:val="007F3C67"/>
    <w:rsid w:val="00800972"/>
    <w:rsid w:val="00804475"/>
    <w:rsid w:val="00811633"/>
    <w:rsid w:val="00841801"/>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94E17"/>
    <w:rsid w:val="009B59BB"/>
    <w:rsid w:val="009C56E5"/>
    <w:rsid w:val="009E1967"/>
    <w:rsid w:val="009E5FC8"/>
    <w:rsid w:val="009E687A"/>
    <w:rsid w:val="009F1890"/>
    <w:rsid w:val="009F4D71"/>
    <w:rsid w:val="00A066F1"/>
    <w:rsid w:val="00A141AF"/>
    <w:rsid w:val="00A16D29"/>
    <w:rsid w:val="00A30305"/>
    <w:rsid w:val="00A31D2D"/>
    <w:rsid w:val="00A347BE"/>
    <w:rsid w:val="00A36DF9"/>
    <w:rsid w:val="00A41CB8"/>
    <w:rsid w:val="00A4600A"/>
    <w:rsid w:val="00A538A6"/>
    <w:rsid w:val="00A54C25"/>
    <w:rsid w:val="00A710E7"/>
    <w:rsid w:val="00A7372E"/>
    <w:rsid w:val="00A93B85"/>
    <w:rsid w:val="00AA0B18"/>
    <w:rsid w:val="00AA666F"/>
    <w:rsid w:val="00AB416A"/>
    <w:rsid w:val="00AB7C5F"/>
    <w:rsid w:val="00AF20B2"/>
    <w:rsid w:val="00B529AD"/>
    <w:rsid w:val="00B6324B"/>
    <w:rsid w:val="00B639E9"/>
    <w:rsid w:val="00B817CD"/>
    <w:rsid w:val="00B94AD0"/>
    <w:rsid w:val="00BA5265"/>
    <w:rsid w:val="00BB3A95"/>
    <w:rsid w:val="00BB6222"/>
    <w:rsid w:val="00BC2FB6"/>
    <w:rsid w:val="00BC7D84"/>
    <w:rsid w:val="00BE281F"/>
    <w:rsid w:val="00BF475D"/>
    <w:rsid w:val="00C0018F"/>
    <w:rsid w:val="00C0539A"/>
    <w:rsid w:val="00C16A5A"/>
    <w:rsid w:val="00C20466"/>
    <w:rsid w:val="00C214ED"/>
    <w:rsid w:val="00C234E6"/>
    <w:rsid w:val="00C324A8"/>
    <w:rsid w:val="00C479FD"/>
    <w:rsid w:val="00C54517"/>
    <w:rsid w:val="00C57755"/>
    <w:rsid w:val="00C64CD8"/>
    <w:rsid w:val="00C72D5C"/>
    <w:rsid w:val="00C77E1A"/>
    <w:rsid w:val="00C93267"/>
    <w:rsid w:val="00C97C68"/>
    <w:rsid w:val="00CA1A47"/>
    <w:rsid w:val="00CA21B7"/>
    <w:rsid w:val="00CC247A"/>
    <w:rsid w:val="00CD6AD6"/>
    <w:rsid w:val="00CD7CC4"/>
    <w:rsid w:val="00CE388F"/>
    <w:rsid w:val="00CE5E47"/>
    <w:rsid w:val="00CF020F"/>
    <w:rsid w:val="00CF1E9D"/>
    <w:rsid w:val="00CF2B5B"/>
    <w:rsid w:val="00D02917"/>
    <w:rsid w:val="00D03646"/>
    <w:rsid w:val="00D055D3"/>
    <w:rsid w:val="00D14CE0"/>
    <w:rsid w:val="00D278AC"/>
    <w:rsid w:val="00D41719"/>
    <w:rsid w:val="00D54009"/>
    <w:rsid w:val="00D5651D"/>
    <w:rsid w:val="00D57A34"/>
    <w:rsid w:val="00D643B3"/>
    <w:rsid w:val="00D74898"/>
    <w:rsid w:val="00D801ED"/>
    <w:rsid w:val="00D936BC"/>
    <w:rsid w:val="00D96530"/>
    <w:rsid w:val="00DA539F"/>
    <w:rsid w:val="00DB4186"/>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935F2"/>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F133CA"/>
  <w15:docId w15:val="{EE746DF7-EC74-4048-9E23-CDC8926D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0A243F"/>
    <w:pPr>
      <w:ind w:left="720"/>
      <w:contextualSpacing/>
    </w:pPr>
  </w:style>
  <w:style w:type="paragraph" w:customStyle="1" w:styleId="Default">
    <w:name w:val="Default"/>
    <w:rsid w:val="000A243F"/>
    <w:pPr>
      <w:autoSpaceDE w:val="0"/>
      <w:autoSpaceDN w:val="0"/>
      <w:adjustRightInd w:val="0"/>
    </w:pPr>
    <w:rPr>
      <w:rFonts w:ascii="Times New Roman" w:hAnsi="Times New Roman"/>
      <w:color w:val="000000"/>
      <w:sz w:val="24"/>
      <w:szCs w:val="24"/>
      <w:lang w:eastAsia="en-US"/>
    </w:rPr>
  </w:style>
  <w:style w:type="paragraph" w:styleId="CommentSubject">
    <w:name w:val="annotation subject"/>
    <w:basedOn w:val="CommentText"/>
    <w:next w:val="CommentText"/>
    <w:link w:val="CommentSubjectChar"/>
    <w:semiHidden/>
    <w:unhideWhenUsed/>
    <w:rsid w:val="007C1378"/>
    <w:rPr>
      <w:b/>
      <w:bCs/>
    </w:rPr>
  </w:style>
  <w:style w:type="character" w:customStyle="1" w:styleId="CommentSubjectChar">
    <w:name w:val="Comment Subject Char"/>
    <w:basedOn w:val="CommentTextChar"/>
    <w:link w:val="CommentSubject"/>
    <w:semiHidden/>
    <w:rsid w:val="007C1378"/>
    <w:rPr>
      <w:rFonts w:ascii="Times New Roman" w:hAnsi="Times New Roman"/>
      <w:b/>
      <w:bCs/>
      <w:lang w:val="en-GB" w:eastAsia="en-US"/>
    </w:rPr>
  </w:style>
  <w:style w:type="paragraph" w:styleId="Revision">
    <w:name w:val="Revision"/>
    <w:hidden/>
    <w:uiPriority w:val="99"/>
    <w:semiHidden/>
    <w:rsid w:val="007C137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8E53AF"/>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74eadfe-4f51-421c-a214-643539497e12" targetNamespace="http://schemas.microsoft.com/office/2006/metadata/properties" ma:root="true" ma:fieldsID="d41af5c836d734370eb92e7ee5f83852" ns2:_="" ns3:_="">
    <xsd:import namespace="996b2e75-67fd-4955-a3b0-5ab9934cb50b"/>
    <xsd:import namespace="074eadfe-4f51-421c-a214-643539497e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74eadfe-4f51-421c-a214-643539497e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74eadfe-4f51-421c-a214-643539497e12">Documents Proposals Manager (DPM)</DPM_x0020_Author>
    <DPM_x0020_File_x0020_name xmlns="074eadfe-4f51-421c-a214-643539497e12">T13-WTSA.16-C-0042!A32!MSW-E</DPM_x0020_File_x0020_name>
    <DPM_x0020_Version xmlns="074eadfe-4f51-421c-a214-643539497e12">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74eadfe-4f51-421c-a214-643539497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074eadfe-4f51-421c-a214-643539497e12"/>
    <ds:schemaRef ds:uri="996b2e75-67fd-4955-a3b0-5ab9934cb50b"/>
  </ds:schemaRefs>
</ds:datastoreItem>
</file>

<file path=customXml/itemProps3.xml><?xml version="1.0" encoding="utf-8"?>
<ds:datastoreItem xmlns:ds="http://schemas.openxmlformats.org/officeDocument/2006/customXml" ds:itemID="{36FCC8CE-5D5E-46B0-A4E6-5CA03640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1700</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T13-WTSA.16-C-0042!A32!MSW-E</vt:lpstr>
    </vt:vector>
  </TitlesOfParts>
  <Manager>General Secretariat - Pool</Manager>
  <Company>International Telecommunication Union (ITU)</Company>
  <LinksUpToDate>false</LinksUpToDate>
  <CharactersWithSpaces>11267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T13-WTSA.16-C-0042!A32!MSW-E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3</cp:revision>
  <cp:lastPrinted>2016-06-06T07:49:00Z</cp:lastPrinted>
  <dcterms:created xsi:type="dcterms:W3CDTF">2016-10-13T11:16:00Z</dcterms:created>
  <dcterms:modified xsi:type="dcterms:W3CDTF">2016-10-13T11:17:00Z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