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B33186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B33186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B33186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B33186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B33186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B33186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B33186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B33186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B33186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B3318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42 (Add.32)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B3318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B3318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B33186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B3318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B33186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B33186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非洲电信联盟各主管部门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723A01" w:rsidP="00B33186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lang w:eastAsia="zh-CN"/>
              </w:rPr>
              <w:t>非洲成员国关于</w:t>
            </w:r>
            <w:r w:rsidRPr="00723A01">
              <w:rPr>
                <w:rFonts w:hint="eastAsia"/>
                <w:lang w:eastAsia="zh-CN"/>
              </w:rPr>
              <w:t>ITU-T</w:t>
            </w:r>
            <w:r w:rsidRPr="00723A01">
              <w:rPr>
                <w:rFonts w:hint="eastAsia"/>
                <w:lang w:eastAsia="zh-CN"/>
              </w:rPr>
              <w:t>重组的</w:t>
            </w:r>
            <w:r>
              <w:rPr>
                <w:rFonts w:hint="eastAsia"/>
                <w:lang w:eastAsia="zh-CN"/>
              </w:rPr>
              <w:t>立场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B33186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B33186">
            <w:pPr>
              <w:pStyle w:val="Agendaitem"/>
            </w:pPr>
          </w:p>
        </w:tc>
      </w:tr>
    </w:tbl>
    <w:p w:rsidR="003556C0" w:rsidRDefault="003556C0" w:rsidP="00B33186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3556C0" w:rsidRPr="00426748" w:rsidTr="00E9039D">
        <w:trPr>
          <w:cantSplit/>
        </w:trPr>
        <w:tc>
          <w:tcPr>
            <w:tcW w:w="851" w:type="dxa"/>
          </w:tcPr>
          <w:p w:rsidR="003556C0" w:rsidRPr="00426748" w:rsidRDefault="003556C0" w:rsidP="009620D2">
            <w:pPr>
              <w:spacing w:after="120"/>
            </w:pPr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szCs w:val="24"/>
              <w:lang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231452" w:rsidRDefault="00003960" w:rsidP="009620D2">
                <w:pPr>
                  <w:spacing w:after="120"/>
                  <w:rPr>
                    <w:lang w:eastAsia="zh-CN"/>
                  </w:rPr>
                </w:pPr>
                <w:r w:rsidRPr="00003960">
                  <w:rPr>
                    <w:rFonts w:hint="eastAsia"/>
                    <w:szCs w:val="24"/>
                    <w:lang w:eastAsia="zh-CN"/>
                  </w:rPr>
                  <w:t>本非洲共同提案涉及重组的高层原则和</w:t>
                </w:r>
                <w:r w:rsidRPr="00003960">
                  <w:rPr>
                    <w:rFonts w:hint="eastAsia"/>
                    <w:szCs w:val="24"/>
                    <w:lang w:eastAsia="zh-CN"/>
                  </w:rPr>
                  <w:t>ITU-T</w:t>
                </w:r>
                <w:r w:rsidRPr="00003960">
                  <w:rPr>
                    <w:rFonts w:hint="eastAsia"/>
                    <w:szCs w:val="24"/>
                    <w:lang w:eastAsia="zh-CN"/>
                  </w:rPr>
                  <w:t>研究组的重组方案，建议废止第</w:t>
                </w:r>
                <w:r w:rsidRPr="00003960">
                  <w:rPr>
                    <w:rFonts w:hint="eastAsia"/>
                    <w:szCs w:val="24"/>
                    <w:lang w:eastAsia="zh-CN"/>
                  </w:rPr>
                  <w:t>82</w:t>
                </w:r>
                <w:r w:rsidRPr="00003960">
                  <w:rPr>
                    <w:rFonts w:hint="eastAsia"/>
                    <w:szCs w:val="24"/>
                    <w:lang w:eastAsia="zh-CN"/>
                  </w:rPr>
                  <w:t>号决议，</w:t>
                </w:r>
                <w:r>
                  <w:rPr>
                    <w:rFonts w:hint="eastAsia"/>
                    <w:szCs w:val="24"/>
                    <w:lang w:eastAsia="zh-CN"/>
                  </w:rPr>
                  <w:t>使</w:t>
                </w:r>
                <w:r w:rsidRPr="00003960">
                  <w:rPr>
                    <w:rFonts w:hint="eastAsia"/>
                    <w:szCs w:val="24"/>
                    <w:lang w:eastAsia="zh-CN"/>
                  </w:rPr>
                  <w:t>审查委员会（</w:t>
                </w:r>
                <w:proofErr w:type="spellStart"/>
                <w:r w:rsidRPr="00003960">
                  <w:rPr>
                    <w:rFonts w:hint="eastAsia"/>
                    <w:szCs w:val="24"/>
                    <w:lang w:eastAsia="zh-CN"/>
                  </w:rPr>
                  <w:t>RevCom</w:t>
                </w:r>
                <w:proofErr w:type="spellEnd"/>
                <w:r w:rsidRPr="00003960">
                  <w:rPr>
                    <w:rFonts w:hint="eastAsia"/>
                    <w:szCs w:val="24"/>
                    <w:lang w:eastAsia="zh-CN"/>
                  </w:rPr>
                  <w:t>）</w:t>
                </w:r>
                <w:r>
                  <w:rPr>
                    <w:rFonts w:hint="eastAsia"/>
                    <w:szCs w:val="24"/>
                    <w:lang w:eastAsia="zh-CN"/>
                  </w:rPr>
                  <w:t>能够在本次全会期间结束</w:t>
                </w:r>
                <w:r w:rsidRPr="00003960">
                  <w:rPr>
                    <w:rFonts w:hint="eastAsia"/>
                    <w:szCs w:val="24"/>
                    <w:lang w:eastAsia="zh-CN"/>
                  </w:rPr>
                  <w:t>其活动。</w:t>
                </w:r>
              </w:p>
            </w:tc>
          </w:sdtContent>
        </w:sdt>
      </w:tr>
    </w:tbl>
    <w:p w:rsidR="00CA072D" w:rsidRPr="00D95688" w:rsidRDefault="00CA072D" w:rsidP="009620D2">
      <w:pPr>
        <w:pStyle w:val="Heading1"/>
        <w:spacing w:before="120" w:after="12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003960">
        <w:rPr>
          <w:rFonts w:hint="eastAsia"/>
          <w:lang w:eastAsia="zh-CN"/>
        </w:rPr>
        <w:t>引言</w:t>
      </w:r>
    </w:p>
    <w:p w:rsidR="00CA072D" w:rsidRPr="00D95688" w:rsidRDefault="00165E9C" w:rsidP="000A7418">
      <w:pPr>
        <w:tabs>
          <w:tab w:val="left" w:pos="794"/>
        </w:tabs>
        <w:ind w:firstLineChars="200" w:firstLine="480"/>
        <w:rPr>
          <w:lang w:eastAsia="zh-CN"/>
        </w:rPr>
      </w:pPr>
      <w:r w:rsidRPr="007E6CE6">
        <w:rPr>
          <w:rFonts w:hint="eastAsia"/>
          <w:lang w:eastAsia="zh-CN"/>
        </w:rPr>
        <w:t>四年</w:t>
      </w:r>
      <w:r>
        <w:rPr>
          <w:rFonts w:hint="eastAsia"/>
          <w:lang w:eastAsia="zh-CN"/>
        </w:rPr>
        <w:t>一届的</w:t>
      </w:r>
      <w:r w:rsidR="007E6CE6" w:rsidRPr="007E6CE6">
        <w:rPr>
          <w:rFonts w:hint="eastAsia"/>
          <w:lang w:eastAsia="zh-CN"/>
        </w:rPr>
        <w:t>世界电信标准化全会</w:t>
      </w:r>
      <w:r>
        <w:rPr>
          <w:rFonts w:hint="eastAsia"/>
          <w:lang w:eastAsia="zh-CN"/>
        </w:rPr>
        <w:t>（</w:t>
      </w:r>
      <w:r w:rsidRPr="00D95688">
        <w:rPr>
          <w:lang w:eastAsia="zh-CN"/>
        </w:rPr>
        <w:t>WTSA</w:t>
      </w:r>
      <w:r>
        <w:rPr>
          <w:rFonts w:hint="eastAsia"/>
          <w:lang w:eastAsia="zh-CN"/>
        </w:rPr>
        <w:t>）负责确定</w:t>
      </w:r>
      <w:r w:rsidRPr="00D95688">
        <w:rPr>
          <w:lang w:eastAsia="zh-CN"/>
        </w:rPr>
        <w:t>ITU-T</w:t>
      </w:r>
      <w:r>
        <w:rPr>
          <w:lang w:eastAsia="zh-CN"/>
        </w:rPr>
        <w:t>下一研究期的结构、日常工作和活动</w:t>
      </w:r>
      <w:r>
        <w:rPr>
          <w:rFonts w:hint="eastAsia"/>
          <w:lang w:eastAsia="zh-CN"/>
        </w:rPr>
        <w:t>。上次全会于</w:t>
      </w:r>
      <w:r w:rsidRPr="00D95688">
        <w:rPr>
          <w:lang w:eastAsia="zh-CN"/>
        </w:rPr>
        <w:t>2012</w:t>
      </w:r>
      <w:r>
        <w:rPr>
          <w:lang w:eastAsia="zh-CN"/>
        </w:rPr>
        <w:t>年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lang w:eastAsia="zh-CN"/>
        </w:rPr>
        <w:t>20-29</w:t>
      </w:r>
      <w:r>
        <w:rPr>
          <w:rFonts w:hint="eastAsia"/>
          <w:lang w:eastAsia="zh-CN"/>
        </w:rPr>
        <w:t>日</w:t>
      </w:r>
      <w:r w:rsidRPr="00165E9C">
        <w:rPr>
          <w:rFonts w:hint="eastAsia"/>
          <w:lang w:eastAsia="zh-CN"/>
        </w:rPr>
        <w:t>在迪拜举行</w:t>
      </w:r>
      <w:r>
        <w:rPr>
          <w:rFonts w:hint="eastAsia"/>
          <w:lang w:eastAsia="zh-CN"/>
        </w:rPr>
        <w:t>，下届</w:t>
      </w:r>
      <w:r w:rsidRPr="00D95688">
        <w:rPr>
          <w:lang w:eastAsia="zh-CN"/>
        </w:rPr>
        <w:t>WTSA</w:t>
      </w:r>
      <w:r w:rsidRPr="00165E9C">
        <w:rPr>
          <w:rFonts w:hint="eastAsia"/>
          <w:lang w:eastAsia="zh-CN"/>
        </w:rPr>
        <w:t>定于</w:t>
      </w:r>
      <w:r w:rsidRPr="00D95688">
        <w:rPr>
          <w:lang w:eastAsia="zh-CN"/>
        </w:rPr>
        <w:t>2016</w:t>
      </w:r>
      <w:r>
        <w:rPr>
          <w:lang w:eastAsia="zh-CN"/>
        </w:rPr>
        <w:t>年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 w:rsidRPr="00D95688">
        <w:rPr>
          <w:lang w:eastAsia="zh-CN"/>
        </w:rPr>
        <w:t>25</w:t>
      </w:r>
      <w:r>
        <w:rPr>
          <w:lang w:eastAsia="zh-CN"/>
        </w:rPr>
        <w:t>日至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日召开</w:t>
      </w:r>
      <w:r w:rsidRPr="00165E9C">
        <w:rPr>
          <w:rFonts w:hint="eastAsia"/>
          <w:lang w:eastAsia="zh-CN"/>
        </w:rPr>
        <w:t>。</w:t>
      </w:r>
      <w:r w:rsidRPr="00165E9C">
        <w:rPr>
          <w:rFonts w:hint="eastAsia"/>
          <w:lang w:eastAsia="zh-CN"/>
        </w:rPr>
        <w:t xml:space="preserve"> </w:t>
      </w:r>
    </w:p>
    <w:p w:rsidR="00CA072D" w:rsidRPr="00D95688" w:rsidRDefault="00B105B1" w:rsidP="000A7418">
      <w:pPr>
        <w:tabs>
          <w:tab w:val="left" w:pos="794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为起草有关供</w:t>
      </w:r>
      <w:r w:rsidRPr="00D95688">
        <w:rPr>
          <w:lang w:eastAsia="zh-CN"/>
        </w:rPr>
        <w:t>WTSA-16</w:t>
      </w:r>
      <w:r w:rsidRPr="00165E9C">
        <w:rPr>
          <w:rFonts w:hint="eastAsia"/>
          <w:lang w:eastAsia="zh-CN"/>
        </w:rPr>
        <w:t>讨论</w:t>
      </w:r>
      <w:r>
        <w:rPr>
          <w:rFonts w:hint="eastAsia"/>
          <w:lang w:eastAsia="zh-CN"/>
        </w:rPr>
        <w:t>的</w:t>
      </w:r>
      <w:r w:rsidRPr="00165E9C">
        <w:rPr>
          <w:rFonts w:hint="eastAsia"/>
          <w:lang w:eastAsia="zh-CN"/>
        </w:rPr>
        <w:t>议题</w:t>
      </w:r>
      <w:r>
        <w:rPr>
          <w:rFonts w:hint="eastAsia"/>
          <w:lang w:eastAsia="zh-CN"/>
        </w:rPr>
        <w:t>的</w:t>
      </w:r>
      <w:r w:rsidRPr="00165E9C">
        <w:rPr>
          <w:rFonts w:hint="eastAsia"/>
          <w:lang w:eastAsia="zh-CN"/>
        </w:rPr>
        <w:t>非洲</w:t>
      </w:r>
      <w:r>
        <w:rPr>
          <w:rFonts w:hint="eastAsia"/>
          <w:lang w:eastAsia="zh-CN"/>
        </w:rPr>
        <w:t>共同</w:t>
      </w:r>
      <w:r w:rsidRPr="00165E9C">
        <w:rPr>
          <w:rFonts w:hint="eastAsia"/>
          <w:lang w:eastAsia="zh-CN"/>
        </w:rPr>
        <w:t>提案</w:t>
      </w:r>
      <w:r w:rsidR="00165E9C" w:rsidRPr="00165E9C">
        <w:rPr>
          <w:rFonts w:hint="eastAsia"/>
          <w:lang w:eastAsia="zh-CN"/>
        </w:rPr>
        <w:t>，非洲电信联盟成立</w:t>
      </w:r>
      <w:r>
        <w:rPr>
          <w:rFonts w:hint="eastAsia"/>
          <w:lang w:eastAsia="zh-CN"/>
        </w:rPr>
        <w:t>了</w:t>
      </w:r>
      <w:r w:rsidR="00165E9C" w:rsidRPr="00165E9C">
        <w:rPr>
          <w:rFonts w:hint="eastAsia"/>
          <w:lang w:eastAsia="zh-CN"/>
        </w:rPr>
        <w:t>四个工作组，以反映</w:t>
      </w:r>
      <w:r w:rsidR="00165E9C" w:rsidRPr="00165E9C">
        <w:rPr>
          <w:rFonts w:hint="eastAsia"/>
          <w:lang w:eastAsia="zh-CN"/>
        </w:rPr>
        <w:t>ITU-T</w:t>
      </w:r>
      <w:r w:rsidR="00165E9C" w:rsidRPr="00165E9C">
        <w:rPr>
          <w:rFonts w:hint="eastAsia"/>
          <w:lang w:eastAsia="zh-CN"/>
        </w:rPr>
        <w:t>的重组</w:t>
      </w:r>
      <w:r>
        <w:rPr>
          <w:rFonts w:hint="eastAsia"/>
          <w:lang w:eastAsia="zh-CN"/>
        </w:rPr>
        <w:t>、</w:t>
      </w:r>
      <w:r w:rsidR="00165E9C" w:rsidRPr="00165E9C">
        <w:rPr>
          <w:rFonts w:hint="eastAsia"/>
          <w:lang w:eastAsia="zh-CN"/>
        </w:rPr>
        <w:t>其工作方法、标准化问题和</w:t>
      </w:r>
      <w:r>
        <w:rPr>
          <w:rFonts w:hint="eastAsia"/>
          <w:lang w:eastAsia="zh-CN"/>
        </w:rPr>
        <w:t>与缩小</w:t>
      </w:r>
      <w:r w:rsidR="00165E9C" w:rsidRPr="00165E9C">
        <w:rPr>
          <w:rFonts w:hint="eastAsia"/>
          <w:lang w:eastAsia="zh-CN"/>
        </w:rPr>
        <w:t>标准化差距相关</w:t>
      </w:r>
      <w:r>
        <w:rPr>
          <w:rFonts w:hint="eastAsia"/>
          <w:lang w:eastAsia="zh-CN"/>
        </w:rPr>
        <w:t>的</w:t>
      </w:r>
      <w:r w:rsidR="00165E9C" w:rsidRPr="00165E9C">
        <w:rPr>
          <w:rFonts w:hint="eastAsia"/>
          <w:lang w:eastAsia="zh-CN"/>
        </w:rPr>
        <w:t>问题。</w:t>
      </w:r>
      <w:r>
        <w:rPr>
          <w:rFonts w:hint="eastAsia"/>
          <w:lang w:eastAsia="zh-CN"/>
        </w:rPr>
        <w:t>它们</w:t>
      </w:r>
      <w:r w:rsidR="00BF5A45">
        <w:rPr>
          <w:rFonts w:hint="eastAsia"/>
          <w:lang w:eastAsia="zh-CN"/>
        </w:rPr>
        <w:t>分别为</w:t>
      </w:r>
      <w:r>
        <w:rPr>
          <w:rFonts w:hint="eastAsia"/>
          <w:lang w:eastAsia="zh-CN"/>
        </w:rPr>
        <w:t>第</w:t>
      </w:r>
      <w:r w:rsidRPr="00D95688">
        <w:rPr>
          <w:lang w:eastAsia="zh-CN"/>
        </w:rPr>
        <w:t>1</w:t>
      </w:r>
      <w:r>
        <w:rPr>
          <w:rFonts w:hint="eastAsia"/>
          <w:lang w:eastAsia="zh-CN"/>
        </w:rPr>
        <w:t>、</w:t>
      </w:r>
      <w:r w:rsidRPr="00D95688">
        <w:rPr>
          <w:lang w:eastAsia="zh-CN"/>
        </w:rPr>
        <w:t>2</w:t>
      </w:r>
      <w:r>
        <w:rPr>
          <w:rFonts w:hint="eastAsia"/>
          <w:lang w:eastAsia="zh-CN"/>
        </w:rPr>
        <w:t>、</w:t>
      </w:r>
      <w:r w:rsidR="000A7418">
        <w:rPr>
          <w:lang w:eastAsia="zh-CN"/>
        </w:rPr>
        <w:t>3</w:t>
      </w:r>
      <w:r>
        <w:rPr>
          <w:rFonts w:hint="eastAsia"/>
          <w:lang w:eastAsia="zh-CN"/>
        </w:rPr>
        <w:t>和</w:t>
      </w:r>
      <w:r w:rsidRPr="00D95688">
        <w:rPr>
          <w:lang w:eastAsia="zh-CN"/>
        </w:rPr>
        <w:t>4</w:t>
      </w:r>
      <w:r>
        <w:rPr>
          <w:lang w:eastAsia="zh-CN"/>
        </w:rPr>
        <w:t>工作组</w:t>
      </w:r>
      <w:r w:rsidR="00165E9C" w:rsidRPr="00165E9C">
        <w:rPr>
          <w:rFonts w:hint="eastAsia"/>
          <w:lang w:eastAsia="zh-CN"/>
        </w:rPr>
        <w:t>。</w:t>
      </w:r>
    </w:p>
    <w:p w:rsidR="00CA072D" w:rsidRPr="00D95688" w:rsidRDefault="00B105B1" w:rsidP="000A7418">
      <w:pPr>
        <w:tabs>
          <w:tab w:val="left" w:pos="794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</w:t>
      </w:r>
      <w:r w:rsidRPr="00B105B1">
        <w:rPr>
          <w:rFonts w:hint="eastAsia"/>
          <w:lang w:eastAsia="zh-CN"/>
        </w:rPr>
        <w:t>文件</w:t>
      </w:r>
      <w:r>
        <w:rPr>
          <w:rFonts w:hint="eastAsia"/>
          <w:lang w:eastAsia="zh-CN"/>
        </w:rPr>
        <w:t>刊载了第</w:t>
      </w:r>
      <w:r w:rsidRPr="00B105B1">
        <w:rPr>
          <w:rFonts w:hint="eastAsia"/>
          <w:lang w:eastAsia="zh-CN"/>
        </w:rPr>
        <w:t>1</w:t>
      </w:r>
      <w:r w:rsidRPr="00B105B1">
        <w:rPr>
          <w:rFonts w:hint="eastAsia"/>
          <w:lang w:eastAsia="zh-CN"/>
        </w:rPr>
        <w:t>工作组</w:t>
      </w:r>
      <w:r w:rsidR="00A11DDE" w:rsidRPr="00B105B1">
        <w:rPr>
          <w:rFonts w:hint="eastAsia"/>
          <w:lang w:eastAsia="zh-CN"/>
        </w:rPr>
        <w:t>的</w:t>
      </w:r>
      <w:r w:rsidRPr="00B105B1">
        <w:rPr>
          <w:rFonts w:hint="eastAsia"/>
          <w:lang w:eastAsia="zh-CN"/>
        </w:rPr>
        <w:t>工作结论</w:t>
      </w:r>
      <w:r w:rsidR="00A11DDE">
        <w:rPr>
          <w:rFonts w:hint="eastAsia"/>
          <w:lang w:eastAsia="zh-CN"/>
        </w:rPr>
        <w:t>，并</w:t>
      </w:r>
      <w:r w:rsidRPr="00B105B1">
        <w:rPr>
          <w:rFonts w:hint="eastAsia"/>
          <w:lang w:eastAsia="zh-CN"/>
        </w:rPr>
        <w:t>反</w:t>
      </w:r>
      <w:r w:rsidR="00BF5A45">
        <w:rPr>
          <w:rFonts w:hint="eastAsia"/>
          <w:lang w:eastAsia="zh-CN"/>
        </w:rPr>
        <w:t>映</w:t>
      </w:r>
      <w:r w:rsidR="00A11DDE">
        <w:rPr>
          <w:rFonts w:hint="eastAsia"/>
          <w:lang w:eastAsia="zh-CN"/>
        </w:rPr>
        <w:t>了</w:t>
      </w:r>
      <w:r w:rsidR="00A11DDE">
        <w:rPr>
          <w:lang w:eastAsia="zh-CN"/>
        </w:rPr>
        <w:t>非洲</w:t>
      </w:r>
      <w:r w:rsidR="00A11DDE">
        <w:rPr>
          <w:rFonts w:hint="eastAsia"/>
          <w:lang w:eastAsia="zh-CN"/>
        </w:rPr>
        <w:t>对</w:t>
      </w:r>
      <w:r w:rsidR="00A11DDE" w:rsidRPr="00723A01">
        <w:rPr>
          <w:rFonts w:hint="eastAsia"/>
          <w:lang w:eastAsia="zh-CN"/>
        </w:rPr>
        <w:t>ITU-T</w:t>
      </w:r>
      <w:r w:rsidR="00A11DDE" w:rsidRPr="00723A01">
        <w:rPr>
          <w:rFonts w:hint="eastAsia"/>
          <w:lang w:eastAsia="zh-CN"/>
        </w:rPr>
        <w:t>重组</w:t>
      </w:r>
      <w:r w:rsidR="00A11DDE">
        <w:rPr>
          <w:rFonts w:hint="eastAsia"/>
          <w:lang w:eastAsia="zh-CN"/>
        </w:rPr>
        <w:t>问题</w:t>
      </w:r>
      <w:r w:rsidR="00A11DDE" w:rsidRPr="00723A01">
        <w:rPr>
          <w:rFonts w:hint="eastAsia"/>
          <w:lang w:eastAsia="zh-CN"/>
        </w:rPr>
        <w:t>的</w:t>
      </w:r>
      <w:r w:rsidR="00A11DDE">
        <w:rPr>
          <w:rFonts w:hint="eastAsia"/>
          <w:lang w:eastAsia="zh-CN"/>
        </w:rPr>
        <w:t>立场。</w:t>
      </w:r>
    </w:p>
    <w:p w:rsidR="00CA072D" w:rsidRPr="00D95688" w:rsidRDefault="00CA072D" w:rsidP="00B33186">
      <w:pPr>
        <w:pStyle w:val="Heading1"/>
        <w:spacing w:before="120"/>
        <w:rPr>
          <w:lang w:eastAsia="zh-CN"/>
        </w:rPr>
      </w:pPr>
      <w:r w:rsidRPr="00D95688">
        <w:rPr>
          <w:lang w:eastAsia="zh-CN"/>
        </w:rPr>
        <w:t>2</w:t>
      </w:r>
      <w:r w:rsidRPr="00D95688">
        <w:rPr>
          <w:lang w:eastAsia="zh-CN"/>
        </w:rPr>
        <w:tab/>
      </w:r>
      <w:r w:rsidR="00A11DDE">
        <w:rPr>
          <w:lang w:eastAsia="zh-CN"/>
        </w:rPr>
        <w:t>对</w:t>
      </w:r>
      <w:r w:rsidR="00A11DDE" w:rsidRPr="00723A01">
        <w:rPr>
          <w:rFonts w:hint="eastAsia"/>
          <w:lang w:eastAsia="zh-CN"/>
        </w:rPr>
        <w:t>ITU-T</w:t>
      </w:r>
      <w:r w:rsidR="00A11DDE" w:rsidRPr="00723A01">
        <w:rPr>
          <w:rFonts w:hint="eastAsia"/>
          <w:lang w:eastAsia="zh-CN"/>
        </w:rPr>
        <w:t>重组</w:t>
      </w:r>
      <w:r w:rsidR="00A11DDE">
        <w:rPr>
          <w:rFonts w:hint="eastAsia"/>
          <w:lang w:eastAsia="zh-CN"/>
        </w:rPr>
        <w:t>的初步提案</w:t>
      </w:r>
      <w:r w:rsidRPr="00D95688">
        <w:rPr>
          <w:lang w:eastAsia="zh-CN"/>
        </w:rPr>
        <w:t xml:space="preserve"> </w:t>
      </w:r>
    </w:p>
    <w:p w:rsidR="00CA072D" w:rsidRPr="00D95688" w:rsidRDefault="00A11DDE" w:rsidP="000A7418">
      <w:pPr>
        <w:tabs>
          <w:tab w:val="left" w:pos="794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Pr="00A11DDE">
        <w:rPr>
          <w:rFonts w:hint="eastAsia"/>
          <w:lang w:eastAsia="zh-CN"/>
        </w:rPr>
        <w:t>美国和加拿大提案，</w:t>
      </w:r>
      <w:r w:rsidRPr="00A11DDE">
        <w:rPr>
          <w:rFonts w:hint="eastAsia"/>
          <w:lang w:eastAsia="zh-CN"/>
        </w:rPr>
        <w:t>TSAG</w:t>
      </w:r>
      <w:r w:rsidRPr="00A11DDE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其</w:t>
      </w:r>
      <w:r w:rsidRPr="00A11DDE"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年月</w:t>
      </w:r>
      <w:r>
        <w:rPr>
          <w:rFonts w:hint="eastAsia"/>
          <w:lang w:eastAsia="zh-CN"/>
        </w:rPr>
        <w:t>2</w:t>
      </w:r>
      <w:r w:rsidRPr="00A11DDE">
        <w:rPr>
          <w:rFonts w:hint="eastAsia"/>
          <w:lang w:eastAsia="zh-CN"/>
        </w:rPr>
        <w:t>月的会议</w:t>
      </w:r>
      <w:r>
        <w:rPr>
          <w:rFonts w:hint="eastAsia"/>
          <w:lang w:eastAsia="zh-CN"/>
        </w:rPr>
        <w:t>上</w:t>
      </w:r>
      <w:r w:rsidRPr="00A11DDE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就</w:t>
      </w:r>
      <w:r w:rsidRPr="00A11DDE">
        <w:rPr>
          <w:rFonts w:hint="eastAsia"/>
          <w:lang w:eastAsia="zh-CN"/>
        </w:rPr>
        <w:t>ITU-T</w:t>
      </w:r>
      <w:r w:rsidRPr="00A11DDE">
        <w:rPr>
          <w:rFonts w:hint="eastAsia"/>
          <w:lang w:eastAsia="zh-CN"/>
        </w:rPr>
        <w:t>研究组重组考虑</w:t>
      </w:r>
      <w:r>
        <w:rPr>
          <w:rFonts w:hint="eastAsia"/>
          <w:lang w:eastAsia="zh-CN"/>
        </w:rPr>
        <w:t>采用</w:t>
      </w:r>
      <w:r w:rsidRPr="00A11DDE">
        <w:rPr>
          <w:rFonts w:hint="eastAsia"/>
          <w:lang w:eastAsia="zh-CN"/>
        </w:rPr>
        <w:t>的原则</w:t>
      </w:r>
      <w:r>
        <w:rPr>
          <w:rFonts w:hint="eastAsia"/>
          <w:lang w:eastAsia="zh-CN"/>
        </w:rPr>
        <w:t>达成一致</w:t>
      </w:r>
      <w:r w:rsidRPr="00A11DDE">
        <w:rPr>
          <w:rFonts w:hint="eastAsia"/>
          <w:lang w:eastAsia="zh-CN"/>
        </w:rPr>
        <w:t>。</w:t>
      </w:r>
      <w:r w:rsidR="00CA072D" w:rsidRPr="00D95688">
        <w:rPr>
          <w:lang w:eastAsia="zh-CN"/>
        </w:rPr>
        <w:t xml:space="preserve"> </w:t>
      </w:r>
    </w:p>
    <w:p w:rsidR="00CA072D" w:rsidRPr="00D95688" w:rsidRDefault="00A11DDE" w:rsidP="000A7418">
      <w:pPr>
        <w:tabs>
          <w:tab w:val="left" w:pos="794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同时</w:t>
      </w:r>
      <w:r w:rsidRPr="00A11DDE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电信标准化局</w:t>
      </w:r>
      <w:r w:rsidRPr="00A11DDE">
        <w:rPr>
          <w:rFonts w:hint="eastAsia"/>
          <w:lang w:eastAsia="zh-CN"/>
        </w:rPr>
        <w:t>主任</w:t>
      </w:r>
      <w:r>
        <w:rPr>
          <w:rFonts w:hint="eastAsia"/>
          <w:lang w:eastAsia="zh-CN"/>
        </w:rPr>
        <w:t>也就</w:t>
      </w:r>
      <w:r w:rsidRPr="00A11DDE">
        <w:rPr>
          <w:rFonts w:hint="eastAsia"/>
          <w:lang w:eastAsia="zh-CN"/>
        </w:rPr>
        <w:t>ITU-T</w:t>
      </w:r>
      <w:r w:rsidRPr="00A11DDE">
        <w:rPr>
          <w:rFonts w:hint="eastAsia"/>
          <w:lang w:eastAsia="zh-CN"/>
        </w:rPr>
        <w:t>研究组的结构</w:t>
      </w:r>
      <w:r>
        <w:rPr>
          <w:rFonts w:hint="eastAsia"/>
          <w:lang w:eastAsia="zh-CN"/>
        </w:rPr>
        <w:t>提出</w:t>
      </w:r>
      <w:r w:rsidR="00507BA8">
        <w:rPr>
          <w:rFonts w:hint="eastAsia"/>
          <w:lang w:eastAsia="zh-CN"/>
        </w:rPr>
        <w:t>了</w:t>
      </w:r>
      <w:r w:rsidRPr="00A11DDE">
        <w:rPr>
          <w:rFonts w:hint="eastAsia"/>
          <w:lang w:eastAsia="zh-CN"/>
        </w:rPr>
        <w:t>建议。</w:t>
      </w:r>
    </w:p>
    <w:p w:rsidR="00CA072D" w:rsidRPr="00D95688" w:rsidRDefault="00404D0B" w:rsidP="00045F9F">
      <w:pPr>
        <w:pStyle w:val="Heading2"/>
        <w:rPr>
          <w:lang w:eastAsia="zh-CN"/>
        </w:rPr>
      </w:pPr>
      <w:r>
        <w:rPr>
          <w:lang w:eastAsia="zh-CN"/>
        </w:rPr>
        <w:t>2.1</w:t>
      </w:r>
      <w:r w:rsidR="00CA072D" w:rsidRPr="00D95688">
        <w:rPr>
          <w:lang w:eastAsia="zh-CN"/>
        </w:rPr>
        <w:tab/>
      </w:r>
      <w:r w:rsidR="00507BA8">
        <w:rPr>
          <w:rFonts w:hint="eastAsia"/>
          <w:lang w:eastAsia="zh-CN"/>
        </w:rPr>
        <w:t>重组</w:t>
      </w:r>
      <w:r w:rsidR="00507BA8">
        <w:rPr>
          <w:lang w:eastAsia="zh-CN"/>
        </w:rPr>
        <w:t>的原则</w:t>
      </w:r>
      <w:r w:rsidR="00507BA8">
        <w:rPr>
          <w:rFonts w:hint="eastAsia"/>
          <w:lang w:eastAsia="zh-CN"/>
        </w:rPr>
        <w:t>（</w:t>
      </w:r>
      <w:r w:rsidR="00507BA8" w:rsidRPr="00D95688">
        <w:rPr>
          <w:lang w:eastAsia="zh-CN"/>
        </w:rPr>
        <w:t>TSAG</w:t>
      </w:r>
      <w:r w:rsidR="00507BA8">
        <w:rPr>
          <w:rFonts w:hint="eastAsia"/>
          <w:lang w:eastAsia="zh-CN"/>
        </w:rPr>
        <w:t>）</w:t>
      </w:r>
    </w:p>
    <w:p w:rsidR="00CA072D" w:rsidRPr="00D95688" w:rsidRDefault="00507BA8" w:rsidP="00045F9F">
      <w:pPr>
        <w:tabs>
          <w:tab w:val="left" w:pos="794"/>
        </w:tabs>
        <w:ind w:firstLineChars="200" w:firstLine="480"/>
        <w:rPr>
          <w:lang w:eastAsia="zh-CN"/>
        </w:rPr>
      </w:pPr>
      <w:r w:rsidRPr="00507BA8">
        <w:rPr>
          <w:rFonts w:hint="eastAsia"/>
          <w:lang w:eastAsia="zh-CN"/>
        </w:rPr>
        <w:t>TSAG</w:t>
      </w:r>
      <w:r w:rsidR="007B2FD8">
        <w:rPr>
          <w:rFonts w:hint="eastAsia"/>
          <w:lang w:eastAsia="zh-CN"/>
        </w:rPr>
        <w:t>对</w:t>
      </w:r>
      <w:r w:rsidRPr="00507BA8">
        <w:rPr>
          <w:rFonts w:hint="eastAsia"/>
          <w:lang w:eastAsia="zh-CN"/>
        </w:rPr>
        <w:t>七</w:t>
      </w:r>
      <w:r w:rsidR="007B2FD8">
        <w:rPr>
          <w:rFonts w:hint="eastAsia"/>
          <w:lang w:eastAsia="zh-CN"/>
        </w:rPr>
        <w:t>项</w:t>
      </w:r>
      <w:r w:rsidRPr="00507BA8">
        <w:rPr>
          <w:rFonts w:hint="eastAsia"/>
          <w:lang w:eastAsia="zh-CN"/>
        </w:rPr>
        <w:t>高</w:t>
      </w:r>
      <w:r w:rsidR="007B2FD8">
        <w:rPr>
          <w:rFonts w:hint="eastAsia"/>
          <w:lang w:eastAsia="zh-CN"/>
        </w:rPr>
        <w:t>层</w:t>
      </w:r>
      <w:r w:rsidRPr="00507BA8">
        <w:rPr>
          <w:rFonts w:hint="eastAsia"/>
          <w:lang w:eastAsia="zh-CN"/>
        </w:rPr>
        <w:t>SG</w:t>
      </w:r>
      <w:r w:rsidRPr="00507BA8">
        <w:rPr>
          <w:rFonts w:hint="eastAsia"/>
          <w:lang w:eastAsia="zh-CN"/>
        </w:rPr>
        <w:t>结构原则</w:t>
      </w:r>
      <w:r w:rsidR="007B2FD8">
        <w:rPr>
          <w:rFonts w:hint="eastAsia"/>
          <w:lang w:eastAsia="zh-CN"/>
        </w:rPr>
        <w:t>表示赞同</w:t>
      </w:r>
      <w:r w:rsidRPr="00507BA8">
        <w:rPr>
          <w:rFonts w:hint="eastAsia"/>
          <w:lang w:eastAsia="zh-CN"/>
        </w:rPr>
        <w:t>，</w:t>
      </w:r>
      <w:r w:rsidR="007B2FD8">
        <w:rPr>
          <w:rFonts w:hint="eastAsia"/>
          <w:lang w:eastAsia="zh-CN"/>
        </w:rPr>
        <w:t>认为</w:t>
      </w:r>
      <w:r w:rsidRPr="00507BA8">
        <w:rPr>
          <w:rFonts w:hint="eastAsia"/>
          <w:lang w:eastAsia="zh-CN"/>
        </w:rPr>
        <w:t>应该</w:t>
      </w:r>
      <w:r w:rsidR="007B2FD8">
        <w:rPr>
          <w:rFonts w:hint="eastAsia"/>
          <w:lang w:eastAsia="zh-CN"/>
        </w:rPr>
        <w:t>得到</w:t>
      </w:r>
      <w:r w:rsidR="007B2FD8" w:rsidRPr="00507BA8">
        <w:rPr>
          <w:rFonts w:hint="eastAsia"/>
          <w:lang w:eastAsia="zh-CN"/>
        </w:rPr>
        <w:t>TSAG</w:t>
      </w:r>
      <w:r w:rsidR="007B2FD8">
        <w:rPr>
          <w:rFonts w:hint="eastAsia"/>
          <w:lang w:eastAsia="zh-CN"/>
        </w:rPr>
        <w:t>的正式通过，以指导</w:t>
      </w:r>
      <w:r w:rsidRPr="00507BA8">
        <w:rPr>
          <w:rFonts w:hint="eastAsia"/>
          <w:lang w:eastAsia="zh-CN"/>
        </w:rPr>
        <w:t>SG</w:t>
      </w:r>
      <w:r w:rsidRPr="00507BA8">
        <w:rPr>
          <w:rFonts w:hint="eastAsia"/>
          <w:lang w:eastAsia="zh-CN"/>
        </w:rPr>
        <w:t>重组</w:t>
      </w:r>
      <w:r w:rsidR="007B2FD8">
        <w:rPr>
          <w:rFonts w:hint="eastAsia"/>
          <w:lang w:eastAsia="zh-CN"/>
        </w:rPr>
        <w:t>的</w:t>
      </w:r>
      <w:r w:rsidR="007B2FD8" w:rsidRPr="00507BA8">
        <w:rPr>
          <w:rFonts w:hint="eastAsia"/>
          <w:lang w:eastAsia="zh-CN"/>
        </w:rPr>
        <w:t>讨论</w:t>
      </w:r>
      <w:r w:rsidRPr="00507BA8">
        <w:rPr>
          <w:rFonts w:hint="eastAsia"/>
          <w:lang w:eastAsia="zh-CN"/>
        </w:rPr>
        <w:t>，</w:t>
      </w:r>
      <w:r w:rsidR="007B2FD8">
        <w:rPr>
          <w:rFonts w:hint="eastAsia"/>
          <w:lang w:eastAsia="zh-CN"/>
        </w:rPr>
        <w:t>但</w:t>
      </w:r>
      <w:r w:rsidR="00F40691">
        <w:rPr>
          <w:rFonts w:hint="eastAsia"/>
          <w:lang w:eastAsia="zh-CN"/>
        </w:rPr>
        <w:t>在</w:t>
      </w:r>
      <w:r w:rsidR="00F40691" w:rsidRPr="00507BA8">
        <w:rPr>
          <w:rFonts w:hint="eastAsia"/>
          <w:lang w:eastAsia="zh-CN"/>
        </w:rPr>
        <w:t>原则</w:t>
      </w:r>
      <w:r w:rsidR="00F40691">
        <w:rPr>
          <w:rFonts w:hint="eastAsia"/>
          <w:lang w:eastAsia="zh-CN"/>
        </w:rPr>
        <w:t>中</w:t>
      </w:r>
      <w:r w:rsidR="007B2FD8">
        <w:rPr>
          <w:rFonts w:hint="eastAsia"/>
          <w:lang w:eastAsia="zh-CN"/>
        </w:rPr>
        <w:t>省略</w:t>
      </w:r>
      <w:r w:rsidR="00F40691">
        <w:rPr>
          <w:rFonts w:hint="eastAsia"/>
          <w:lang w:eastAsia="zh-CN"/>
        </w:rPr>
        <w:t>且未采纳</w:t>
      </w:r>
      <w:r w:rsidR="007B2FD8">
        <w:rPr>
          <w:rFonts w:hint="eastAsia"/>
          <w:lang w:eastAsia="zh-CN"/>
        </w:rPr>
        <w:t>对</w:t>
      </w:r>
      <w:r w:rsidR="007B2FD8" w:rsidRPr="00507BA8">
        <w:rPr>
          <w:rFonts w:hint="eastAsia"/>
          <w:lang w:eastAsia="zh-CN"/>
        </w:rPr>
        <w:t>原则的</w:t>
      </w:r>
      <w:r w:rsidRPr="00507BA8">
        <w:rPr>
          <w:rFonts w:hint="eastAsia"/>
          <w:lang w:eastAsia="zh-CN"/>
        </w:rPr>
        <w:t>详细</w:t>
      </w:r>
      <w:r w:rsidR="007B2FD8">
        <w:rPr>
          <w:rFonts w:hint="eastAsia"/>
          <w:lang w:eastAsia="zh-CN"/>
        </w:rPr>
        <w:t>说明</w:t>
      </w:r>
      <w:r w:rsidRPr="00507BA8">
        <w:rPr>
          <w:rFonts w:hint="eastAsia"/>
          <w:lang w:eastAsia="zh-CN"/>
        </w:rPr>
        <w:t>/</w:t>
      </w:r>
      <w:r w:rsidRPr="00507BA8">
        <w:rPr>
          <w:rFonts w:hint="eastAsia"/>
          <w:lang w:eastAsia="zh-CN"/>
        </w:rPr>
        <w:t>表</w:t>
      </w:r>
      <w:r w:rsidR="007B2FD8">
        <w:rPr>
          <w:rFonts w:hint="eastAsia"/>
          <w:lang w:eastAsia="zh-CN"/>
        </w:rPr>
        <w:t>述</w:t>
      </w:r>
      <w:r w:rsidRPr="00507BA8">
        <w:rPr>
          <w:rFonts w:hint="eastAsia"/>
          <w:lang w:eastAsia="zh-CN"/>
        </w:rPr>
        <w:t>。</w:t>
      </w:r>
    </w:p>
    <w:p w:rsidR="00CA072D" w:rsidRPr="00D95688" w:rsidRDefault="00F40691" w:rsidP="000A7418">
      <w:pPr>
        <w:tabs>
          <w:tab w:val="left" w:pos="794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提交此届全会（</w:t>
      </w:r>
      <w:r w:rsidRPr="00D95688">
        <w:rPr>
          <w:lang w:eastAsia="zh-CN"/>
        </w:rPr>
        <w:t>WTSA-16</w:t>
      </w:r>
      <w:r>
        <w:rPr>
          <w:rFonts w:hint="eastAsia"/>
          <w:lang w:eastAsia="zh-CN"/>
        </w:rPr>
        <w:t>）的文稿进一步</w:t>
      </w:r>
      <w:r w:rsidRPr="00F40691">
        <w:rPr>
          <w:rFonts w:hint="eastAsia"/>
          <w:lang w:eastAsia="zh-CN"/>
        </w:rPr>
        <w:t>阐述</w:t>
      </w:r>
      <w:r>
        <w:rPr>
          <w:rFonts w:hint="eastAsia"/>
          <w:lang w:eastAsia="zh-CN"/>
        </w:rPr>
        <w:t>了重组</w:t>
      </w:r>
      <w:r w:rsidRPr="00F40691">
        <w:rPr>
          <w:rFonts w:hint="eastAsia"/>
          <w:lang w:eastAsia="zh-CN"/>
        </w:rPr>
        <w:t>ITU-T</w:t>
      </w:r>
      <w:r w:rsidRPr="00F40691">
        <w:rPr>
          <w:rFonts w:hint="eastAsia"/>
          <w:lang w:eastAsia="zh-CN"/>
        </w:rPr>
        <w:t>的原则</w:t>
      </w:r>
      <w:r w:rsidR="002C18D5">
        <w:rPr>
          <w:rFonts w:hint="eastAsia"/>
          <w:lang w:eastAsia="zh-CN"/>
        </w:rPr>
        <w:t>，</w:t>
      </w:r>
      <w:r w:rsidRPr="00F40691">
        <w:rPr>
          <w:rFonts w:hint="eastAsia"/>
          <w:lang w:eastAsia="zh-CN"/>
        </w:rPr>
        <w:t>非洲成员国对这些原则的细节</w:t>
      </w:r>
      <w:r w:rsidR="002C18D5">
        <w:rPr>
          <w:rFonts w:hint="eastAsia"/>
          <w:lang w:eastAsia="zh-CN"/>
        </w:rPr>
        <w:t>表示关注</w:t>
      </w:r>
      <w:r w:rsidRPr="00F40691">
        <w:rPr>
          <w:rFonts w:hint="eastAsia"/>
          <w:lang w:eastAsia="zh-CN"/>
        </w:rPr>
        <w:t>，</w:t>
      </w:r>
      <w:r w:rsidR="002C18D5">
        <w:rPr>
          <w:rFonts w:hint="eastAsia"/>
          <w:lang w:eastAsia="zh-CN"/>
        </w:rPr>
        <w:t>并</w:t>
      </w:r>
      <w:r w:rsidRPr="00F40691">
        <w:rPr>
          <w:rFonts w:hint="eastAsia"/>
          <w:lang w:eastAsia="zh-CN"/>
        </w:rPr>
        <w:t>可能需要</w:t>
      </w:r>
      <w:r w:rsidR="002C18D5">
        <w:rPr>
          <w:rFonts w:hint="eastAsia"/>
          <w:lang w:eastAsia="zh-CN"/>
        </w:rPr>
        <w:t>予以</w:t>
      </w:r>
      <w:r w:rsidRPr="00F40691">
        <w:rPr>
          <w:rFonts w:hint="eastAsia"/>
          <w:lang w:eastAsia="zh-CN"/>
        </w:rPr>
        <w:t>复议。</w:t>
      </w:r>
      <w:r w:rsidR="00CA072D" w:rsidRPr="00D95688">
        <w:rPr>
          <w:lang w:eastAsia="zh-CN"/>
        </w:rPr>
        <w:t xml:space="preserve"> </w:t>
      </w:r>
    </w:p>
    <w:p w:rsidR="00CA072D" w:rsidRPr="00D95688" w:rsidRDefault="002C18D5" w:rsidP="000A7418">
      <w:pPr>
        <w:tabs>
          <w:tab w:val="left" w:pos="794"/>
        </w:tabs>
        <w:ind w:firstLineChars="200" w:firstLine="480"/>
        <w:rPr>
          <w:lang w:eastAsia="zh-CN"/>
        </w:rPr>
      </w:pPr>
      <w:r>
        <w:rPr>
          <w:lang w:eastAsia="zh-CN"/>
        </w:rPr>
        <w:t>首先</w:t>
      </w:r>
      <w:r w:rsidR="00BF5A45">
        <w:rPr>
          <w:rFonts w:hint="eastAsia"/>
          <w:lang w:eastAsia="zh-CN"/>
        </w:rPr>
        <w:t>，</w:t>
      </w:r>
      <w:r w:rsidR="00BF5A45">
        <w:rPr>
          <w:lang w:eastAsia="zh-CN"/>
        </w:rPr>
        <w:t>关于</w:t>
      </w:r>
      <w:r w:rsidR="00BF5A45" w:rsidRPr="00D95688">
        <w:rPr>
          <w:lang w:eastAsia="zh-CN"/>
        </w:rPr>
        <w:t>TSAG</w:t>
      </w:r>
      <w:r w:rsidR="00BF5A45">
        <w:rPr>
          <w:lang w:eastAsia="zh-CN"/>
        </w:rPr>
        <w:t>通过的</w:t>
      </w:r>
      <w:r w:rsidR="00BF5A45" w:rsidRPr="00507BA8">
        <w:rPr>
          <w:rFonts w:hint="eastAsia"/>
          <w:lang w:eastAsia="zh-CN"/>
        </w:rPr>
        <w:t>七</w:t>
      </w:r>
      <w:r w:rsidR="00BF5A45">
        <w:rPr>
          <w:rFonts w:hint="eastAsia"/>
          <w:lang w:eastAsia="zh-CN"/>
        </w:rPr>
        <w:t>项</w:t>
      </w:r>
      <w:r w:rsidR="00BF5A45" w:rsidRPr="00507BA8">
        <w:rPr>
          <w:rFonts w:hint="eastAsia"/>
          <w:lang w:eastAsia="zh-CN"/>
        </w:rPr>
        <w:t>原则</w:t>
      </w:r>
      <w:r w:rsidR="00BF5A45">
        <w:rPr>
          <w:rFonts w:hint="eastAsia"/>
          <w:lang w:eastAsia="zh-CN"/>
        </w:rPr>
        <w:t>是：</w:t>
      </w:r>
    </w:p>
    <w:p w:rsidR="00CA072D" w:rsidRDefault="00CA072D" w:rsidP="00B3318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</w:tblGrid>
      <w:tr w:rsidR="00CA072D" w:rsidRPr="00D95688" w:rsidTr="00E9039D">
        <w:trPr>
          <w:tblHeader/>
          <w:jc w:val="center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A072D" w:rsidRPr="00D95688" w:rsidRDefault="007E6CE6" w:rsidP="00B33186">
            <w:pPr>
              <w:pStyle w:val="Tablehead"/>
              <w:spacing w:before="60" w:after="60"/>
              <w:rPr>
                <w:lang w:eastAsia="zh-CN"/>
              </w:rPr>
            </w:pPr>
            <w:r>
              <w:rPr>
                <w:rFonts w:hint="eastAsia"/>
                <w:lang w:eastAsia="ja-JP"/>
              </w:rPr>
              <w:t>研究</w:t>
            </w:r>
            <w:r w:rsidRPr="00B54D77">
              <w:rPr>
                <w:rFonts w:hint="eastAsia"/>
                <w:lang w:eastAsia="ja-JP"/>
              </w:rPr>
              <w:t>组重组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ja-JP"/>
              </w:rPr>
              <w:t>高</w:t>
            </w:r>
            <w:r>
              <w:rPr>
                <w:rFonts w:hint="eastAsia"/>
                <w:lang w:eastAsia="zh-CN"/>
              </w:rPr>
              <w:t>层</w:t>
            </w:r>
            <w:r w:rsidRPr="00B54D77">
              <w:rPr>
                <w:rFonts w:hint="eastAsia"/>
                <w:lang w:eastAsia="ja-JP"/>
              </w:rPr>
              <w:t>原则</w:t>
            </w:r>
          </w:p>
        </w:tc>
      </w:tr>
      <w:tr w:rsidR="00CA072D" w:rsidRPr="00D95688" w:rsidTr="00E9039D">
        <w:trPr>
          <w:jc w:val="center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072D" w:rsidRPr="00D95688" w:rsidRDefault="00CA072D" w:rsidP="00B33186">
            <w:pPr>
              <w:pStyle w:val="Tabletext"/>
              <w:keepNext/>
              <w:spacing w:before="60" w:after="60"/>
              <w:rPr>
                <w:lang w:eastAsia="zh-CN"/>
              </w:rPr>
            </w:pPr>
            <w:r w:rsidRPr="00D95688">
              <w:rPr>
                <w:lang w:eastAsia="zh-CN"/>
              </w:rPr>
              <w:t xml:space="preserve">A: </w:t>
            </w:r>
            <w:r w:rsidR="007E6CE6">
              <w:rPr>
                <w:rFonts w:eastAsiaTheme="minorEastAsia" w:hint="eastAsia"/>
                <w:lang w:eastAsia="zh-CN"/>
              </w:rPr>
              <w:t>优化</w:t>
            </w:r>
            <w:r w:rsidR="007E6CE6" w:rsidRPr="00B8746D">
              <w:rPr>
                <w:rFonts w:eastAsiaTheme="minorEastAsia"/>
                <w:lang w:eastAsia="zh-CN"/>
              </w:rPr>
              <w:t>结构</w:t>
            </w:r>
          </w:p>
        </w:tc>
      </w:tr>
      <w:tr w:rsidR="00CA072D" w:rsidRPr="00D95688" w:rsidTr="00E9039D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072D" w:rsidRPr="00D95688" w:rsidRDefault="00CA072D" w:rsidP="00B33186">
            <w:pPr>
              <w:pStyle w:val="Tabletext"/>
              <w:keepNext/>
              <w:spacing w:before="60" w:after="60"/>
              <w:rPr>
                <w:lang w:eastAsia="zh-CN"/>
              </w:rPr>
            </w:pPr>
            <w:r w:rsidRPr="00D95688">
              <w:rPr>
                <w:lang w:eastAsia="zh-CN"/>
              </w:rPr>
              <w:t xml:space="preserve">B: </w:t>
            </w:r>
            <w:r w:rsidR="007E6CE6" w:rsidRPr="00B8746D">
              <w:rPr>
                <w:rFonts w:eastAsiaTheme="minorEastAsia" w:hint="eastAsia"/>
                <w:lang w:eastAsia="zh-CN"/>
              </w:rPr>
              <w:t>明确</w:t>
            </w:r>
            <w:r w:rsidR="007E6CE6" w:rsidRPr="00B8746D">
              <w:rPr>
                <w:rFonts w:eastAsiaTheme="minorEastAsia"/>
                <w:lang w:eastAsia="zh-CN"/>
              </w:rPr>
              <w:t>职责范围</w:t>
            </w:r>
          </w:p>
        </w:tc>
      </w:tr>
      <w:tr w:rsidR="00CA072D" w:rsidRPr="00D95688" w:rsidTr="00E9039D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072D" w:rsidRPr="00D95688" w:rsidRDefault="00CA072D" w:rsidP="00B33186">
            <w:pPr>
              <w:pStyle w:val="Tabletext"/>
              <w:keepNext/>
              <w:spacing w:before="60" w:after="60"/>
              <w:rPr>
                <w:lang w:eastAsia="zh-CN"/>
              </w:rPr>
            </w:pPr>
            <w:r w:rsidRPr="00D95688">
              <w:rPr>
                <w:lang w:eastAsia="zh-CN"/>
              </w:rPr>
              <w:t xml:space="preserve">C: </w:t>
            </w:r>
            <w:r w:rsidR="007E6CE6">
              <w:rPr>
                <w:rFonts w:eastAsiaTheme="minorEastAsia" w:hint="eastAsia"/>
                <w:lang w:eastAsia="zh-CN"/>
              </w:rPr>
              <w:t>强化</w:t>
            </w:r>
            <w:r w:rsidR="007E6CE6" w:rsidRPr="00B8746D">
              <w:rPr>
                <w:rFonts w:eastAsiaTheme="minorEastAsia"/>
                <w:lang w:eastAsia="zh-CN"/>
              </w:rPr>
              <w:t>协调</w:t>
            </w:r>
            <w:r w:rsidR="007E6CE6">
              <w:rPr>
                <w:rFonts w:eastAsiaTheme="minorEastAsia" w:hint="eastAsia"/>
                <w:lang w:eastAsia="zh-CN"/>
              </w:rPr>
              <w:t>与</w:t>
            </w:r>
            <w:r w:rsidR="007E6CE6" w:rsidRPr="00B8746D">
              <w:rPr>
                <w:rFonts w:eastAsiaTheme="minorEastAsia"/>
                <w:lang w:eastAsia="zh-CN"/>
              </w:rPr>
              <w:t>合作</w:t>
            </w:r>
          </w:p>
        </w:tc>
      </w:tr>
      <w:tr w:rsidR="00CA072D" w:rsidRPr="00D95688" w:rsidTr="00E9039D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072D" w:rsidRPr="00D95688" w:rsidRDefault="00CA072D" w:rsidP="00B33186">
            <w:pPr>
              <w:pStyle w:val="Tabletext"/>
              <w:spacing w:before="60" w:after="60"/>
              <w:rPr>
                <w:lang w:eastAsia="zh-CN"/>
              </w:rPr>
            </w:pPr>
            <w:r w:rsidRPr="00D95688">
              <w:rPr>
                <w:lang w:eastAsia="zh-CN"/>
              </w:rPr>
              <w:t xml:space="preserve">D: </w:t>
            </w:r>
            <w:r w:rsidR="007E6CE6" w:rsidRPr="00B8746D">
              <w:rPr>
                <w:rFonts w:eastAsiaTheme="minorEastAsia" w:hint="eastAsia"/>
                <w:lang w:eastAsia="zh-CN"/>
              </w:rPr>
              <w:t>成本高效</w:t>
            </w:r>
            <w:r w:rsidR="007E6CE6">
              <w:rPr>
                <w:rFonts w:eastAsiaTheme="minorEastAsia" w:hint="eastAsia"/>
                <w:lang w:eastAsia="zh-CN"/>
              </w:rPr>
              <w:t>且</w:t>
            </w:r>
            <w:r w:rsidR="007E6CE6" w:rsidRPr="00B8746D">
              <w:rPr>
                <w:rFonts w:eastAsiaTheme="minorEastAsia" w:hint="eastAsia"/>
                <w:lang w:eastAsia="zh-CN"/>
              </w:rPr>
              <w:t>具有</w:t>
            </w:r>
            <w:r w:rsidR="007E6CE6" w:rsidRPr="00B8746D">
              <w:rPr>
                <w:rFonts w:eastAsiaTheme="minorEastAsia"/>
                <w:lang w:eastAsia="zh-CN"/>
              </w:rPr>
              <w:t>吸引力</w:t>
            </w:r>
          </w:p>
        </w:tc>
      </w:tr>
      <w:tr w:rsidR="00CA072D" w:rsidRPr="00D95688" w:rsidTr="00E9039D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072D" w:rsidRPr="00D95688" w:rsidRDefault="00CA072D" w:rsidP="00B33186">
            <w:pPr>
              <w:pStyle w:val="Tabletext"/>
              <w:spacing w:before="60" w:after="60"/>
              <w:rPr>
                <w:lang w:eastAsia="zh-CN"/>
              </w:rPr>
            </w:pPr>
            <w:r w:rsidRPr="00D95688">
              <w:rPr>
                <w:lang w:eastAsia="zh-CN"/>
              </w:rPr>
              <w:t xml:space="preserve">E: </w:t>
            </w:r>
            <w:r w:rsidR="007E6CE6" w:rsidRPr="00B8746D">
              <w:rPr>
                <w:lang w:eastAsia="zh-CN"/>
              </w:rPr>
              <w:t>高效</w:t>
            </w:r>
            <w:r w:rsidR="007E6CE6">
              <w:rPr>
                <w:rFonts w:hint="eastAsia"/>
                <w:lang w:eastAsia="zh-CN"/>
              </w:rPr>
              <w:t>且</w:t>
            </w:r>
            <w:r w:rsidR="007E6CE6" w:rsidRPr="00B8746D">
              <w:rPr>
                <w:lang w:eastAsia="zh-CN"/>
              </w:rPr>
              <w:t>富有成效的工作方法</w:t>
            </w:r>
          </w:p>
        </w:tc>
      </w:tr>
      <w:tr w:rsidR="00CA072D" w:rsidRPr="00D95688" w:rsidTr="00E9039D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072D" w:rsidRPr="00D95688" w:rsidRDefault="00CA072D" w:rsidP="00B33186">
            <w:pPr>
              <w:pStyle w:val="Tabletext"/>
              <w:spacing w:before="60" w:after="60"/>
              <w:rPr>
                <w:lang w:eastAsia="zh-CN"/>
              </w:rPr>
            </w:pPr>
            <w:r w:rsidRPr="00D95688">
              <w:rPr>
                <w:lang w:eastAsia="zh-CN"/>
              </w:rPr>
              <w:t xml:space="preserve">F: </w:t>
            </w:r>
            <w:r w:rsidR="007E6CE6" w:rsidRPr="00B8746D">
              <w:rPr>
                <w:rFonts w:hint="eastAsia"/>
                <w:lang w:eastAsia="zh-CN"/>
              </w:rPr>
              <w:t>及时</w:t>
            </w:r>
            <w:r w:rsidR="007E6CE6" w:rsidRPr="00B8746D">
              <w:rPr>
                <w:lang w:eastAsia="zh-CN"/>
              </w:rPr>
              <w:t>确定标准化需求</w:t>
            </w:r>
          </w:p>
        </w:tc>
      </w:tr>
      <w:tr w:rsidR="00CA072D" w:rsidRPr="00D95688" w:rsidTr="00E9039D">
        <w:trPr>
          <w:jc w:val="center"/>
        </w:trPr>
        <w:tc>
          <w:tcPr>
            <w:tcW w:w="5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A072D" w:rsidRPr="00E77463" w:rsidRDefault="00CA072D" w:rsidP="00B33186">
            <w:pPr>
              <w:pStyle w:val="Tabletext"/>
              <w:numPr>
                <w:ilvl w:val="0"/>
                <w:numId w:val="1"/>
              </w:numPr>
              <w:tabs>
                <w:tab w:val="clear" w:pos="1871"/>
                <w:tab w:val="left" w:pos="794"/>
                <w:tab w:val="left" w:pos="1191"/>
                <w:tab w:val="left" w:pos="1588"/>
              </w:tabs>
              <w:spacing w:before="60" w:after="60"/>
              <w:rPr>
                <w:b/>
                <w:bCs/>
                <w:i/>
                <w:iCs/>
                <w:lang w:eastAsia="zh-CN"/>
              </w:rPr>
            </w:pPr>
            <w:r w:rsidRPr="00E77463">
              <w:rPr>
                <w:b/>
                <w:bCs/>
                <w:i/>
                <w:iCs/>
                <w:lang w:eastAsia="zh-CN"/>
              </w:rPr>
              <w:t>G:</w:t>
            </w:r>
            <w:r w:rsidR="00286E63" w:rsidRPr="00286E63">
              <w:rPr>
                <w:rFonts w:ascii="STKaiti" w:eastAsia="STKaiti" w:hAnsi="STKaiti" w:hint="eastAsia"/>
                <w:b/>
                <w:bCs/>
                <w:lang w:eastAsia="zh-CN"/>
              </w:rPr>
              <w:t>为</w:t>
            </w:r>
            <w:r w:rsidR="00286E63" w:rsidRPr="00286E63">
              <w:rPr>
                <w:rFonts w:ascii="STKaiti" w:eastAsia="STKaiti" w:hAnsi="STKaiti"/>
                <w:b/>
                <w:bCs/>
                <w:lang w:eastAsia="zh-CN"/>
              </w:rPr>
              <w:t>弥合</w:t>
            </w:r>
            <w:r w:rsidR="00286E63" w:rsidRPr="00286E63">
              <w:rPr>
                <w:rFonts w:ascii="STKaiti" w:eastAsia="STKaiti" w:hAnsi="STKaiti" w:hint="eastAsia"/>
                <w:b/>
                <w:bCs/>
                <w:lang w:eastAsia="zh-CN"/>
              </w:rPr>
              <w:t>标准化</w:t>
            </w:r>
            <w:r w:rsidR="00286E63" w:rsidRPr="00286E63">
              <w:rPr>
                <w:rFonts w:ascii="STKaiti" w:eastAsia="STKaiti" w:hAnsi="STKaiti"/>
                <w:b/>
                <w:bCs/>
                <w:lang w:eastAsia="zh-CN"/>
              </w:rPr>
              <w:t>工作差距提供支持</w:t>
            </w:r>
          </w:p>
        </w:tc>
      </w:tr>
    </w:tbl>
    <w:p w:rsidR="000230B9" w:rsidRDefault="000230B9" w:rsidP="00B33186">
      <w:pPr>
        <w:tabs>
          <w:tab w:val="left" w:pos="794"/>
        </w:tabs>
        <w:rPr>
          <w:lang w:eastAsia="zh-CN"/>
        </w:rPr>
      </w:pPr>
    </w:p>
    <w:p w:rsidR="00CA072D" w:rsidRPr="00D95688" w:rsidRDefault="00F13F51" w:rsidP="00045F9F">
      <w:pPr>
        <w:tabs>
          <w:tab w:val="left" w:pos="794"/>
        </w:tabs>
        <w:ind w:firstLineChars="200" w:firstLine="480"/>
        <w:rPr>
          <w:lang w:eastAsia="zh-CN"/>
        </w:rPr>
      </w:pPr>
      <w:r w:rsidRPr="00F13F51">
        <w:rPr>
          <w:rFonts w:hint="eastAsia"/>
          <w:lang w:eastAsia="zh-CN"/>
        </w:rPr>
        <w:t>值得注意的是，</w:t>
      </w:r>
      <w:r w:rsidR="009D34D6" w:rsidRPr="00F13F51">
        <w:rPr>
          <w:rFonts w:hint="eastAsia"/>
          <w:lang w:eastAsia="zh-CN"/>
        </w:rPr>
        <w:t>原则</w:t>
      </w:r>
      <w:r w:rsidRPr="00F13F51">
        <w:rPr>
          <w:rFonts w:hint="eastAsia"/>
          <w:lang w:eastAsia="zh-CN"/>
        </w:rPr>
        <w:t>“</w:t>
      </w:r>
      <w:r w:rsidRPr="00F13F51">
        <w:rPr>
          <w:rFonts w:hint="eastAsia"/>
          <w:lang w:eastAsia="zh-CN"/>
        </w:rPr>
        <w:t>G</w:t>
      </w:r>
      <w:r w:rsidRPr="00F13F51">
        <w:rPr>
          <w:rFonts w:hint="eastAsia"/>
          <w:lang w:eastAsia="zh-CN"/>
        </w:rPr>
        <w:t>”直接涉及弥合标准化工作差距</w:t>
      </w:r>
      <w:r w:rsidR="00CC6974">
        <w:rPr>
          <w:rFonts w:hint="eastAsia"/>
          <w:lang w:eastAsia="zh-CN"/>
        </w:rPr>
        <w:t>（</w:t>
      </w:r>
      <w:r w:rsidR="00CC6974" w:rsidRPr="00D95688">
        <w:rPr>
          <w:lang w:eastAsia="zh-CN"/>
        </w:rPr>
        <w:t>BSG</w:t>
      </w:r>
      <w:r w:rsidR="00CC6974">
        <w:rPr>
          <w:rFonts w:hint="eastAsia"/>
          <w:lang w:eastAsia="zh-CN"/>
        </w:rPr>
        <w:t>）</w:t>
      </w:r>
      <w:r w:rsidRPr="00F13F51">
        <w:rPr>
          <w:rFonts w:hint="eastAsia"/>
          <w:lang w:eastAsia="zh-CN"/>
        </w:rPr>
        <w:t>的问题，</w:t>
      </w:r>
      <w:r w:rsidRPr="00003960">
        <w:rPr>
          <w:rFonts w:hint="eastAsia"/>
          <w:szCs w:val="24"/>
          <w:lang w:eastAsia="zh-CN"/>
        </w:rPr>
        <w:t>审查委员会</w:t>
      </w:r>
      <w:r>
        <w:rPr>
          <w:rFonts w:hint="eastAsia"/>
          <w:lang w:eastAsia="zh-CN"/>
        </w:rPr>
        <w:t>将</w:t>
      </w:r>
      <w:r w:rsidRPr="00F13F51">
        <w:rPr>
          <w:rFonts w:hint="eastAsia"/>
          <w:lang w:eastAsia="zh-CN"/>
        </w:rPr>
        <w:t>这一原则描述</w:t>
      </w:r>
      <w:r>
        <w:rPr>
          <w:rFonts w:hint="eastAsia"/>
          <w:lang w:eastAsia="zh-CN"/>
        </w:rPr>
        <w:t>为</w:t>
      </w:r>
      <w:r w:rsidRPr="00F13F51">
        <w:rPr>
          <w:rFonts w:hint="eastAsia"/>
          <w:lang w:eastAsia="zh-CN"/>
        </w:rPr>
        <w:t>：</w:t>
      </w:r>
      <w:r w:rsidR="00CC6974" w:rsidRPr="00CC6974">
        <w:rPr>
          <w:rFonts w:hint="eastAsia"/>
          <w:iCs/>
          <w:lang w:eastAsia="zh-CN"/>
        </w:rPr>
        <w:t>“</w:t>
      </w:r>
      <w:r w:rsidR="00A607A8" w:rsidRPr="00A607A8">
        <w:rPr>
          <w:rFonts w:ascii="STKaiti" w:eastAsia="STKaiti" w:hAnsi="STKaiti" w:hint="eastAsia"/>
          <w:lang w:eastAsia="zh-CN"/>
        </w:rPr>
        <w:t>新的结构应能够帮助发展中国家弥合标准化差距，比如</w:t>
      </w:r>
      <w:r w:rsidR="00A607A8" w:rsidRPr="00F13F51">
        <w:rPr>
          <w:rFonts w:ascii="STKaiti" w:eastAsia="STKaiti" w:hAnsi="STKaiti" w:hint="eastAsia"/>
          <w:u w:val="single"/>
          <w:lang w:eastAsia="zh-CN"/>
        </w:rPr>
        <w:t>找出有助于促进参与</w:t>
      </w:r>
      <w:r w:rsidR="00A607A8" w:rsidRPr="00F13F51">
        <w:rPr>
          <w:rFonts w:ascii="STKaiti" w:eastAsia="STKaiti" w:hAnsi="STKaiti" w:hint="eastAsia"/>
          <w:lang w:eastAsia="zh-CN"/>
        </w:rPr>
        <w:t>各研究组</w:t>
      </w:r>
      <w:r w:rsidR="00A607A8" w:rsidRPr="00F13F51">
        <w:rPr>
          <w:rFonts w:ascii="STKaiti" w:eastAsia="STKaiti" w:hAnsi="STKaiti" w:hint="eastAsia"/>
          <w:u w:val="single"/>
          <w:lang w:eastAsia="zh-CN"/>
        </w:rPr>
        <w:t>工作的措施</w:t>
      </w:r>
      <w:r w:rsidR="00A607A8" w:rsidRPr="00A607A8">
        <w:rPr>
          <w:rFonts w:ascii="STKaiti" w:eastAsia="STKaiti" w:hAnsi="STKaiti" w:hint="eastAsia"/>
          <w:lang w:eastAsia="zh-CN"/>
        </w:rPr>
        <w:t>（包括采用</w:t>
      </w:r>
      <w:r w:rsidR="00A607A8" w:rsidRPr="00F13F51">
        <w:rPr>
          <w:rFonts w:ascii="STKaiti" w:eastAsia="STKaiti" w:hAnsi="STKaiti" w:hint="eastAsia"/>
          <w:u w:val="single"/>
          <w:lang w:eastAsia="zh-CN"/>
        </w:rPr>
        <w:t>电子工作方式</w:t>
      </w:r>
      <w:r w:rsidR="004D18CE">
        <w:rPr>
          <w:rFonts w:ascii="STKaiti" w:eastAsia="STKaiti" w:hAnsi="STKaiti" w:hint="eastAsia"/>
          <w:u w:val="single"/>
          <w:lang w:eastAsia="zh-CN"/>
        </w:rPr>
        <w:t>（</w:t>
      </w:r>
      <w:r w:rsidR="004D18CE" w:rsidRPr="004D18CE">
        <w:rPr>
          <w:u w:val="single"/>
          <w:lang w:eastAsia="zh-CN"/>
        </w:rPr>
        <w:t>EWM</w:t>
      </w:r>
      <w:r w:rsidR="004D18CE">
        <w:rPr>
          <w:rFonts w:ascii="STKaiti" w:eastAsia="STKaiti" w:hAnsi="STKaiti" w:hint="eastAsia"/>
          <w:u w:val="single"/>
          <w:lang w:eastAsia="zh-CN"/>
        </w:rPr>
        <w:t>）</w:t>
      </w:r>
      <w:r w:rsidR="00A607A8" w:rsidRPr="00A607A8">
        <w:rPr>
          <w:rFonts w:ascii="STKaiti" w:eastAsia="STKaiti" w:hAnsi="STKaiti" w:hint="eastAsia"/>
          <w:lang w:eastAsia="zh-CN"/>
        </w:rPr>
        <w:t>）。</w:t>
      </w:r>
      <w:r w:rsidR="00CC6974" w:rsidRPr="00CC6974">
        <w:rPr>
          <w:rFonts w:hint="eastAsia"/>
          <w:iCs/>
          <w:lang w:eastAsia="zh-CN"/>
        </w:rPr>
        <w:t>”</w:t>
      </w:r>
      <w:r w:rsidR="00CA072D" w:rsidRPr="00D95688">
        <w:rPr>
          <w:i/>
          <w:iCs/>
          <w:lang w:eastAsia="zh-CN"/>
        </w:rPr>
        <w:t xml:space="preserve"> </w:t>
      </w:r>
    </w:p>
    <w:p w:rsidR="00CA072D" w:rsidRPr="00D95688" w:rsidRDefault="004D18CE" w:rsidP="000230B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由</w:t>
      </w:r>
      <w:r w:rsidR="00CC6974" w:rsidRPr="00CC6974">
        <w:rPr>
          <w:rFonts w:hint="eastAsia"/>
          <w:lang w:eastAsia="zh-CN"/>
        </w:rPr>
        <w:t>此</w:t>
      </w:r>
      <w:r>
        <w:rPr>
          <w:rFonts w:hint="eastAsia"/>
          <w:lang w:eastAsia="zh-CN"/>
        </w:rPr>
        <w:t>可以</w:t>
      </w:r>
      <w:r w:rsidR="00CC6974" w:rsidRPr="00CC6974">
        <w:rPr>
          <w:rFonts w:hint="eastAsia"/>
          <w:lang w:eastAsia="zh-CN"/>
        </w:rPr>
        <w:t>看</w:t>
      </w:r>
      <w:r>
        <w:rPr>
          <w:rFonts w:hint="eastAsia"/>
          <w:lang w:eastAsia="zh-CN"/>
        </w:rPr>
        <w:t>出</w:t>
      </w:r>
      <w:r w:rsidR="00CC6974" w:rsidRPr="00CC6974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对</w:t>
      </w:r>
      <w:r w:rsidR="00CC6974" w:rsidRPr="00CC6974">
        <w:rPr>
          <w:rFonts w:hint="eastAsia"/>
          <w:lang w:eastAsia="zh-CN"/>
        </w:rPr>
        <w:t>BSG</w:t>
      </w:r>
      <w:r w:rsidR="00CC6974" w:rsidRPr="00CC6974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认识仍只</w:t>
      </w:r>
      <w:r w:rsidR="00CC6974" w:rsidRPr="00CC6974">
        <w:rPr>
          <w:rFonts w:hint="eastAsia"/>
          <w:lang w:eastAsia="zh-CN"/>
        </w:rPr>
        <w:t>限</w:t>
      </w:r>
      <w:r>
        <w:rPr>
          <w:rFonts w:hint="eastAsia"/>
          <w:lang w:eastAsia="zh-CN"/>
        </w:rPr>
        <w:t>于</w:t>
      </w:r>
      <w:r w:rsidR="00CC6974" w:rsidRPr="00CC6974">
        <w:rPr>
          <w:rFonts w:hint="eastAsia"/>
          <w:lang w:eastAsia="zh-CN"/>
        </w:rPr>
        <w:t>例如</w:t>
      </w:r>
      <w:r>
        <w:rPr>
          <w:rFonts w:hint="eastAsia"/>
          <w:lang w:eastAsia="zh-CN"/>
        </w:rPr>
        <w:t>通过</w:t>
      </w:r>
      <w:r w:rsidRPr="00D95688">
        <w:rPr>
          <w:lang w:eastAsia="zh-CN"/>
        </w:rPr>
        <w:t>EWM</w:t>
      </w:r>
      <w:r w:rsidR="00CC6974" w:rsidRPr="00CC6974">
        <w:rPr>
          <w:rFonts w:hint="eastAsia"/>
          <w:lang w:eastAsia="zh-CN"/>
        </w:rPr>
        <w:t>提高研究组</w:t>
      </w:r>
      <w:r>
        <w:rPr>
          <w:rFonts w:hint="eastAsia"/>
          <w:lang w:eastAsia="zh-CN"/>
        </w:rPr>
        <w:t>的参与，而且在很多情况下，</w:t>
      </w:r>
      <w:r w:rsidR="00CC6974" w:rsidRPr="00CC6974">
        <w:rPr>
          <w:rFonts w:hint="eastAsia"/>
          <w:lang w:eastAsia="zh-CN"/>
        </w:rPr>
        <w:t>BSG</w:t>
      </w:r>
      <w:r w:rsidR="00CC6974" w:rsidRPr="00CC6974">
        <w:rPr>
          <w:rFonts w:hint="eastAsia"/>
          <w:lang w:eastAsia="zh-CN"/>
        </w:rPr>
        <w:t>的活动</w:t>
      </w:r>
      <w:r w:rsidR="00D828D3">
        <w:rPr>
          <w:rFonts w:hint="eastAsia"/>
          <w:lang w:eastAsia="zh-CN"/>
        </w:rPr>
        <w:t>主要</w:t>
      </w:r>
      <w:r>
        <w:rPr>
          <w:rFonts w:hint="eastAsia"/>
          <w:lang w:eastAsia="zh-CN"/>
        </w:rPr>
        <w:t>以</w:t>
      </w:r>
      <w:r w:rsidR="00CC6974" w:rsidRPr="00CC6974">
        <w:rPr>
          <w:rFonts w:hint="eastAsia"/>
          <w:lang w:eastAsia="zh-CN"/>
        </w:rPr>
        <w:t>能力建设</w:t>
      </w:r>
      <w:r>
        <w:rPr>
          <w:rFonts w:hint="eastAsia"/>
          <w:lang w:eastAsia="zh-CN"/>
        </w:rPr>
        <w:t>为</w:t>
      </w:r>
      <w:r w:rsidR="009D34D6">
        <w:rPr>
          <w:rFonts w:hint="eastAsia"/>
          <w:lang w:eastAsia="zh-CN"/>
        </w:rPr>
        <w:t>主</w:t>
      </w:r>
      <w:r w:rsidR="00CC6974" w:rsidRPr="00CC6974">
        <w:rPr>
          <w:rFonts w:hint="eastAsia"/>
          <w:lang w:eastAsia="zh-CN"/>
        </w:rPr>
        <w:t>。</w:t>
      </w:r>
      <w:r w:rsidR="00CC6974" w:rsidRPr="00CC6974">
        <w:rPr>
          <w:rFonts w:hint="eastAsia"/>
          <w:lang w:eastAsia="zh-CN"/>
        </w:rPr>
        <w:t xml:space="preserve"> </w:t>
      </w:r>
    </w:p>
    <w:p w:rsidR="00F57E49" w:rsidRDefault="00D828D3" w:rsidP="00EF3C13">
      <w:pPr>
        <w:ind w:firstLineChars="200" w:firstLine="480"/>
        <w:rPr>
          <w:iCs/>
          <w:lang w:eastAsia="zh-CN"/>
        </w:rPr>
      </w:pPr>
      <w:r w:rsidRPr="00D828D3">
        <w:rPr>
          <w:rFonts w:hint="eastAsia"/>
          <w:lang w:eastAsia="zh-CN"/>
        </w:rPr>
        <w:t>这些都是非常</w:t>
      </w:r>
      <w:r>
        <w:rPr>
          <w:rFonts w:hint="eastAsia"/>
          <w:lang w:eastAsia="zh-CN"/>
        </w:rPr>
        <w:t>切实</w:t>
      </w:r>
      <w:r w:rsidRPr="00D828D3">
        <w:rPr>
          <w:rFonts w:hint="eastAsia"/>
          <w:lang w:eastAsia="zh-CN"/>
        </w:rPr>
        <w:t>的要求，</w:t>
      </w:r>
      <w:r>
        <w:rPr>
          <w:rFonts w:hint="eastAsia"/>
          <w:lang w:eastAsia="zh-CN"/>
        </w:rPr>
        <w:t>然而</w:t>
      </w:r>
      <w:r w:rsidRPr="00D828D3">
        <w:rPr>
          <w:rFonts w:hint="eastAsia"/>
          <w:lang w:eastAsia="zh-CN"/>
        </w:rPr>
        <w:t>研究组的</w:t>
      </w:r>
      <w:r>
        <w:rPr>
          <w:rFonts w:hint="eastAsia"/>
          <w:lang w:eastAsia="zh-CN"/>
        </w:rPr>
        <w:t>重组</w:t>
      </w:r>
      <w:r w:rsidRPr="00D828D3">
        <w:rPr>
          <w:rFonts w:hint="eastAsia"/>
          <w:lang w:eastAsia="zh-CN"/>
        </w:rPr>
        <w:t>应该解决</w:t>
      </w:r>
      <w:r>
        <w:rPr>
          <w:rFonts w:hint="eastAsia"/>
          <w:lang w:eastAsia="zh-CN"/>
        </w:rPr>
        <w:t>顾及</w:t>
      </w:r>
      <w:r w:rsidRPr="00D828D3">
        <w:rPr>
          <w:rFonts w:hint="eastAsia"/>
          <w:lang w:eastAsia="zh-CN"/>
        </w:rPr>
        <w:t>发展中国家需求和关注</w:t>
      </w:r>
      <w:r>
        <w:rPr>
          <w:rFonts w:hint="eastAsia"/>
          <w:lang w:eastAsia="zh-CN"/>
        </w:rPr>
        <w:t>等</w:t>
      </w:r>
      <w:r w:rsidRPr="00D828D3">
        <w:rPr>
          <w:rFonts w:hint="eastAsia"/>
          <w:lang w:eastAsia="zh-CN"/>
        </w:rPr>
        <w:t>更</w:t>
      </w:r>
      <w:r>
        <w:rPr>
          <w:rFonts w:hint="eastAsia"/>
          <w:lang w:eastAsia="zh-CN"/>
        </w:rPr>
        <w:t>为</w:t>
      </w:r>
      <w:r w:rsidRPr="00D828D3">
        <w:rPr>
          <w:rFonts w:hint="eastAsia"/>
          <w:lang w:eastAsia="zh-CN"/>
        </w:rPr>
        <w:t>复杂的问题。</w:t>
      </w:r>
      <w:r>
        <w:rPr>
          <w:rFonts w:hint="eastAsia"/>
          <w:lang w:eastAsia="zh-CN"/>
        </w:rPr>
        <w:t>国际电联《组织法》（</w:t>
      </w:r>
      <w:r w:rsidRPr="00D95688">
        <w:rPr>
          <w:lang w:eastAsia="zh-CN"/>
        </w:rPr>
        <w:t>CS104</w:t>
      </w:r>
      <w:r>
        <w:rPr>
          <w:rFonts w:hint="eastAsia"/>
          <w:lang w:eastAsia="zh-CN"/>
        </w:rPr>
        <w:t>）就</w:t>
      </w:r>
      <w:r w:rsidRPr="00D828D3">
        <w:rPr>
          <w:rFonts w:hint="eastAsia"/>
          <w:lang w:eastAsia="zh-CN"/>
        </w:rPr>
        <w:t>这</w:t>
      </w:r>
      <w:r>
        <w:rPr>
          <w:rFonts w:hint="eastAsia"/>
          <w:lang w:eastAsia="zh-CN"/>
        </w:rPr>
        <w:t>一点指出</w:t>
      </w:r>
      <w:r w:rsidR="009D34D6">
        <w:rPr>
          <w:rFonts w:hint="eastAsia"/>
          <w:lang w:eastAsia="zh-CN"/>
        </w:rPr>
        <w:t>：</w:t>
      </w:r>
      <w:r w:rsidR="00CA072D" w:rsidRPr="00352008">
        <w:rPr>
          <w:rFonts w:ascii="SimSun" w:hAnsi="SimSun"/>
          <w:lang w:eastAsia="zh-CN"/>
        </w:rPr>
        <w:t>“</w:t>
      </w:r>
      <w:r w:rsidR="004E3D6D" w:rsidRPr="004E3D6D">
        <w:rPr>
          <w:rFonts w:ascii="STKaiti" w:eastAsia="STKaiti" w:hAnsi="STKaiti" w:hint="eastAsia"/>
          <w:lang w:eastAsia="zh-CN"/>
        </w:rPr>
        <w:t>电信标准化部门的职能须为，在考虑到发展中国家特别关注的问题的同时</w:t>
      </w:r>
      <w:r w:rsidR="001D47FF">
        <w:rPr>
          <w:i/>
          <w:iCs/>
          <w:lang w:eastAsia="zh-CN"/>
        </w:rPr>
        <w:t>…</w:t>
      </w:r>
      <w:r w:rsidR="00CA072D" w:rsidRPr="00352008">
        <w:rPr>
          <w:rFonts w:ascii="SimSun" w:hAnsi="SimSun"/>
          <w:lang w:eastAsia="zh-CN"/>
        </w:rPr>
        <w:t>”</w:t>
      </w:r>
      <w:r w:rsidR="00352008">
        <w:rPr>
          <w:rFonts w:ascii="SimSun" w:hAnsi="SimSun" w:hint="eastAsia"/>
          <w:lang w:eastAsia="zh-CN"/>
        </w:rPr>
        <w:t>；</w:t>
      </w:r>
      <w:r w:rsidR="00053738">
        <w:rPr>
          <w:rFonts w:hint="eastAsia"/>
          <w:lang w:eastAsia="zh-CN"/>
        </w:rPr>
        <w:t>《组织法》的前言还指出：</w:t>
      </w:r>
      <w:r w:rsidR="00F57E49" w:rsidRPr="00F57E49">
        <w:rPr>
          <w:rFonts w:hint="eastAsia"/>
          <w:iCs/>
          <w:lang w:eastAsia="zh-CN"/>
        </w:rPr>
        <w:t>“</w:t>
      </w:r>
      <w:r w:rsidR="00F57E49" w:rsidRPr="00F57E49">
        <w:rPr>
          <w:rFonts w:ascii="STKaiti" w:eastAsia="STKaiti" w:hAnsi="STKaiti"/>
          <w:lang w:eastAsia="zh-CN"/>
        </w:rPr>
        <w:t>为了以有效的电信业务促进各国人民之间的和平联系、国际合作和经济及社会的发展</w:t>
      </w:r>
      <w:r w:rsidR="00F57E49">
        <w:rPr>
          <w:rFonts w:ascii="Arial" w:hAnsi="Arial" w:cs="Arial" w:hint="eastAsia"/>
          <w:color w:val="333333"/>
          <w:sz w:val="21"/>
          <w:szCs w:val="21"/>
          <w:lang w:eastAsia="zh-CN"/>
        </w:rPr>
        <w:t>。</w:t>
      </w:r>
      <w:r w:rsidR="00F57E49" w:rsidRPr="00F57E49">
        <w:rPr>
          <w:rFonts w:hint="eastAsia"/>
          <w:iCs/>
          <w:lang w:eastAsia="zh-CN"/>
        </w:rPr>
        <w:t>”</w:t>
      </w:r>
    </w:p>
    <w:p w:rsidR="00CA072D" w:rsidRPr="00D95688" w:rsidRDefault="00F57E49" w:rsidP="009620D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人们注意到，在</w:t>
      </w:r>
      <w:r w:rsidRPr="00F57E49">
        <w:rPr>
          <w:rFonts w:hint="eastAsia"/>
          <w:lang w:eastAsia="zh-CN"/>
        </w:rPr>
        <w:t>全球化时代，商业化</w:t>
      </w:r>
      <w:r>
        <w:rPr>
          <w:rFonts w:hint="eastAsia"/>
          <w:lang w:eastAsia="zh-CN"/>
        </w:rPr>
        <w:t>、</w:t>
      </w:r>
      <w:r w:rsidRPr="00F57E49">
        <w:rPr>
          <w:rFonts w:hint="eastAsia"/>
          <w:lang w:eastAsia="zh-CN"/>
        </w:rPr>
        <w:t>竞争和市场</w:t>
      </w:r>
      <w:r w:rsidR="00E263D5">
        <w:rPr>
          <w:rFonts w:hint="eastAsia"/>
          <w:lang w:eastAsia="zh-CN"/>
        </w:rPr>
        <w:t>力量</w:t>
      </w:r>
      <w:r>
        <w:rPr>
          <w:rFonts w:hint="eastAsia"/>
          <w:lang w:eastAsia="zh-CN"/>
        </w:rPr>
        <w:t>往往青睐</w:t>
      </w:r>
      <w:r w:rsidRPr="00F57E49">
        <w:rPr>
          <w:rFonts w:hint="eastAsia"/>
          <w:lang w:eastAsia="zh-CN"/>
        </w:rPr>
        <w:t>“最强</w:t>
      </w:r>
      <w:r>
        <w:rPr>
          <w:rFonts w:hint="eastAsia"/>
          <w:lang w:eastAsia="zh-CN"/>
        </w:rPr>
        <w:t>者</w:t>
      </w:r>
      <w:r w:rsidRPr="00F57E49">
        <w:rPr>
          <w:rFonts w:hint="eastAsia"/>
          <w:lang w:eastAsia="zh-CN"/>
        </w:rPr>
        <w:t>”（如</w:t>
      </w:r>
      <w:r w:rsidR="00E263D5">
        <w:rPr>
          <w:rFonts w:hint="eastAsia"/>
          <w:lang w:eastAsia="zh-CN"/>
        </w:rPr>
        <w:t>具</w:t>
      </w:r>
      <w:r w:rsidR="00E263D5" w:rsidRPr="00E263D5">
        <w:rPr>
          <w:rFonts w:hint="eastAsia"/>
          <w:lang w:eastAsia="zh-CN"/>
        </w:rPr>
        <w:t>显著市场影响力（</w:t>
      </w:r>
      <w:r w:rsidR="00E263D5" w:rsidRPr="00E263D5">
        <w:rPr>
          <w:rFonts w:hint="eastAsia"/>
          <w:lang w:eastAsia="zh-CN"/>
        </w:rPr>
        <w:t>SMP</w:t>
      </w:r>
      <w:r w:rsidR="00E263D5" w:rsidRPr="00E263D5">
        <w:rPr>
          <w:rFonts w:hint="eastAsia"/>
          <w:lang w:eastAsia="zh-CN"/>
        </w:rPr>
        <w:t>）</w:t>
      </w:r>
      <w:r w:rsidR="00E263D5">
        <w:rPr>
          <w:rFonts w:hint="eastAsia"/>
          <w:lang w:eastAsia="zh-CN"/>
        </w:rPr>
        <w:t>者</w:t>
      </w:r>
      <w:r w:rsidRPr="00F57E49">
        <w:rPr>
          <w:rFonts w:hint="eastAsia"/>
          <w:lang w:eastAsia="zh-CN"/>
        </w:rPr>
        <w:t>），全球市场</w:t>
      </w:r>
      <w:r w:rsidR="00E263D5">
        <w:rPr>
          <w:rFonts w:hint="eastAsia"/>
          <w:lang w:eastAsia="zh-CN"/>
        </w:rPr>
        <w:t>和</w:t>
      </w:r>
      <w:r w:rsidRPr="00F57E49">
        <w:rPr>
          <w:rFonts w:hint="eastAsia"/>
          <w:lang w:eastAsia="zh-CN"/>
        </w:rPr>
        <w:t>当地市场</w:t>
      </w:r>
      <w:r w:rsidR="00E263D5">
        <w:rPr>
          <w:rFonts w:hint="eastAsia"/>
          <w:lang w:eastAsia="zh-CN"/>
        </w:rPr>
        <w:t>莫不如此</w:t>
      </w:r>
      <w:r w:rsidRPr="00F57E49">
        <w:rPr>
          <w:rFonts w:hint="eastAsia"/>
          <w:lang w:eastAsia="zh-CN"/>
        </w:rPr>
        <w:t>。因此，</w:t>
      </w:r>
      <w:r w:rsidR="00E263D5">
        <w:rPr>
          <w:rFonts w:hint="eastAsia"/>
          <w:lang w:eastAsia="zh-CN"/>
        </w:rPr>
        <w:t>形成的</w:t>
      </w:r>
      <w:r w:rsidRPr="00F57E49">
        <w:rPr>
          <w:rFonts w:hint="eastAsia"/>
          <w:lang w:eastAsia="zh-CN"/>
        </w:rPr>
        <w:t>ITU-T</w:t>
      </w:r>
      <w:r w:rsidRPr="00F57E49">
        <w:rPr>
          <w:rFonts w:hint="eastAsia"/>
          <w:lang w:eastAsia="zh-CN"/>
        </w:rPr>
        <w:t>建议</w:t>
      </w:r>
      <w:r w:rsidR="00E263D5">
        <w:rPr>
          <w:rFonts w:hint="eastAsia"/>
          <w:lang w:eastAsia="zh-CN"/>
        </w:rPr>
        <w:t>书负责确定</w:t>
      </w:r>
      <w:r w:rsidRPr="00F57E49">
        <w:rPr>
          <w:rFonts w:hint="eastAsia"/>
          <w:lang w:eastAsia="zh-CN"/>
        </w:rPr>
        <w:t>全球电信</w:t>
      </w:r>
      <w:r w:rsidR="00EF3C13">
        <w:rPr>
          <w:rFonts w:hint="eastAsia"/>
          <w:lang w:eastAsia="zh-CN"/>
        </w:rPr>
        <w:t>/</w:t>
      </w:r>
      <w:r w:rsidRPr="00F57E49">
        <w:rPr>
          <w:rFonts w:hint="eastAsia"/>
          <w:lang w:eastAsia="zh-CN"/>
        </w:rPr>
        <w:t>ICT</w:t>
      </w:r>
      <w:r w:rsidRPr="00F57E49">
        <w:rPr>
          <w:rFonts w:hint="eastAsia"/>
          <w:lang w:eastAsia="zh-CN"/>
        </w:rPr>
        <w:t>基础设施的要素</w:t>
      </w:r>
      <w:r w:rsidR="00E263D5">
        <w:rPr>
          <w:rFonts w:hint="eastAsia"/>
          <w:lang w:eastAsia="zh-CN"/>
        </w:rPr>
        <w:t>，旨在提高</w:t>
      </w:r>
      <w:r w:rsidRPr="00F57E49">
        <w:rPr>
          <w:rFonts w:hint="eastAsia"/>
          <w:lang w:eastAsia="zh-CN"/>
        </w:rPr>
        <w:t>全球连通性</w:t>
      </w:r>
      <w:r w:rsidR="00E263D5">
        <w:rPr>
          <w:rFonts w:hint="eastAsia"/>
          <w:lang w:eastAsia="zh-CN"/>
        </w:rPr>
        <w:t>，</w:t>
      </w:r>
      <w:r w:rsidRPr="00F57E49">
        <w:rPr>
          <w:rFonts w:hint="eastAsia"/>
          <w:lang w:eastAsia="zh-CN"/>
        </w:rPr>
        <w:t>提供创新实惠的服务，同时避免</w:t>
      </w:r>
      <w:r w:rsidR="00B103F4">
        <w:rPr>
          <w:rFonts w:hint="eastAsia"/>
          <w:lang w:eastAsia="zh-CN"/>
        </w:rPr>
        <w:t>就</w:t>
      </w:r>
      <w:r w:rsidR="00B103F4" w:rsidRPr="00F57E49">
        <w:rPr>
          <w:rFonts w:hint="eastAsia"/>
          <w:lang w:eastAsia="zh-CN"/>
        </w:rPr>
        <w:t>首选技术</w:t>
      </w:r>
      <w:r w:rsidR="00B103F4">
        <w:rPr>
          <w:rFonts w:hint="eastAsia"/>
          <w:lang w:eastAsia="zh-CN"/>
        </w:rPr>
        <w:t>展开</w:t>
      </w:r>
      <w:r w:rsidRPr="00F57E49">
        <w:rPr>
          <w:rFonts w:hint="eastAsia"/>
          <w:lang w:eastAsia="zh-CN"/>
        </w:rPr>
        <w:t>昂贵的市场</w:t>
      </w:r>
      <w:r w:rsidR="00B103F4">
        <w:rPr>
          <w:rFonts w:hint="eastAsia"/>
          <w:lang w:eastAsia="zh-CN"/>
        </w:rPr>
        <w:t>战</w:t>
      </w:r>
      <w:r w:rsidRPr="00F57E49">
        <w:rPr>
          <w:rFonts w:hint="eastAsia"/>
          <w:lang w:eastAsia="zh-CN"/>
        </w:rPr>
        <w:t>。然而，</w:t>
      </w:r>
      <w:r w:rsidR="00F3202E" w:rsidRPr="00F57E49">
        <w:rPr>
          <w:rFonts w:hint="eastAsia"/>
          <w:lang w:eastAsia="zh-CN"/>
        </w:rPr>
        <w:t>在全球舞台以及有时在</w:t>
      </w:r>
      <w:r w:rsidR="00F3202E" w:rsidRPr="00F57E49">
        <w:rPr>
          <w:rFonts w:hint="eastAsia"/>
          <w:lang w:eastAsia="zh-CN"/>
        </w:rPr>
        <w:t>ITU-T</w:t>
      </w:r>
      <w:r w:rsidR="00F3202E">
        <w:rPr>
          <w:rFonts w:hint="eastAsia"/>
          <w:lang w:eastAsia="zh-CN"/>
        </w:rPr>
        <w:t>内部</w:t>
      </w:r>
      <w:r w:rsidR="00F3202E" w:rsidRPr="00F57E49">
        <w:rPr>
          <w:rFonts w:hint="eastAsia"/>
          <w:lang w:eastAsia="zh-CN"/>
        </w:rPr>
        <w:t>依然存在</w:t>
      </w:r>
      <w:r w:rsidRPr="00F57E49">
        <w:rPr>
          <w:rFonts w:hint="eastAsia"/>
          <w:lang w:eastAsia="zh-CN"/>
        </w:rPr>
        <w:t>这种技术</w:t>
      </w:r>
      <w:r w:rsidR="00061C37">
        <w:rPr>
          <w:rFonts w:hint="eastAsia"/>
          <w:lang w:eastAsia="zh-CN"/>
        </w:rPr>
        <w:t>竞争</w:t>
      </w:r>
      <w:r w:rsidRPr="00F57E49">
        <w:rPr>
          <w:rFonts w:hint="eastAsia"/>
          <w:lang w:eastAsia="zh-CN"/>
        </w:rPr>
        <w:t>，</w:t>
      </w:r>
      <w:r w:rsidR="009D34D6">
        <w:rPr>
          <w:rFonts w:hint="eastAsia"/>
          <w:lang w:eastAsia="zh-CN"/>
        </w:rPr>
        <w:t>而在此期间，</w:t>
      </w:r>
      <w:r w:rsidR="009D34D6" w:rsidRPr="00F57E49">
        <w:rPr>
          <w:rFonts w:hint="eastAsia"/>
          <w:lang w:eastAsia="zh-CN"/>
        </w:rPr>
        <w:t>发展中国家的需</w:t>
      </w:r>
      <w:r w:rsidR="009D34D6">
        <w:rPr>
          <w:rFonts w:hint="eastAsia"/>
          <w:lang w:eastAsia="zh-CN"/>
        </w:rPr>
        <w:t>求</w:t>
      </w:r>
      <w:r w:rsidR="009D34D6" w:rsidRPr="00F57E49">
        <w:rPr>
          <w:rFonts w:hint="eastAsia"/>
          <w:lang w:eastAsia="zh-CN"/>
        </w:rPr>
        <w:t>和关</w:t>
      </w:r>
      <w:r w:rsidR="009D34D6">
        <w:rPr>
          <w:rFonts w:hint="eastAsia"/>
          <w:lang w:eastAsia="zh-CN"/>
        </w:rPr>
        <w:t>切</w:t>
      </w:r>
      <w:r w:rsidR="00F3202E" w:rsidRPr="00F57E49">
        <w:rPr>
          <w:rFonts w:hint="eastAsia"/>
          <w:lang w:eastAsia="zh-CN"/>
        </w:rPr>
        <w:t>很少</w:t>
      </w:r>
      <w:r w:rsidR="009D34D6">
        <w:rPr>
          <w:rFonts w:hint="eastAsia"/>
          <w:lang w:eastAsia="zh-CN"/>
        </w:rPr>
        <w:t>有人问津</w:t>
      </w:r>
      <w:r w:rsidRPr="00F57E49">
        <w:rPr>
          <w:rFonts w:hint="eastAsia"/>
          <w:lang w:eastAsia="zh-CN"/>
        </w:rPr>
        <w:t>。</w:t>
      </w:r>
    </w:p>
    <w:p w:rsidR="00CA072D" w:rsidRPr="00D95688" w:rsidRDefault="00F3202E" w:rsidP="007D49C1">
      <w:pPr>
        <w:ind w:firstLineChars="200" w:firstLine="480"/>
        <w:rPr>
          <w:lang w:eastAsia="zh-CN"/>
        </w:rPr>
      </w:pPr>
      <w:r w:rsidRPr="00F3202E">
        <w:rPr>
          <w:rFonts w:hint="eastAsia"/>
          <w:lang w:eastAsia="zh-CN"/>
        </w:rPr>
        <w:t>例如，值得注意的是，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个</w:t>
      </w:r>
      <w:r w:rsidRPr="00F3202E">
        <w:rPr>
          <w:rFonts w:hint="eastAsia"/>
          <w:lang w:eastAsia="zh-CN"/>
        </w:rPr>
        <w:t>ITU-T</w:t>
      </w:r>
      <w:r w:rsidRPr="00F3202E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当中有两个</w:t>
      </w:r>
      <w:r w:rsidR="00707CA4">
        <w:rPr>
          <w:rFonts w:hint="eastAsia"/>
          <w:lang w:eastAsia="zh-CN"/>
        </w:rPr>
        <w:t>主要</w:t>
      </w:r>
      <w:r>
        <w:rPr>
          <w:rFonts w:hint="eastAsia"/>
          <w:lang w:eastAsia="zh-CN"/>
        </w:rPr>
        <w:t>研究</w:t>
      </w:r>
      <w:r w:rsidRPr="00F3202E">
        <w:rPr>
          <w:rFonts w:hint="eastAsia"/>
          <w:lang w:eastAsia="zh-CN"/>
        </w:rPr>
        <w:t>监管和政策问题；</w:t>
      </w:r>
      <w:r w:rsidR="00FC1FF7">
        <w:rPr>
          <w:rFonts w:hint="eastAsia"/>
          <w:lang w:val="en-US" w:eastAsia="zh-CN"/>
        </w:rPr>
        <w:t>根据</w:t>
      </w:r>
      <w:r w:rsidR="00F8703B">
        <w:rPr>
          <w:rFonts w:hint="eastAsia"/>
          <w:lang w:eastAsia="zh-CN"/>
        </w:rPr>
        <w:t>日常</w:t>
      </w:r>
      <w:r w:rsidR="00FC1FF7">
        <w:rPr>
          <w:rFonts w:hint="eastAsia"/>
          <w:lang w:eastAsia="zh-CN"/>
        </w:rPr>
        <w:t>惯例</w:t>
      </w:r>
      <w:r w:rsidRPr="00F3202E">
        <w:rPr>
          <w:rFonts w:hint="eastAsia"/>
          <w:lang w:eastAsia="zh-CN"/>
        </w:rPr>
        <w:t>，几乎所有监管或政策</w:t>
      </w:r>
      <w:r w:rsidR="00FC1FF7">
        <w:rPr>
          <w:rFonts w:hint="eastAsia"/>
          <w:lang w:eastAsia="zh-CN"/>
        </w:rPr>
        <w:t>性议</w:t>
      </w:r>
      <w:r w:rsidRPr="00F3202E">
        <w:rPr>
          <w:rFonts w:hint="eastAsia"/>
          <w:lang w:eastAsia="zh-CN"/>
        </w:rPr>
        <w:t>题</w:t>
      </w:r>
      <w:r w:rsidR="00FC1FF7">
        <w:rPr>
          <w:rFonts w:hint="eastAsia"/>
          <w:lang w:eastAsia="zh-CN"/>
        </w:rPr>
        <w:t>，都给</w:t>
      </w:r>
      <w:r w:rsidRPr="00F3202E">
        <w:rPr>
          <w:rFonts w:hint="eastAsia"/>
          <w:lang w:eastAsia="zh-CN"/>
        </w:rPr>
        <w:t>发展中国家</w:t>
      </w:r>
      <w:r w:rsidR="00FC1FF7">
        <w:rPr>
          <w:rFonts w:hint="eastAsia"/>
          <w:lang w:eastAsia="zh-CN"/>
        </w:rPr>
        <w:t>带来</w:t>
      </w:r>
      <w:r w:rsidRPr="00F3202E">
        <w:rPr>
          <w:rFonts w:hint="eastAsia"/>
          <w:lang w:eastAsia="zh-CN"/>
        </w:rPr>
        <w:t>负面影响！</w:t>
      </w:r>
      <w:r w:rsidR="009D34D6">
        <w:rPr>
          <w:rFonts w:hint="eastAsia"/>
          <w:lang w:eastAsia="zh-CN"/>
        </w:rPr>
        <w:t>（如</w:t>
      </w:r>
      <w:r w:rsidR="00960B19" w:rsidRPr="00E04A5F">
        <w:rPr>
          <w:rFonts w:hint="eastAsia"/>
          <w:lang w:eastAsia="zh-CN"/>
        </w:rPr>
        <w:t>迂回呼叫程序</w:t>
      </w:r>
      <w:r w:rsidR="00960B19">
        <w:rPr>
          <w:rFonts w:hint="eastAsia"/>
          <w:lang w:eastAsia="zh-CN"/>
        </w:rPr>
        <w:t>和</w:t>
      </w:r>
      <w:r w:rsidR="00960B19" w:rsidRPr="00E04A5F">
        <w:rPr>
          <w:rFonts w:hint="eastAsia"/>
          <w:lang w:eastAsia="zh-CN"/>
        </w:rPr>
        <w:t>回叫</w:t>
      </w:r>
      <w:r w:rsidR="00960B19">
        <w:rPr>
          <w:rFonts w:hint="eastAsia"/>
          <w:lang w:eastAsia="zh-CN"/>
        </w:rPr>
        <w:t>、</w:t>
      </w:r>
      <w:r w:rsidR="00960B19">
        <w:rPr>
          <w:lang w:eastAsia="zh-CN"/>
        </w:rPr>
        <w:t>号码滥用</w:t>
      </w:r>
      <w:r w:rsidR="00960B19">
        <w:rPr>
          <w:rFonts w:hint="eastAsia"/>
          <w:lang w:eastAsia="zh-CN"/>
        </w:rPr>
        <w:t>、</w:t>
      </w:r>
      <w:r w:rsidR="00960B19" w:rsidRPr="00960B19">
        <w:rPr>
          <w:rFonts w:hint="eastAsia"/>
          <w:lang w:eastAsia="zh-CN"/>
        </w:rPr>
        <w:t>国际因特网互联</w:t>
      </w:r>
      <w:r w:rsidR="00960B19">
        <w:rPr>
          <w:rFonts w:hint="eastAsia"/>
          <w:lang w:eastAsia="zh-CN"/>
        </w:rPr>
        <w:t>、</w:t>
      </w:r>
      <w:r w:rsidR="00960B19" w:rsidRPr="00960B19">
        <w:rPr>
          <w:rFonts w:hint="eastAsia"/>
          <w:lang w:eastAsia="zh-CN"/>
        </w:rPr>
        <w:t>来电显示欺诈</w:t>
      </w:r>
      <w:r w:rsidR="00960B19">
        <w:rPr>
          <w:rFonts w:hint="eastAsia"/>
          <w:lang w:eastAsia="zh-CN"/>
        </w:rPr>
        <w:t>和无法送达、国际</w:t>
      </w:r>
      <w:r w:rsidR="00960B19" w:rsidRPr="00E04A5F">
        <w:rPr>
          <w:rFonts w:hint="eastAsia"/>
          <w:lang w:eastAsia="zh-CN"/>
        </w:rPr>
        <w:t>重发</w:t>
      </w:r>
      <w:r w:rsidR="00960B19">
        <w:rPr>
          <w:rFonts w:hint="eastAsia"/>
          <w:lang w:eastAsia="zh-CN"/>
        </w:rPr>
        <w:t>、</w:t>
      </w:r>
      <w:r w:rsidR="00960B19">
        <w:rPr>
          <w:rFonts w:ascii="Arial" w:hAnsi="Arial" w:cs="Arial"/>
          <w:color w:val="333333"/>
          <w:lang w:eastAsia="zh-CN"/>
        </w:rPr>
        <w:t>假冒设备</w:t>
      </w:r>
      <w:r w:rsidR="00960B19">
        <w:rPr>
          <w:rFonts w:ascii="Arial" w:hAnsi="Arial" w:cs="Arial" w:hint="eastAsia"/>
          <w:color w:val="333333"/>
          <w:lang w:eastAsia="zh-CN"/>
        </w:rPr>
        <w:t>、</w:t>
      </w:r>
      <w:r w:rsidR="00960B19" w:rsidRPr="00960B19">
        <w:rPr>
          <w:rFonts w:ascii="Arial" w:hAnsi="Arial" w:cs="Arial" w:hint="eastAsia"/>
          <w:color w:val="333333"/>
          <w:lang w:eastAsia="zh-CN"/>
        </w:rPr>
        <w:t>过顶业务</w:t>
      </w:r>
      <w:r w:rsidR="00960B19">
        <w:rPr>
          <w:rFonts w:ascii="Arial" w:hAnsi="Arial" w:cs="Arial" w:hint="eastAsia"/>
          <w:color w:val="333333"/>
          <w:lang w:eastAsia="zh-CN"/>
        </w:rPr>
        <w:t>、漫游收费、</w:t>
      </w:r>
      <w:r w:rsidR="00960B19">
        <w:rPr>
          <w:rFonts w:ascii="Arial" w:hAnsi="Arial" w:cs="Arial"/>
          <w:color w:val="333333"/>
          <w:lang w:eastAsia="zh-CN"/>
        </w:rPr>
        <w:t>编号和识别资源</w:t>
      </w:r>
      <w:r w:rsidR="00960B19">
        <w:rPr>
          <w:rFonts w:ascii="Arial" w:hAnsi="Arial" w:cs="Arial" w:hint="eastAsia"/>
          <w:color w:val="333333"/>
          <w:lang w:eastAsia="zh-CN"/>
        </w:rPr>
        <w:t>的</w:t>
      </w:r>
      <w:r w:rsidR="00960B19">
        <w:rPr>
          <w:rFonts w:ascii="Arial" w:hAnsi="Arial" w:cs="Arial"/>
          <w:color w:val="333333"/>
          <w:lang w:eastAsia="zh-CN"/>
        </w:rPr>
        <w:t>域外使用等</w:t>
      </w:r>
      <w:r w:rsidR="00960B19">
        <w:rPr>
          <w:rFonts w:hint="eastAsia"/>
          <w:lang w:val="en-US" w:eastAsia="zh-CN"/>
        </w:rPr>
        <w:t>）</w:t>
      </w:r>
      <w:r w:rsidR="00172D4B" w:rsidRPr="00172D4B">
        <w:rPr>
          <w:rFonts w:hint="eastAsia"/>
          <w:lang w:val="en-US" w:eastAsia="zh-CN"/>
        </w:rPr>
        <w:t>这</w:t>
      </w:r>
      <w:r w:rsidR="00841EE9">
        <w:rPr>
          <w:rFonts w:hint="eastAsia"/>
          <w:lang w:val="en-US" w:eastAsia="zh-CN"/>
        </w:rPr>
        <w:t>些都</w:t>
      </w:r>
      <w:r w:rsidR="00172D4B" w:rsidRPr="00172D4B">
        <w:rPr>
          <w:rFonts w:hint="eastAsia"/>
          <w:lang w:val="en-US" w:eastAsia="zh-CN"/>
        </w:rPr>
        <w:t>给发展中国家的国民收入和经营机构造成了巨大损失。尽管</w:t>
      </w:r>
      <w:r w:rsidR="00172D4B">
        <w:rPr>
          <w:rFonts w:hint="eastAsia"/>
          <w:lang w:val="en-US" w:eastAsia="zh-CN"/>
        </w:rPr>
        <w:t>现行</w:t>
      </w:r>
      <w:r w:rsidR="00172D4B" w:rsidRPr="00172D4B">
        <w:rPr>
          <w:rFonts w:hint="eastAsia"/>
          <w:lang w:val="en-US" w:eastAsia="zh-CN"/>
        </w:rPr>
        <w:t>标准可</w:t>
      </w:r>
      <w:r w:rsidR="00172D4B">
        <w:rPr>
          <w:rFonts w:hint="eastAsia"/>
          <w:lang w:val="en-US" w:eastAsia="zh-CN"/>
        </w:rPr>
        <w:t>使采取任何一种支撑技术的</w:t>
      </w:r>
      <w:r w:rsidR="00172D4B" w:rsidRPr="00172D4B">
        <w:rPr>
          <w:rFonts w:hint="eastAsia"/>
          <w:lang w:val="en-US" w:eastAsia="zh-CN"/>
        </w:rPr>
        <w:t>全</w:t>
      </w:r>
      <w:r w:rsidR="00172D4B">
        <w:rPr>
          <w:rFonts w:hint="eastAsia"/>
          <w:lang w:val="en-US" w:eastAsia="zh-CN"/>
        </w:rPr>
        <w:t>球</w:t>
      </w:r>
      <w:r w:rsidR="00172D4B" w:rsidRPr="00172D4B">
        <w:rPr>
          <w:rFonts w:hint="eastAsia"/>
          <w:lang w:val="en-US" w:eastAsia="zh-CN"/>
        </w:rPr>
        <w:t>服务</w:t>
      </w:r>
      <w:r w:rsidR="00172D4B">
        <w:rPr>
          <w:rFonts w:hint="eastAsia"/>
          <w:lang w:val="en-US" w:eastAsia="zh-CN"/>
        </w:rPr>
        <w:t>都能做到价格可以承受</w:t>
      </w:r>
      <w:r w:rsidR="00172D4B" w:rsidRPr="00172D4B">
        <w:rPr>
          <w:rFonts w:hint="eastAsia"/>
          <w:lang w:val="en-US" w:eastAsia="zh-CN"/>
        </w:rPr>
        <w:t>，</w:t>
      </w:r>
      <w:r w:rsidR="00172D4B">
        <w:rPr>
          <w:rFonts w:hint="eastAsia"/>
          <w:lang w:val="en-US" w:eastAsia="zh-CN"/>
        </w:rPr>
        <w:t>但以</w:t>
      </w:r>
      <w:r w:rsidR="00172D4B" w:rsidRPr="00172D4B">
        <w:rPr>
          <w:rFonts w:hint="eastAsia"/>
          <w:lang w:val="en-US" w:eastAsia="zh-CN"/>
        </w:rPr>
        <w:t>上</w:t>
      </w:r>
      <w:r w:rsidR="002C316D">
        <w:rPr>
          <w:rFonts w:hint="eastAsia"/>
          <w:lang w:val="en-US" w:eastAsia="zh-CN"/>
        </w:rPr>
        <w:t>列出</w:t>
      </w:r>
      <w:r w:rsidR="00172D4B" w:rsidRPr="00172D4B">
        <w:rPr>
          <w:rFonts w:hint="eastAsia"/>
          <w:lang w:val="en-US" w:eastAsia="zh-CN"/>
        </w:rPr>
        <w:t>的</w:t>
      </w:r>
      <w:r w:rsidR="002C316D">
        <w:rPr>
          <w:rFonts w:hint="eastAsia"/>
          <w:lang w:val="en-US" w:eastAsia="zh-CN"/>
        </w:rPr>
        <w:t>议</w:t>
      </w:r>
      <w:r w:rsidR="00172D4B" w:rsidRPr="00172D4B">
        <w:rPr>
          <w:rFonts w:hint="eastAsia"/>
          <w:lang w:val="en-US" w:eastAsia="zh-CN"/>
        </w:rPr>
        <w:t>题</w:t>
      </w:r>
      <w:r w:rsidR="002C316D">
        <w:rPr>
          <w:rFonts w:hint="eastAsia"/>
          <w:lang w:val="en-US" w:eastAsia="zh-CN"/>
        </w:rPr>
        <w:t>都</w:t>
      </w:r>
      <w:r w:rsidR="002C316D" w:rsidRPr="00172D4B">
        <w:rPr>
          <w:rFonts w:hint="eastAsia"/>
          <w:lang w:val="en-US" w:eastAsia="zh-CN"/>
        </w:rPr>
        <w:t>对发展中国家</w:t>
      </w:r>
      <w:r w:rsidR="002C316D">
        <w:rPr>
          <w:rFonts w:hint="eastAsia"/>
          <w:lang w:val="en-US" w:eastAsia="zh-CN"/>
        </w:rPr>
        <w:t>造成</w:t>
      </w:r>
      <w:r w:rsidR="00841EE9">
        <w:rPr>
          <w:rFonts w:hint="eastAsia"/>
          <w:lang w:val="en-US" w:eastAsia="zh-CN"/>
        </w:rPr>
        <w:t>了</w:t>
      </w:r>
      <w:r w:rsidR="002C316D">
        <w:rPr>
          <w:rFonts w:hint="eastAsia"/>
          <w:lang w:val="en-US" w:eastAsia="zh-CN"/>
        </w:rPr>
        <w:t>全面的</w:t>
      </w:r>
      <w:r w:rsidR="002C316D" w:rsidRPr="00172D4B">
        <w:rPr>
          <w:rFonts w:hint="eastAsia"/>
          <w:lang w:val="en-US" w:eastAsia="zh-CN"/>
        </w:rPr>
        <w:t>负面社会经济</w:t>
      </w:r>
      <w:r w:rsidR="00172D4B" w:rsidRPr="00172D4B">
        <w:rPr>
          <w:rFonts w:hint="eastAsia"/>
          <w:lang w:val="en-US" w:eastAsia="zh-CN"/>
        </w:rPr>
        <w:t>影响，</w:t>
      </w:r>
      <w:r w:rsidR="002C316D">
        <w:rPr>
          <w:rFonts w:hint="eastAsia"/>
          <w:lang w:val="en-US" w:eastAsia="zh-CN"/>
        </w:rPr>
        <w:t>而且许</w:t>
      </w:r>
      <w:r w:rsidR="002C316D" w:rsidRPr="00172D4B">
        <w:rPr>
          <w:rFonts w:hint="eastAsia"/>
          <w:lang w:val="en-US" w:eastAsia="zh-CN"/>
        </w:rPr>
        <w:t>多</w:t>
      </w:r>
      <w:r w:rsidR="002C316D">
        <w:rPr>
          <w:rFonts w:hint="eastAsia"/>
          <w:lang w:val="en-US" w:eastAsia="zh-CN"/>
        </w:rPr>
        <w:t>领域</w:t>
      </w:r>
      <w:r w:rsidR="002C316D" w:rsidRPr="00172D4B">
        <w:rPr>
          <w:rFonts w:hint="eastAsia"/>
          <w:lang w:val="en-US" w:eastAsia="zh-CN"/>
        </w:rPr>
        <w:t>的</w:t>
      </w:r>
      <w:r w:rsidR="00172D4B" w:rsidRPr="00172D4B">
        <w:rPr>
          <w:rFonts w:hint="eastAsia"/>
          <w:lang w:val="en-US" w:eastAsia="zh-CN"/>
        </w:rPr>
        <w:t>相关标准</w:t>
      </w:r>
      <w:r w:rsidR="002C316D">
        <w:rPr>
          <w:rFonts w:hint="eastAsia"/>
          <w:lang w:val="en-US" w:eastAsia="zh-CN"/>
        </w:rPr>
        <w:t>没有</w:t>
      </w:r>
      <w:r w:rsidR="00172D4B" w:rsidRPr="00172D4B">
        <w:rPr>
          <w:rFonts w:hint="eastAsia"/>
          <w:lang w:val="en-US" w:eastAsia="zh-CN"/>
        </w:rPr>
        <w:t>对此</w:t>
      </w:r>
      <w:r w:rsidR="002C316D">
        <w:rPr>
          <w:rFonts w:hint="eastAsia"/>
          <w:lang w:val="en-US" w:eastAsia="zh-CN"/>
        </w:rPr>
        <w:t>给予</w:t>
      </w:r>
      <w:r w:rsidR="00172D4B" w:rsidRPr="00172D4B">
        <w:rPr>
          <w:rFonts w:hint="eastAsia"/>
          <w:lang w:val="en-US" w:eastAsia="zh-CN"/>
        </w:rPr>
        <w:t>足够的支持。</w:t>
      </w:r>
    </w:p>
    <w:p w:rsidR="00CA072D" w:rsidRPr="00D95688" w:rsidRDefault="002C316D" w:rsidP="000230B9">
      <w:pPr>
        <w:ind w:firstLineChars="200" w:firstLine="480"/>
        <w:rPr>
          <w:lang w:eastAsia="zh-CN"/>
        </w:rPr>
      </w:pPr>
      <w:r w:rsidRPr="002C316D">
        <w:rPr>
          <w:rFonts w:hint="eastAsia"/>
          <w:lang w:eastAsia="zh-CN"/>
        </w:rPr>
        <w:t>这</w:t>
      </w:r>
      <w:r>
        <w:rPr>
          <w:rFonts w:hint="eastAsia"/>
          <w:lang w:eastAsia="zh-CN"/>
        </w:rPr>
        <w:t>些</w:t>
      </w:r>
      <w:r w:rsidRPr="002C316D">
        <w:rPr>
          <w:rFonts w:hint="eastAsia"/>
          <w:lang w:eastAsia="zh-CN"/>
        </w:rPr>
        <w:t>国家</w:t>
      </w:r>
      <w:r>
        <w:rPr>
          <w:rFonts w:hint="eastAsia"/>
          <w:lang w:eastAsia="zh-CN"/>
        </w:rPr>
        <w:t>及其运营</w:t>
      </w:r>
      <w:r w:rsidRPr="002C316D">
        <w:rPr>
          <w:rFonts w:hint="eastAsia"/>
          <w:lang w:eastAsia="zh-CN"/>
        </w:rPr>
        <w:t>机构通常</w:t>
      </w:r>
      <w:r>
        <w:rPr>
          <w:rFonts w:hint="eastAsia"/>
          <w:lang w:eastAsia="zh-CN"/>
        </w:rPr>
        <w:t>不具有</w:t>
      </w:r>
      <w:r w:rsidRPr="002C316D">
        <w:rPr>
          <w:rFonts w:hint="eastAsia"/>
          <w:lang w:eastAsia="zh-CN"/>
        </w:rPr>
        <w:t>足够</w:t>
      </w:r>
      <w:r>
        <w:rPr>
          <w:rFonts w:hint="eastAsia"/>
          <w:lang w:eastAsia="zh-CN"/>
        </w:rPr>
        <w:t>抵御这种情况的</w:t>
      </w:r>
      <w:r w:rsidRPr="002C316D">
        <w:rPr>
          <w:rFonts w:hint="eastAsia"/>
          <w:lang w:eastAsia="zh-CN"/>
        </w:rPr>
        <w:t>市场</w:t>
      </w:r>
      <w:r>
        <w:rPr>
          <w:rFonts w:hint="eastAsia"/>
          <w:lang w:eastAsia="zh-CN"/>
        </w:rPr>
        <w:t>影响力、</w:t>
      </w:r>
      <w:r w:rsidRPr="002C316D">
        <w:rPr>
          <w:rFonts w:hint="eastAsia"/>
          <w:lang w:eastAsia="zh-CN"/>
        </w:rPr>
        <w:t>谈判能力或技术</w:t>
      </w:r>
      <w:r>
        <w:rPr>
          <w:rFonts w:hint="eastAsia"/>
          <w:lang w:eastAsia="zh-CN"/>
        </w:rPr>
        <w:t>知识</w:t>
      </w:r>
      <w:r w:rsidRPr="002C316D">
        <w:rPr>
          <w:rFonts w:hint="eastAsia"/>
          <w:lang w:eastAsia="zh-CN"/>
        </w:rPr>
        <w:t>。事实上，</w:t>
      </w:r>
      <w:r>
        <w:rPr>
          <w:rFonts w:hint="eastAsia"/>
          <w:lang w:eastAsia="zh-CN"/>
        </w:rPr>
        <w:t>部分</w:t>
      </w:r>
      <w:r w:rsidRPr="002C316D">
        <w:rPr>
          <w:rFonts w:hint="eastAsia"/>
          <w:lang w:eastAsia="zh-CN"/>
        </w:rPr>
        <w:t>技术（如</w:t>
      </w:r>
      <w:r w:rsidRPr="002C316D">
        <w:rPr>
          <w:rFonts w:hint="eastAsia"/>
          <w:lang w:eastAsia="zh-CN"/>
        </w:rPr>
        <w:t>VoIP</w:t>
      </w:r>
      <w:r>
        <w:rPr>
          <w:rFonts w:hint="eastAsia"/>
          <w:lang w:eastAsia="zh-CN"/>
        </w:rPr>
        <w:t>、</w:t>
      </w:r>
      <w:r w:rsidRPr="002C316D">
        <w:rPr>
          <w:rFonts w:hint="eastAsia"/>
          <w:lang w:eastAsia="zh-CN"/>
        </w:rPr>
        <w:t>OTT</w:t>
      </w:r>
      <w:r w:rsidRPr="002C316D">
        <w:rPr>
          <w:rFonts w:hint="eastAsia"/>
          <w:lang w:eastAsia="zh-CN"/>
        </w:rPr>
        <w:t>等）</w:t>
      </w:r>
      <w:r>
        <w:rPr>
          <w:rFonts w:hint="eastAsia"/>
          <w:lang w:eastAsia="zh-CN"/>
        </w:rPr>
        <w:t>具有</w:t>
      </w:r>
      <w:r w:rsidRPr="002C316D">
        <w:rPr>
          <w:rFonts w:hint="eastAsia"/>
          <w:lang w:eastAsia="zh-CN"/>
        </w:rPr>
        <w:t>提供实惠服务的长期</w:t>
      </w:r>
      <w:r>
        <w:rPr>
          <w:rFonts w:hint="eastAsia"/>
          <w:lang w:eastAsia="zh-CN"/>
        </w:rPr>
        <w:t>前景</w:t>
      </w:r>
      <w:r w:rsidRPr="002C316D">
        <w:rPr>
          <w:rFonts w:hint="eastAsia"/>
          <w:lang w:eastAsia="zh-CN"/>
        </w:rPr>
        <w:t>，但</w:t>
      </w:r>
      <w:r w:rsidR="0052514B">
        <w:rPr>
          <w:rFonts w:hint="eastAsia"/>
          <w:lang w:eastAsia="zh-CN"/>
        </w:rPr>
        <w:t>在</w:t>
      </w:r>
      <w:r w:rsidRPr="002C316D">
        <w:rPr>
          <w:rFonts w:hint="eastAsia"/>
          <w:lang w:eastAsia="zh-CN"/>
        </w:rPr>
        <w:t>这一切</w:t>
      </w:r>
      <w:r w:rsidR="0052514B">
        <w:rPr>
          <w:rFonts w:hint="eastAsia"/>
          <w:lang w:eastAsia="zh-CN"/>
        </w:rPr>
        <w:t>实现之前</w:t>
      </w:r>
      <w:r w:rsidRPr="002C316D">
        <w:rPr>
          <w:rFonts w:hint="eastAsia"/>
          <w:lang w:eastAsia="zh-CN"/>
        </w:rPr>
        <w:t>，</w:t>
      </w:r>
      <w:r w:rsidR="0052514B" w:rsidRPr="002C316D">
        <w:rPr>
          <w:rFonts w:hint="eastAsia"/>
          <w:lang w:eastAsia="zh-CN"/>
        </w:rPr>
        <w:t>应</w:t>
      </w:r>
      <w:r w:rsidR="0052514B">
        <w:rPr>
          <w:rFonts w:hint="eastAsia"/>
          <w:lang w:eastAsia="zh-CN"/>
        </w:rPr>
        <w:t>在</w:t>
      </w:r>
      <w:r w:rsidR="0052514B" w:rsidRPr="002C316D">
        <w:rPr>
          <w:rFonts w:hint="eastAsia"/>
          <w:lang w:eastAsia="zh-CN"/>
        </w:rPr>
        <w:t>考虑当前环境的</w:t>
      </w:r>
      <w:r w:rsidR="0052514B">
        <w:rPr>
          <w:rFonts w:hint="eastAsia"/>
          <w:lang w:eastAsia="zh-CN"/>
        </w:rPr>
        <w:t>基础上进行</w:t>
      </w:r>
      <w:r w:rsidR="0052514B" w:rsidRPr="002C316D">
        <w:rPr>
          <w:rFonts w:hint="eastAsia"/>
          <w:lang w:eastAsia="zh-CN"/>
        </w:rPr>
        <w:t>标准</w:t>
      </w:r>
      <w:r w:rsidR="0052514B">
        <w:rPr>
          <w:rFonts w:hint="eastAsia"/>
          <w:lang w:eastAsia="zh-CN"/>
        </w:rPr>
        <w:t>制定</w:t>
      </w:r>
      <w:r w:rsidRPr="002C316D">
        <w:rPr>
          <w:rFonts w:hint="eastAsia"/>
          <w:lang w:eastAsia="zh-CN"/>
        </w:rPr>
        <w:t>。</w:t>
      </w:r>
      <w:r w:rsidR="00CA072D" w:rsidRPr="00D95688">
        <w:rPr>
          <w:lang w:eastAsia="zh-CN"/>
        </w:rPr>
        <w:t xml:space="preserve"> </w:t>
      </w:r>
    </w:p>
    <w:p w:rsidR="00CA072D" w:rsidRPr="00D95688" w:rsidRDefault="0052514B" w:rsidP="005E3885">
      <w:pPr>
        <w:ind w:firstLineChars="200" w:firstLine="480"/>
        <w:rPr>
          <w:lang w:eastAsia="zh-CN"/>
        </w:rPr>
      </w:pPr>
      <w:r w:rsidRPr="0052514B">
        <w:rPr>
          <w:rFonts w:hint="eastAsia"/>
          <w:lang w:eastAsia="zh-CN"/>
        </w:rPr>
        <w:lastRenderedPageBreak/>
        <w:t>因此，非洲成员国正在寻</w:t>
      </w:r>
      <w:r>
        <w:rPr>
          <w:rFonts w:hint="eastAsia"/>
          <w:lang w:eastAsia="zh-CN"/>
        </w:rPr>
        <w:t>求</w:t>
      </w:r>
      <w:r w:rsidRPr="0052514B">
        <w:rPr>
          <w:rFonts w:hint="eastAsia"/>
          <w:lang w:eastAsia="zh-CN"/>
        </w:rPr>
        <w:t>一</w:t>
      </w:r>
      <w:r>
        <w:rPr>
          <w:rFonts w:hint="eastAsia"/>
          <w:lang w:eastAsia="zh-CN"/>
        </w:rPr>
        <w:t>种</w:t>
      </w:r>
      <w:r w:rsidRPr="0052514B">
        <w:rPr>
          <w:rFonts w:hint="eastAsia"/>
          <w:lang w:eastAsia="zh-CN"/>
        </w:rPr>
        <w:t>有助于标准</w:t>
      </w:r>
      <w:r>
        <w:rPr>
          <w:rFonts w:hint="eastAsia"/>
          <w:lang w:eastAsia="zh-CN"/>
        </w:rPr>
        <w:t>指定的</w:t>
      </w:r>
      <w:r w:rsidRPr="0052514B">
        <w:rPr>
          <w:rFonts w:hint="eastAsia"/>
          <w:lang w:eastAsia="zh-CN"/>
        </w:rPr>
        <w:t>ITU-T</w:t>
      </w:r>
      <w:r w:rsidRPr="0052514B">
        <w:rPr>
          <w:rFonts w:hint="eastAsia"/>
          <w:lang w:eastAsia="zh-CN"/>
        </w:rPr>
        <w:t>研究组结构，</w:t>
      </w:r>
      <w:r w:rsidR="00841EE9">
        <w:rPr>
          <w:rFonts w:hint="eastAsia"/>
          <w:lang w:eastAsia="zh-CN"/>
        </w:rPr>
        <w:t>以便</w:t>
      </w:r>
      <w:r w:rsidRPr="0052514B">
        <w:rPr>
          <w:rFonts w:hint="eastAsia"/>
          <w:lang w:eastAsia="zh-CN"/>
        </w:rPr>
        <w:t>有效及时</w:t>
      </w:r>
      <w:r>
        <w:rPr>
          <w:rFonts w:hint="eastAsia"/>
          <w:lang w:eastAsia="zh-CN"/>
        </w:rPr>
        <w:t>地应对</w:t>
      </w:r>
      <w:r w:rsidRPr="0052514B">
        <w:rPr>
          <w:rFonts w:hint="eastAsia"/>
          <w:lang w:eastAsia="zh-CN"/>
        </w:rPr>
        <w:t>发展中国家的关切和需要。</w:t>
      </w:r>
    </w:p>
    <w:p w:rsidR="006E685C" w:rsidRDefault="00ED480B" w:rsidP="00B33186">
      <w:pPr>
        <w:pStyle w:val="Proposal"/>
        <w:rPr>
          <w:lang w:eastAsia="zh-CN"/>
        </w:rPr>
      </w:pPr>
      <w:r>
        <w:rPr>
          <w:lang w:eastAsia="zh-CN"/>
        </w:rPr>
        <w:tab/>
        <w:t>AFCP/42A32/1</w:t>
      </w:r>
    </w:p>
    <w:p w:rsidR="00CA072D" w:rsidRPr="00D95688" w:rsidRDefault="0052514B" w:rsidP="00EA61E1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所有</w:t>
      </w:r>
      <w:r w:rsidRPr="0052514B">
        <w:rPr>
          <w:rFonts w:hint="eastAsia"/>
          <w:lang w:eastAsia="zh-CN"/>
        </w:rPr>
        <w:t>高</w:t>
      </w:r>
      <w:r>
        <w:rPr>
          <w:rFonts w:hint="eastAsia"/>
          <w:lang w:eastAsia="zh-CN"/>
        </w:rPr>
        <w:t>层</w:t>
      </w:r>
      <w:r w:rsidRPr="0052514B">
        <w:rPr>
          <w:rFonts w:hint="eastAsia"/>
          <w:lang w:eastAsia="zh-CN"/>
        </w:rPr>
        <w:t>SG</w:t>
      </w:r>
      <w:r w:rsidRPr="0052514B">
        <w:rPr>
          <w:rFonts w:hint="eastAsia"/>
          <w:lang w:eastAsia="zh-CN"/>
        </w:rPr>
        <w:t>结构原则</w:t>
      </w:r>
      <w:r>
        <w:rPr>
          <w:rFonts w:hint="eastAsia"/>
          <w:lang w:eastAsia="zh-CN"/>
        </w:rPr>
        <w:t>都</w:t>
      </w:r>
      <w:r w:rsidRPr="0052514B">
        <w:rPr>
          <w:rFonts w:hint="eastAsia"/>
          <w:lang w:eastAsia="zh-CN"/>
        </w:rPr>
        <w:t>应</w:t>
      </w:r>
      <w:r>
        <w:rPr>
          <w:rFonts w:hint="eastAsia"/>
          <w:lang w:eastAsia="zh-CN"/>
        </w:rPr>
        <w:t>包括</w:t>
      </w:r>
      <w:r w:rsidRPr="0052514B">
        <w:rPr>
          <w:rFonts w:hint="eastAsia"/>
          <w:lang w:eastAsia="zh-CN"/>
        </w:rPr>
        <w:t>一</w:t>
      </w:r>
      <w:r>
        <w:rPr>
          <w:rFonts w:hint="eastAsia"/>
          <w:lang w:eastAsia="zh-CN"/>
        </w:rPr>
        <w:t>项</w:t>
      </w:r>
      <w:r w:rsidRPr="0052514B">
        <w:rPr>
          <w:rFonts w:hint="eastAsia"/>
          <w:lang w:eastAsia="zh-CN"/>
        </w:rPr>
        <w:t>“协助解决发展中国家的关切和缩小标准化差距”</w:t>
      </w:r>
      <w:r>
        <w:rPr>
          <w:rFonts w:hint="eastAsia"/>
          <w:lang w:eastAsia="zh-CN"/>
        </w:rPr>
        <w:t>的</w:t>
      </w:r>
      <w:r w:rsidRPr="0052514B">
        <w:rPr>
          <w:rFonts w:hint="eastAsia"/>
          <w:lang w:eastAsia="zh-CN"/>
        </w:rPr>
        <w:t>原则，</w:t>
      </w:r>
      <w:r>
        <w:rPr>
          <w:rFonts w:hint="eastAsia"/>
          <w:lang w:eastAsia="zh-CN"/>
        </w:rPr>
        <w:t>具体而言</w:t>
      </w:r>
      <w:r w:rsidRPr="0052514B">
        <w:rPr>
          <w:rFonts w:hint="eastAsia"/>
          <w:lang w:eastAsia="zh-CN"/>
        </w:rPr>
        <w:t>：</w:t>
      </w:r>
    </w:p>
    <w:p w:rsidR="00EA61E1" w:rsidRDefault="00EA61E1" w:rsidP="00EA61E1">
      <w:pPr>
        <w:pStyle w:val="enumlev1"/>
        <w:rPr>
          <w:lang w:val="en-US" w:eastAsia="zh-CN"/>
        </w:rPr>
      </w:pPr>
      <w:r w:rsidRPr="00EA61E1">
        <w:rPr>
          <w:lang w:eastAsia="zh-CN"/>
        </w:rPr>
        <w:t>•</w:t>
      </w:r>
      <w:r>
        <w:rPr>
          <w:lang w:eastAsia="zh-CN"/>
        </w:rPr>
        <w:tab/>
      </w:r>
      <w:r w:rsidR="002F1CAE" w:rsidRPr="00EA61E1">
        <w:rPr>
          <w:rFonts w:hint="eastAsia"/>
          <w:lang w:eastAsia="zh-CN"/>
        </w:rPr>
        <w:t>新的结构应能帮助发展中国家弥合标准化差距，比如</w:t>
      </w:r>
      <w:r w:rsidR="00841EE9" w:rsidRPr="00EA61E1">
        <w:rPr>
          <w:rFonts w:hint="eastAsia"/>
          <w:lang w:eastAsia="zh-CN"/>
        </w:rPr>
        <w:t>确定</w:t>
      </w:r>
      <w:r w:rsidR="002F1CAE" w:rsidRPr="00EA61E1">
        <w:rPr>
          <w:rFonts w:hint="eastAsia"/>
          <w:lang w:eastAsia="zh-CN"/>
        </w:rPr>
        <w:t>有助于促进参与各研究组工作的措施</w:t>
      </w:r>
      <w:r w:rsidR="00577FCE" w:rsidRPr="00EA61E1">
        <w:rPr>
          <w:rFonts w:hint="eastAsia"/>
          <w:lang w:eastAsia="zh-CN"/>
        </w:rPr>
        <w:t>，</w:t>
      </w:r>
      <w:r w:rsidR="002F1CAE" w:rsidRPr="00EA61E1">
        <w:rPr>
          <w:rFonts w:hint="eastAsia"/>
          <w:lang w:eastAsia="zh-CN"/>
        </w:rPr>
        <w:t>包括采用电子工作方式</w:t>
      </w:r>
      <w:r w:rsidR="00577FCE" w:rsidRPr="00EA61E1">
        <w:rPr>
          <w:rFonts w:hint="eastAsia"/>
          <w:lang w:eastAsia="zh-CN"/>
        </w:rPr>
        <w:t>、能力建设、信息共享、技术转让等。</w:t>
      </w:r>
    </w:p>
    <w:p w:rsidR="006E685C" w:rsidRDefault="00EA61E1" w:rsidP="00EA61E1">
      <w:pPr>
        <w:pStyle w:val="enumlev1"/>
        <w:rPr>
          <w:rFonts w:cs="SimSun"/>
          <w:lang w:val="en-US" w:eastAsia="zh-CN"/>
        </w:rPr>
      </w:pPr>
      <w:r w:rsidRPr="00EA61E1">
        <w:rPr>
          <w:lang w:val="en-US" w:eastAsia="zh-CN"/>
        </w:rPr>
        <w:t>•</w:t>
      </w:r>
      <w:r>
        <w:rPr>
          <w:lang w:val="en-US" w:eastAsia="zh-CN"/>
        </w:rPr>
        <w:tab/>
      </w:r>
      <w:r w:rsidR="00577FCE" w:rsidRPr="00841EE9">
        <w:rPr>
          <w:rFonts w:cs="SimSun" w:hint="eastAsia"/>
          <w:lang w:val="en-US" w:eastAsia="zh-CN"/>
        </w:rPr>
        <w:t>新的结构，尤其是那些主管编制</w:t>
      </w:r>
      <w:r w:rsidR="00841EE9" w:rsidRPr="00841EE9">
        <w:rPr>
          <w:rFonts w:cs="SimSun" w:hint="eastAsia"/>
          <w:lang w:val="en-US" w:eastAsia="zh-CN"/>
        </w:rPr>
        <w:t>规则</w:t>
      </w:r>
      <w:r w:rsidR="00577FCE" w:rsidRPr="00841EE9">
        <w:rPr>
          <w:rFonts w:cs="SimSun" w:hint="eastAsia"/>
          <w:lang w:val="en-US" w:eastAsia="zh-CN"/>
        </w:rPr>
        <w:t>性建议书的研究组，应该考虑到发展中国家的关切。</w:t>
      </w:r>
    </w:p>
    <w:p w:rsidR="00CE7B76" w:rsidRDefault="00CE7B76" w:rsidP="00CE7B76">
      <w:pPr>
        <w:pStyle w:val="Reasons"/>
        <w:rPr>
          <w:lang w:val="en-US" w:eastAsia="zh-CN"/>
        </w:rPr>
      </w:pPr>
    </w:p>
    <w:p w:rsidR="00CE7B76" w:rsidRPr="005610B3" w:rsidRDefault="00CE7B76" w:rsidP="00D23397">
      <w:pPr>
        <w:pStyle w:val="Heading2"/>
        <w:rPr>
          <w:lang w:eastAsia="zh-CN"/>
        </w:rPr>
      </w:pPr>
      <w:r w:rsidRPr="005610B3">
        <w:rPr>
          <w:lang w:eastAsia="zh-CN"/>
        </w:rPr>
        <w:t>2.2</w:t>
      </w:r>
      <w:r w:rsidRPr="005610B3">
        <w:rPr>
          <w:lang w:eastAsia="zh-CN"/>
        </w:rPr>
        <w:tab/>
      </w:r>
      <w:r w:rsidR="00D23397" w:rsidRPr="00D23397">
        <w:rPr>
          <w:rFonts w:hint="eastAsia"/>
          <w:lang w:eastAsia="zh-CN"/>
        </w:rPr>
        <w:t>电信标准化局有关</w:t>
      </w:r>
      <w:r w:rsidR="00D23397" w:rsidRPr="00D23397">
        <w:rPr>
          <w:rFonts w:hint="eastAsia"/>
          <w:lang w:eastAsia="zh-CN"/>
        </w:rPr>
        <w:t>ITU-T</w:t>
      </w:r>
      <w:r w:rsidR="00D23397" w:rsidRPr="00D23397">
        <w:rPr>
          <w:rFonts w:hint="eastAsia"/>
          <w:lang w:eastAsia="zh-CN"/>
        </w:rPr>
        <w:t>结构重组的考虑</w:t>
      </w:r>
    </w:p>
    <w:p w:rsidR="002E0119" w:rsidRDefault="00577FCE" w:rsidP="002E0119">
      <w:pPr>
        <w:ind w:firstLineChars="200" w:firstLine="480"/>
        <w:rPr>
          <w:lang w:val="en" w:eastAsia="zh-CN"/>
        </w:rPr>
      </w:pPr>
      <w:r>
        <w:rPr>
          <w:rFonts w:hint="eastAsia"/>
          <w:lang w:val="en" w:eastAsia="zh-CN"/>
        </w:rPr>
        <w:t>电信</w:t>
      </w:r>
      <w:r>
        <w:rPr>
          <w:rFonts w:asciiTheme="minorEastAsia" w:eastAsiaTheme="minorEastAsia" w:hAnsiTheme="minorEastAsia" w:hint="eastAsia"/>
          <w:lang w:val="en" w:eastAsia="zh-CN"/>
        </w:rPr>
        <w:t>标准化局主任</w:t>
      </w:r>
      <w:r>
        <w:rPr>
          <w:rFonts w:hint="eastAsia"/>
          <w:lang w:val="en" w:eastAsia="zh-CN"/>
        </w:rPr>
        <w:t>认为</w:t>
      </w:r>
      <w:r w:rsidRPr="00577FCE">
        <w:rPr>
          <w:rFonts w:hint="eastAsia"/>
          <w:lang w:val="en" w:eastAsia="zh-CN"/>
        </w:rPr>
        <w:t>，</w:t>
      </w:r>
      <w:r w:rsidR="00E9039D" w:rsidRPr="00577FCE">
        <w:rPr>
          <w:rFonts w:hint="eastAsia"/>
          <w:lang w:val="en" w:eastAsia="zh-CN"/>
        </w:rPr>
        <w:t>ITU-T</w:t>
      </w:r>
      <w:r w:rsidR="00E9039D" w:rsidRPr="00577FCE">
        <w:rPr>
          <w:rFonts w:hint="eastAsia"/>
          <w:lang w:val="en" w:eastAsia="zh-CN"/>
        </w:rPr>
        <w:t>的</w:t>
      </w:r>
      <w:r w:rsidRPr="00577FCE">
        <w:rPr>
          <w:rFonts w:hint="eastAsia"/>
          <w:lang w:val="en" w:eastAsia="zh-CN"/>
        </w:rPr>
        <w:t>现有工作</w:t>
      </w:r>
      <w:r w:rsidR="00E9039D">
        <w:rPr>
          <w:rFonts w:hint="eastAsia"/>
          <w:lang w:val="en" w:eastAsia="zh-CN"/>
        </w:rPr>
        <w:t>并不具有</w:t>
      </w:r>
      <w:r w:rsidR="00E9039D" w:rsidRPr="00577FCE">
        <w:rPr>
          <w:rFonts w:hint="eastAsia"/>
          <w:lang w:val="en" w:eastAsia="zh-CN"/>
        </w:rPr>
        <w:t>行业和市场解决方案</w:t>
      </w:r>
      <w:r w:rsidR="00E9039D">
        <w:rPr>
          <w:rFonts w:hint="eastAsia"/>
          <w:lang w:val="en" w:eastAsia="zh-CN"/>
        </w:rPr>
        <w:t>针对性</w:t>
      </w:r>
      <w:r w:rsidRPr="00577FCE">
        <w:rPr>
          <w:rFonts w:hint="eastAsia"/>
          <w:lang w:val="en" w:eastAsia="zh-CN"/>
        </w:rPr>
        <w:t>。因此，</w:t>
      </w:r>
      <w:r w:rsidR="00E9039D" w:rsidRPr="00577FCE">
        <w:rPr>
          <w:rFonts w:hint="eastAsia"/>
          <w:lang w:val="en" w:eastAsia="zh-CN"/>
        </w:rPr>
        <w:t>他建议</w:t>
      </w:r>
      <w:r w:rsidR="00E9039D">
        <w:rPr>
          <w:rFonts w:hint="eastAsia"/>
          <w:lang w:val="en" w:eastAsia="zh-CN"/>
        </w:rPr>
        <w:t>通过各组</w:t>
      </w:r>
      <w:r w:rsidRPr="00577FCE">
        <w:rPr>
          <w:rFonts w:hint="eastAsia"/>
          <w:lang w:val="en" w:eastAsia="zh-CN"/>
        </w:rPr>
        <w:t>和研究组</w:t>
      </w:r>
      <w:r w:rsidR="00E9039D">
        <w:rPr>
          <w:rFonts w:hint="eastAsia"/>
          <w:lang w:val="en" w:eastAsia="zh-CN"/>
        </w:rPr>
        <w:t>的</w:t>
      </w:r>
      <w:r w:rsidR="00E9039D" w:rsidRPr="00577FCE">
        <w:rPr>
          <w:rFonts w:hint="eastAsia"/>
          <w:lang w:val="en" w:eastAsia="zh-CN"/>
        </w:rPr>
        <w:t>重组</w:t>
      </w:r>
      <w:r w:rsidR="00E9039D">
        <w:rPr>
          <w:rFonts w:hint="eastAsia"/>
          <w:lang w:val="en" w:eastAsia="zh-CN"/>
        </w:rPr>
        <w:t>纠正</w:t>
      </w:r>
      <w:r w:rsidRPr="00577FCE">
        <w:rPr>
          <w:rFonts w:hint="eastAsia"/>
          <w:lang w:val="en" w:eastAsia="zh-CN"/>
        </w:rPr>
        <w:t>这种情况</w:t>
      </w:r>
      <w:r w:rsidR="00E9039D">
        <w:rPr>
          <w:rFonts w:hint="eastAsia"/>
          <w:lang w:val="en" w:eastAsia="zh-CN"/>
        </w:rPr>
        <w:t>，提高</w:t>
      </w:r>
      <w:r w:rsidRPr="00577FCE">
        <w:rPr>
          <w:rFonts w:hint="eastAsia"/>
          <w:lang w:val="en" w:eastAsia="zh-CN"/>
        </w:rPr>
        <w:t>ITU-T</w:t>
      </w:r>
      <w:r w:rsidRPr="00577FCE">
        <w:rPr>
          <w:rFonts w:hint="eastAsia"/>
          <w:lang w:val="en" w:eastAsia="zh-CN"/>
        </w:rPr>
        <w:t>的运作效率。</w:t>
      </w:r>
    </w:p>
    <w:p w:rsidR="00CA072D" w:rsidRPr="00D95688" w:rsidRDefault="00E9039D" w:rsidP="002E0119">
      <w:pPr>
        <w:ind w:firstLineChars="200" w:firstLine="480"/>
        <w:rPr>
          <w:lang w:val="en" w:eastAsia="zh-CN"/>
        </w:rPr>
      </w:pPr>
      <w:r w:rsidRPr="00E9039D">
        <w:rPr>
          <w:rFonts w:hint="eastAsia"/>
          <w:lang w:val="en" w:eastAsia="zh-CN"/>
        </w:rPr>
        <w:t>为此，他</w:t>
      </w:r>
      <w:r>
        <w:rPr>
          <w:rFonts w:hint="eastAsia"/>
          <w:lang w:val="en" w:eastAsia="zh-CN"/>
        </w:rPr>
        <w:t>建议根据其运作的</w:t>
      </w:r>
      <w:r w:rsidRPr="00E9039D">
        <w:rPr>
          <w:rFonts w:hint="eastAsia"/>
          <w:lang w:val="en" w:eastAsia="zh-CN"/>
        </w:rPr>
        <w:t>电信</w:t>
      </w:r>
      <w:r>
        <w:rPr>
          <w:rFonts w:hint="eastAsia"/>
          <w:lang w:val="en" w:eastAsia="zh-CN"/>
        </w:rPr>
        <w:t>领域，将</w:t>
      </w:r>
      <w:r w:rsidRPr="00E9039D">
        <w:rPr>
          <w:rFonts w:hint="eastAsia"/>
          <w:lang w:val="en" w:eastAsia="zh-CN"/>
        </w:rPr>
        <w:t>研究组的数量减</w:t>
      </w:r>
      <w:r>
        <w:rPr>
          <w:rFonts w:hint="eastAsia"/>
          <w:lang w:val="en" w:eastAsia="zh-CN"/>
        </w:rPr>
        <w:t>至</w:t>
      </w:r>
      <w:r w:rsidRPr="00E9039D">
        <w:rPr>
          <w:rFonts w:hint="eastAsia"/>
          <w:lang w:val="en" w:eastAsia="zh-CN"/>
        </w:rPr>
        <w:t>四个。</w:t>
      </w:r>
      <w:r w:rsidR="0086170C" w:rsidRPr="0086170C">
        <w:rPr>
          <w:lang w:val="en" w:eastAsia="zh-CN"/>
        </w:rPr>
        <w:t>建议成立</w:t>
      </w:r>
      <w:r w:rsidR="0086170C" w:rsidRPr="0086170C">
        <w:rPr>
          <w:rFonts w:hint="eastAsia"/>
          <w:lang w:val="en" w:eastAsia="zh-CN"/>
        </w:rPr>
        <w:t>：</w:t>
      </w:r>
      <w:r w:rsidR="00CA072D" w:rsidRPr="00D95688">
        <w:rPr>
          <w:lang w:val="en" w:eastAsia="zh-CN"/>
        </w:rPr>
        <w:t xml:space="preserve"> </w:t>
      </w:r>
    </w:p>
    <w:p w:rsidR="00CA072D" w:rsidRPr="0012561E" w:rsidRDefault="0012561E" w:rsidP="0012561E">
      <w:pPr>
        <w:pStyle w:val="enumlev1"/>
        <w:rPr>
          <w:lang w:val="en" w:eastAsia="zh-CN"/>
        </w:rPr>
      </w:pPr>
      <w:r w:rsidRPr="00EA61E1">
        <w:rPr>
          <w:lang w:eastAsia="zh-CN"/>
        </w:rPr>
        <w:t>•</w:t>
      </w:r>
      <w:r>
        <w:rPr>
          <w:lang w:eastAsia="zh-CN"/>
        </w:rPr>
        <w:tab/>
      </w:r>
      <w:r w:rsidR="0086170C" w:rsidRPr="0012561E">
        <w:rPr>
          <w:rFonts w:hint="eastAsia"/>
          <w:lang w:val="en" w:eastAsia="zh-CN"/>
        </w:rPr>
        <w:t>负责</w:t>
      </w:r>
      <w:r w:rsidR="0086170C" w:rsidRPr="0012561E">
        <w:rPr>
          <w:lang w:val="en" w:eastAsia="zh-CN"/>
        </w:rPr>
        <w:t>运</w:t>
      </w:r>
      <w:r w:rsidR="00A85AE1" w:rsidRPr="0012561E">
        <w:rPr>
          <w:rFonts w:hint="eastAsia"/>
          <w:lang w:val="en" w:eastAsia="zh-CN"/>
        </w:rPr>
        <w:t>营</w:t>
      </w:r>
      <w:r w:rsidR="0086170C" w:rsidRPr="0012561E">
        <w:rPr>
          <w:lang w:val="en" w:eastAsia="zh-CN"/>
        </w:rPr>
        <w:t>、政策和规则的研究组</w:t>
      </w:r>
      <w:r w:rsidR="0086170C" w:rsidRPr="0012561E">
        <w:rPr>
          <w:rFonts w:hint="eastAsia"/>
          <w:lang w:val="en" w:eastAsia="zh-CN"/>
        </w:rPr>
        <w:t>（</w:t>
      </w:r>
      <w:r>
        <w:rPr>
          <w:lang w:val="en" w:eastAsia="zh-CN"/>
        </w:rPr>
        <w:t>SG2</w:t>
      </w:r>
      <w:r w:rsidR="0086170C" w:rsidRPr="0012561E">
        <w:rPr>
          <w:rFonts w:hint="eastAsia"/>
          <w:lang w:val="en" w:eastAsia="zh-CN"/>
        </w:rPr>
        <w:t>和</w:t>
      </w:r>
      <w:r w:rsidR="0086170C" w:rsidRPr="0012561E">
        <w:rPr>
          <w:lang w:val="en" w:eastAsia="zh-CN"/>
        </w:rPr>
        <w:t>SG3</w:t>
      </w:r>
      <w:r w:rsidR="0086170C" w:rsidRPr="0012561E">
        <w:rPr>
          <w:rFonts w:hint="eastAsia"/>
          <w:lang w:val="en" w:eastAsia="zh-CN"/>
        </w:rPr>
        <w:t>）；</w:t>
      </w:r>
    </w:p>
    <w:p w:rsidR="00CA072D" w:rsidRPr="0012561E" w:rsidRDefault="0012561E" w:rsidP="00F470D4">
      <w:pPr>
        <w:pStyle w:val="enumlev1"/>
        <w:rPr>
          <w:lang w:val="en" w:eastAsia="zh-CN"/>
        </w:rPr>
      </w:pPr>
      <w:r w:rsidRPr="00EA61E1">
        <w:rPr>
          <w:lang w:eastAsia="zh-CN"/>
        </w:rPr>
        <w:t>•</w:t>
      </w:r>
      <w:r>
        <w:rPr>
          <w:lang w:eastAsia="zh-CN"/>
        </w:rPr>
        <w:tab/>
      </w:r>
      <w:r w:rsidR="0086170C" w:rsidRPr="0012561E">
        <w:rPr>
          <w:lang w:val="en" w:eastAsia="zh-CN"/>
        </w:rPr>
        <w:t>负责现行</w:t>
      </w:r>
      <w:r w:rsidR="0086170C" w:rsidRPr="0012561E">
        <w:rPr>
          <w:rFonts w:hint="eastAsia"/>
          <w:lang w:val="en" w:eastAsia="zh-CN"/>
        </w:rPr>
        <w:t>职能</w:t>
      </w:r>
      <w:r w:rsidR="0086170C" w:rsidRPr="0012561E">
        <w:rPr>
          <w:lang w:val="en" w:eastAsia="zh-CN"/>
        </w:rPr>
        <w:t>的研究组</w:t>
      </w:r>
      <w:r w:rsidR="0086170C" w:rsidRPr="0012561E">
        <w:rPr>
          <w:rFonts w:hint="eastAsia"/>
          <w:lang w:val="en" w:eastAsia="zh-CN"/>
        </w:rPr>
        <w:t>（</w:t>
      </w:r>
      <w:r w:rsidR="0086170C" w:rsidRPr="0012561E">
        <w:rPr>
          <w:lang w:val="en" w:eastAsia="zh-CN"/>
        </w:rPr>
        <w:t>SG5</w:t>
      </w:r>
      <w:r w:rsidR="0086170C" w:rsidRPr="0012561E">
        <w:rPr>
          <w:rFonts w:hint="eastAsia"/>
          <w:lang w:val="en" w:eastAsia="zh-CN"/>
        </w:rPr>
        <w:t>、</w:t>
      </w:r>
      <w:r w:rsidR="0086170C" w:rsidRPr="0012561E">
        <w:rPr>
          <w:lang w:val="en" w:eastAsia="zh-CN"/>
        </w:rPr>
        <w:t>SG12</w:t>
      </w:r>
      <w:r w:rsidR="0086170C" w:rsidRPr="0012561E">
        <w:rPr>
          <w:rFonts w:hint="eastAsia"/>
          <w:lang w:val="en" w:eastAsia="zh-CN"/>
        </w:rPr>
        <w:t>和</w:t>
      </w:r>
      <w:r w:rsidR="0086170C" w:rsidRPr="0012561E">
        <w:rPr>
          <w:lang w:val="en" w:eastAsia="zh-CN"/>
        </w:rPr>
        <w:t>SG17</w:t>
      </w:r>
      <w:r w:rsidR="0086170C" w:rsidRPr="0012561E">
        <w:rPr>
          <w:rFonts w:hint="eastAsia"/>
          <w:lang w:val="en" w:eastAsia="zh-CN"/>
        </w:rPr>
        <w:t>）</w:t>
      </w:r>
      <w:r w:rsidR="00A85AE1" w:rsidRPr="0012561E">
        <w:rPr>
          <w:rFonts w:hint="eastAsia"/>
          <w:lang w:val="en" w:eastAsia="zh-CN"/>
        </w:rPr>
        <w:t>；</w:t>
      </w:r>
    </w:p>
    <w:p w:rsidR="00CA072D" w:rsidRPr="0012561E" w:rsidRDefault="0012561E" w:rsidP="0012561E">
      <w:pPr>
        <w:pStyle w:val="enumlev1"/>
        <w:rPr>
          <w:lang w:val="en" w:eastAsia="zh-CN"/>
        </w:rPr>
      </w:pPr>
      <w:r w:rsidRPr="00EA61E1">
        <w:rPr>
          <w:lang w:eastAsia="zh-CN"/>
        </w:rPr>
        <w:t>•</w:t>
      </w:r>
      <w:r>
        <w:rPr>
          <w:lang w:eastAsia="zh-CN"/>
        </w:rPr>
        <w:tab/>
      </w:r>
      <w:r w:rsidR="0086170C" w:rsidRPr="0012561E">
        <w:rPr>
          <w:lang w:val="en" w:eastAsia="zh-CN"/>
        </w:rPr>
        <w:t>负责服务和应用的研究组</w:t>
      </w:r>
      <w:r w:rsidR="0086170C" w:rsidRPr="0012561E">
        <w:rPr>
          <w:rFonts w:hint="eastAsia"/>
          <w:lang w:val="en" w:eastAsia="zh-CN"/>
        </w:rPr>
        <w:t>（</w:t>
      </w:r>
      <w:r w:rsidR="0086170C" w:rsidRPr="0012561E">
        <w:rPr>
          <w:lang w:val="en" w:eastAsia="zh-CN"/>
        </w:rPr>
        <w:t>SG9</w:t>
      </w:r>
      <w:r w:rsidR="0086170C" w:rsidRPr="0012561E">
        <w:rPr>
          <w:rFonts w:hint="eastAsia"/>
          <w:lang w:val="en" w:eastAsia="zh-CN"/>
        </w:rPr>
        <w:t>、</w:t>
      </w:r>
      <w:r>
        <w:rPr>
          <w:lang w:val="en" w:eastAsia="zh-CN"/>
        </w:rPr>
        <w:t>SG16</w:t>
      </w:r>
      <w:r w:rsidR="0086170C" w:rsidRPr="0012561E">
        <w:rPr>
          <w:rFonts w:hint="eastAsia"/>
          <w:lang w:val="en" w:eastAsia="zh-CN"/>
        </w:rPr>
        <w:t>和</w:t>
      </w:r>
      <w:r w:rsidR="0086170C" w:rsidRPr="0012561E">
        <w:rPr>
          <w:lang w:val="en" w:eastAsia="zh-CN"/>
        </w:rPr>
        <w:t>SG20</w:t>
      </w:r>
      <w:r w:rsidR="0086170C" w:rsidRPr="0012561E">
        <w:rPr>
          <w:rFonts w:hint="eastAsia"/>
          <w:lang w:val="en" w:eastAsia="zh-CN"/>
        </w:rPr>
        <w:t>）</w:t>
      </w:r>
      <w:r w:rsidR="00A85AE1" w:rsidRPr="0012561E">
        <w:rPr>
          <w:rFonts w:hint="eastAsia"/>
          <w:lang w:val="en" w:eastAsia="zh-CN"/>
        </w:rPr>
        <w:t>；</w:t>
      </w:r>
    </w:p>
    <w:p w:rsidR="00CA072D" w:rsidRPr="0012561E" w:rsidRDefault="0012561E" w:rsidP="00F470D4">
      <w:pPr>
        <w:pStyle w:val="enumlev1"/>
        <w:rPr>
          <w:lang w:val="en" w:eastAsia="zh-CN"/>
        </w:rPr>
      </w:pPr>
      <w:r w:rsidRPr="00EA61E1">
        <w:rPr>
          <w:lang w:eastAsia="zh-CN"/>
        </w:rPr>
        <w:t>•</w:t>
      </w:r>
      <w:r>
        <w:rPr>
          <w:lang w:eastAsia="zh-CN"/>
        </w:rPr>
        <w:tab/>
      </w:r>
      <w:r w:rsidR="0086170C" w:rsidRPr="0012561E">
        <w:rPr>
          <w:lang w:val="en" w:eastAsia="zh-CN"/>
        </w:rPr>
        <w:t>主管基础设施的研究组</w:t>
      </w:r>
      <w:r w:rsidR="0086170C" w:rsidRPr="0012561E">
        <w:rPr>
          <w:rFonts w:hint="eastAsia"/>
          <w:lang w:val="en" w:eastAsia="zh-CN"/>
        </w:rPr>
        <w:t>（</w:t>
      </w:r>
      <w:r w:rsidR="009F1035">
        <w:rPr>
          <w:lang w:val="en" w:eastAsia="zh-CN"/>
        </w:rPr>
        <w:t>SG</w:t>
      </w:r>
      <w:r>
        <w:rPr>
          <w:lang w:val="en" w:eastAsia="zh-CN"/>
        </w:rPr>
        <w:t>11</w:t>
      </w:r>
      <w:r w:rsidR="00F470D4">
        <w:rPr>
          <w:rFonts w:hint="eastAsia"/>
          <w:lang w:val="en" w:eastAsia="zh-CN"/>
        </w:rPr>
        <w:t>、</w:t>
      </w:r>
      <w:r>
        <w:rPr>
          <w:lang w:val="en" w:eastAsia="zh-CN"/>
        </w:rPr>
        <w:t>SG13</w:t>
      </w:r>
      <w:r w:rsidR="00A85AE1" w:rsidRPr="0012561E">
        <w:rPr>
          <w:rFonts w:hint="eastAsia"/>
          <w:lang w:val="en" w:eastAsia="zh-CN"/>
        </w:rPr>
        <w:t>和</w:t>
      </w:r>
      <w:r w:rsidR="0086170C" w:rsidRPr="0012561E">
        <w:rPr>
          <w:lang w:val="en" w:eastAsia="zh-CN"/>
        </w:rPr>
        <w:t>SG15</w:t>
      </w:r>
      <w:r w:rsidR="0086170C" w:rsidRPr="0012561E">
        <w:rPr>
          <w:rFonts w:hint="eastAsia"/>
          <w:lang w:val="en" w:eastAsia="zh-CN"/>
        </w:rPr>
        <w:t>）</w:t>
      </w:r>
      <w:r w:rsidR="00A85AE1" w:rsidRPr="0012561E">
        <w:rPr>
          <w:rFonts w:hint="eastAsia"/>
          <w:lang w:val="en" w:eastAsia="zh-CN"/>
        </w:rPr>
        <w:t>。</w:t>
      </w:r>
    </w:p>
    <w:p w:rsidR="0047080C" w:rsidRDefault="0086170C" w:rsidP="0047080C">
      <w:pPr>
        <w:ind w:firstLineChars="200" w:firstLine="480"/>
        <w:rPr>
          <w:color w:val="222222"/>
          <w:lang w:val="en" w:eastAsia="zh-CN"/>
        </w:rPr>
      </w:pPr>
      <w:r w:rsidRPr="0086170C">
        <w:rPr>
          <w:rFonts w:hint="eastAsia"/>
          <w:color w:val="222222"/>
          <w:lang w:val="en" w:eastAsia="zh-CN"/>
        </w:rPr>
        <w:t>非洲成员国原则</w:t>
      </w:r>
      <w:r w:rsidR="003C7558">
        <w:rPr>
          <w:rFonts w:hint="eastAsia"/>
          <w:color w:val="222222"/>
          <w:lang w:val="en" w:eastAsia="zh-CN"/>
        </w:rPr>
        <w:t>上</w:t>
      </w:r>
      <w:r w:rsidRPr="0086170C">
        <w:rPr>
          <w:rFonts w:hint="eastAsia"/>
          <w:color w:val="222222"/>
          <w:lang w:val="en" w:eastAsia="zh-CN"/>
        </w:rPr>
        <w:t>支持</w:t>
      </w:r>
      <w:r w:rsidR="003C7558">
        <w:rPr>
          <w:rFonts w:hint="eastAsia"/>
          <w:color w:val="222222"/>
          <w:lang w:val="en" w:eastAsia="zh-CN"/>
        </w:rPr>
        <w:t>电信标准化局</w:t>
      </w:r>
      <w:r w:rsidR="003C7558" w:rsidRPr="0086170C">
        <w:rPr>
          <w:rFonts w:hint="eastAsia"/>
          <w:color w:val="222222"/>
          <w:lang w:val="en" w:eastAsia="zh-CN"/>
        </w:rPr>
        <w:t>提出</w:t>
      </w:r>
      <w:r w:rsidR="003C7558">
        <w:rPr>
          <w:rFonts w:hint="eastAsia"/>
          <w:color w:val="222222"/>
          <w:lang w:val="en" w:eastAsia="zh-CN"/>
        </w:rPr>
        <w:t>的</w:t>
      </w:r>
      <w:r w:rsidR="003C7558" w:rsidRPr="0086170C">
        <w:rPr>
          <w:rFonts w:hint="eastAsia"/>
          <w:color w:val="222222"/>
          <w:lang w:val="en" w:eastAsia="zh-CN"/>
        </w:rPr>
        <w:t>重组</w:t>
      </w:r>
      <w:r w:rsidR="003C7558">
        <w:rPr>
          <w:rFonts w:hint="eastAsia"/>
          <w:color w:val="222222"/>
          <w:lang w:val="en" w:eastAsia="zh-CN"/>
        </w:rPr>
        <w:t>方案</w:t>
      </w:r>
      <w:r w:rsidRPr="0086170C">
        <w:rPr>
          <w:rFonts w:hint="eastAsia"/>
          <w:color w:val="222222"/>
          <w:lang w:val="en" w:eastAsia="zh-CN"/>
        </w:rPr>
        <w:t>。基于这些原则，</w:t>
      </w:r>
      <w:r w:rsidR="003C7558" w:rsidRPr="0086170C">
        <w:rPr>
          <w:rFonts w:hint="eastAsia"/>
          <w:color w:val="222222"/>
          <w:lang w:val="en" w:eastAsia="zh-CN"/>
        </w:rPr>
        <w:t>减少研究组的数量</w:t>
      </w:r>
      <w:r w:rsidRPr="0086170C">
        <w:rPr>
          <w:rFonts w:hint="eastAsia"/>
          <w:color w:val="222222"/>
          <w:lang w:val="en" w:eastAsia="zh-CN"/>
        </w:rPr>
        <w:t>可以</w:t>
      </w:r>
      <w:r w:rsidR="003C7558">
        <w:rPr>
          <w:rFonts w:hint="eastAsia"/>
          <w:color w:val="222222"/>
          <w:lang w:val="en" w:eastAsia="zh-CN"/>
        </w:rPr>
        <w:t>提高效率</w:t>
      </w:r>
      <w:r w:rsidRPr="0086170C">
        <w:rPr>
          <w:rFonts w:hint="eastAsia"/>
          <w:color w:val="222222"/>
          <w:lang w:val="en" w:eastAsia="zh-CN"/>
        </w:rPr>
        <w:t>。这将：</w:t>
      </w:r>
    </w:p>
    <w:p w:rsidR="00CA072D" w:rsidRPr="0047080C" w:rsidRDefault="0047080C" w:rsidP="0047080C">
      <w:pPr>
        <w:pStyle w:val="enumlev1"/>
        <w:rPr>
          <w:lang w:val="en" w:eastAsia="zh-CN"/>
        </w:rPr>
      </w:pPr>
      <w:r w:rsidRPr="00EA61E1">
        <w:rPr>
          <w:lang w:eastAsia="zh-CN"/>
        </w:rPr>
        <w:t>•</w:t>
      </w:r>
      <w:r>
        <w:rPr>
          <w:lang w:eastAsia="zh-CN"/>
        </w:rPr>
        <w:tab/>
      </w:r>
      <w:r w:rsidR="003C7558" w:rsidRPr="003C7558">
        <w:rPr>
          <w:rFonts w:hint="eastAsia"/>
          <w:lang w:val="en" w:eastAsia="zh-CN"/>
        </w:rPr>
        <w:t>促进</w:t>
      </w:r>
      <w:r w:rsidR="003C7558" w:rsidRPr="003C7558">
        <w:rPr>
          <w:rFonts w:hint="eastAsia"/>
          <w:lang w:val="en" w:eastAsia="zh-CN"/>
        </w:rPr>
        <w:t>ITU-T</w:t>
      </w:r>
      <w:r w:rsidR="003C7558">
        <w:rPr>
          <w:rFonts w:hint="eastAsia"/>
          <w:lang w:val="en" w:eastAsia="zh-CN"/>
        </w:rPr>
        <w:t>各组间</w:t>
      </w:r>
      <w:r w:rsidR="003C7558" w:rsidRPr="003C7558">
        <w:rPr>
          <w:rFonts w:hint="eastAsia"/>
          <w:lang w:val="en" w:eastAsia="zh-CN"/>
        </w:rPr>
        <w:t>的合作</w:t>
      </w:r>
      <w:r w:rsidR="003C7558">
        <w:rPr>
          <w:rFonts w:hint="eastAsia"/>
          <w:lang w:val="en" w:eastAsia="zh-CN"/>
        </w:rPr>
        <w:t>，并适当地</w:t>
      </w:r>
      <w:r w:rsidR="003C7558" w:rsidRPr="003C7558">
        <w:rPr>
          <w:rFonts w:hint="eastAsia"/>
          <w:lang w:val="en" w:eastAsia="zh-CN"/>
        </w:rPr>
        <w:t>减少与其他标准化组织</w:t>
      </w:r>
      <w:r w:rsidR="00A85AE1">
        <w:rPr>
          <w:rFonts w:hint="eastAsia"/>
          <w:lang w:val="en" w:eastAsia="zh-CN"/>
        </w:rPr>
        <w:t>的</w:t>
      </w:r>
      <w:r w:rsidR="003C7558" w:rsidRPr="003C7558">
        <w:rPr>
          <w:rFonts w:hint="eastAsia"/>
          <w:lang w:val="en" w:eastAsia="zh-CN"/>
        </w:rPr>
        <w:t>通信</w:t>
      </w:r>
      <w:r w:rsidR="003C7558">
        <w:rPr>
          <w:rFonts w:hint="eastAsia"/>
          <w:lang w:val="en" w:eastAsia="zh-CN"/>
        </w:rPr>
        <w:t>往来</w:t>
      </w:r>
      <w:r w:rsidR="003C7558" w:rsidRPr="003C7558">
        <w:rPr>
          <w:rFonts w:hint="eastAsia"/>
          <w:lang w:val="en" w:eastAsia="zh-CN"/>
        </w:rPr>
        <w:t>；</w:t>
      </w:r>
    </w:p>
    <w:p w:rsidR="00CA072D" w:rsidRPr="0047080C" w:rsidRDefault="0047080C" w:rsidP="0047080C">
      <w:pPr>
        <w:pStyle w:val="enumlev1"/>
        <w:rPr>
          <w:lang w:val="en" w:eastAsia="zh-CN"/>
        </w:rPr>
      </w:pPr>
      <w:r w:rsidRPr="00EA61E1">
        <w:rPr>
          <w:lang w:eastAsia="zh-CN"/>
        </w:rPr>
        <w:t>•</w:t>
      </w:r>
      <w:r>
        <w:rPr>
          <w:lang w:eastAsia="zh-CN"/>
        </w:rPr>
        <w:tab/>
      </w:r>
      <w:r w:rsidR="003C7558" w:rsidRPr="0047080C">
        <w:rPr>
          <w:lang w:val="en" w:eastAsia="zh-CN"/>
        </w:rPr>
        <w:t>避免重复工作</w:t>
      </w:r>
      <w:r w:rsidR="003C7558" w:rsidRPr="0047080C">
        <w:rPr>
          <w:rFonts w:hint="eastAsia"/>
          <w:lang w:val="en" w:eastAsia="zh-CN"/>
        </w:rPr>
        <w:t>；</w:t>
      </w:r>
    </w:p>
    <w:p w:rsidR="00CA072D" w:rsidRPr="0047080C" w:rsidRDefault="0047080C" w:rsidP="0047080C">
      <w:pPr>
        <w:pStyle w:val="enumlev1"/>
        <w:rPr>
          <w:lang w:val="en" w:eastAsia="zh-CN"/>
        </w:rPr>
      </w:pPr>
      <w:r w:rsidRPr="00EA61E1">
        <w:rPr>
          <w:lang w:eastAsia="zh-CN"/>
        </w:rPr>
        <w:t>•</w:t>
      </w:r>
      <w:r>
        <w:rPr>
          <w:lang w:eastAsia="zh-CN"/>
        </w:rPr>
        <w:tab/>
      </w:r>
      <w:r w:rsidR="003C7558" w:rsidRPr="0047080C">
        <w:rPr>
          <w:lang w:val="en" w:eastAsia="zh-CN"/>
        </w:rPr>
        <w:t>方便专家参与各</w:t>
      </w:r>
      <w:r w:rsidR="00A85AE1" w:rsidRPr="0047080C">
        <w:rPr>
          <w:rFonts w:hint="eastAsia"/>
          <w:lang w:val="en" w:eastAsia="zh-CN"/>
        </w:rPr>
        <w:t>项</w:t>
      </w:r>
      <w:r w:rsidR="003C7558" w:rsidRPr="0047080C">
        <w:rPr>
          <w:lang w:val="en" w:eastAsia="zh-CN"/>
        </w:rPr>
        <w:t>议题的工作</w:t>
      </w:r>
      <w:r w:rsidR="003C7558" w:rsidRPr="0047080C">
        <w:rPr>
          <w:rFonts w:hint="eastAsia"/>
          <w:lang w:val="en" w:eastAsia="zh-CN"/>
        </w:rPr>
        <w:t>；</w:t>
      </w:r>
    </w:p>
    <w:p w:rsidR="00CA072D" w:rsidRPr="0047080C" w:rsidRDefault="0047080C" w:rsidP="0047080C">
      <w:pPr>
        <w:pStyle w:val="enumlev1"/>
        <w:rPr>
          <w:lang w:val="en" w:eastAsia="zh-CN"/>
        </w:rPr>
      </w:pPr>
      <w:r w:rsidRPr="00EA61E1">
        <w:rPr>
          <w:lang w:eastAsia="zh-CN"/>
        </w:rPr>
        <w:t>•</w:t>
      </w:r>
      <w:r>
        <w:rPr>
          <w:lang w:eastAsia="zh-CN"/>
        </w:rPr>
        <w:tab/>
      </w:r>
      <w:r w:rsidR="003C7558" w:rsidRPr="0047080C">
        <w:rPr>
          <w:lang w:val="en" w:eastAsia="zh-CN"/>
        </w:rPr>
        <w:t>优化研究组预算管理</w:t>
      </w:r>
      <w:r w:rsidR="003C7558" w:rsidRPr="0047080C">
        <w:rPr>
          <w:rFonts w:hint="eastAsia"/>
          <w:lang w:val="en" w:eastAsia="zh-CN"/>
        </w:rPr>
        <w:t>；</w:t>
      </w:r>
      <w:r w:rsidR="003C7558" w:rsidRPr="0047080C">
        <w:rPr>
          <w:lang w:val="en" w:eastAsia="zh-CN"/>
        </w:rPr>
        <w:t>等等</w:t>
      </w:r>
      <w:r w:rsidR="003C7558" w:rsidRPr="0047080C">
        <w:rPr>
          <w:rFonts w:hint="eastAsia"/>
          <w:lang w:val="en" w:eastAsia="zh-CN"/>
        </w:rPr>
        <w:t>。</w:t>
      </w:r>
    </w:p>
    <w:p w:rsidR="00CA072D" w:rsidRPr="00D95688" w:rsidRDefault="003C7558" w:rsidP="0012561E">
      <w:pPr>
        <w:ind w:firstLineChars="200" w:firstLine="480"/>
        <w:rPr>
          <w:color w:val="222222"/>
          <w:lang w:val="en" w:eastAsia="zh-CN"/>
        </w:rPr>
      </w:pPr>
      <w:r w:rsidRPr="003C7558">
        <w:rPr>
          <w:rFonts w:hint="eastAsia"/>
          <w:color w:val="222222"/>
          <w:lang w:val="en" w:eastAsia="zh-CN"/>
        </w:rPr>
        <w:t>然而，为了不</w:t>
      </w:r>
      <w:r>
        <w:rPr>
          <w:rFonts w:hint="eastAsia"/>
          <w:color w:val="222222"/>
          <w:lang w:val="en" w:eastAsia="zh-CN"/>
        </w:rPr>
        <w:t>会因为从事</w:t>
      </w:r>
      <w:r w:rsidRPr="003C7558">
        <w:rPr>
          <w:rFonts w:hint="eastAsia"/>
          <w:color w:val="222222"/>
          <w:lang w:val="en" w:eastAsia="zh-CN"/>
        </w:rPr>
        <w:t>需要较长时间适应</w:t>
      </w:r>
      <w:r>
        <w:rPr>
          <w:rFonts w:hint="eastAsia"/>
          <w:color w:val="222222"/>
          <w:lang w:val="en" w:eastAsia="zh-CN"/>
        </w:rPr>
        <w:t>的激进改革而使</w:t>
      </w:r>
      <w:r w:rsidRPr="003C7558">
        <w:rPr>
          <w:rFonts w:hint="eastAsia"/>
          <w:color w:val="222222"/>
          <w:lang w:val="en" w:eastAsia="zh-CN"/>
        </w:rPr>
        <w:t>ITU-T</w:t>
      </w:r>
      <w:r w:rsidRPr="003C7558">
        <w:rPr>
          <w:rFonts w:hint="eastAsia"/>
          <w:color w:val="222222"/>
          <w:lang w:val="en" w:eastAsia="zh-CN"/>
        </w:rPr>
        <w:t>的活动</w:t>
      </w:r>
      <w:r>
        <w:rPr>
          <w:rFonts w:hint="eastAsia"/>
          <w:color w:val="222222"/>
          <w:lang w:val="en" w:eastAsia="zh-CN"/>
        </w:rPr>
        <w:t>受到严重</w:t>
      </w:r>
      <w:r w:rsidRPr="003C7558">
        <w:rPr>
          <w:rFonts w:hint="eastAsia"/>
          <w:color w:val="222222"/>
          <w:lang w:val="en" w:eastAsia="zh-CN"/>
        </w:rPr>
        <w:t>影响，审慎的做法是</w:t>
      </w:r>
      <w:r w:rsidR="00AD2624">
        <w:rPr>
          <w:rFonts w:hint="eastAsia"/>
          <w:color w:val="222222"/>
          <w:lang w:val="en" w:eastAsia="zh-CN"/>
        </w:rPr>
        <w:t>以</w:t>
      </w:r>
      <w:r w:rsidRPr="003C7558">
        <w:rPr>
          <w:rFonts w:hint="eastAsia"/>
          <w:color w:val="222222"/>
          <w:lang w:val="en" w:eastAsia="zh-CN"/>
        </w:rPr>
        <w:t>更</w:t>
      </w:r>
      <w:r w:rsidR="00AD2624">
        <w:rPr>
          <w:rFonts w:hint="eastAsia"/>
          <w:color w:val="222222"/>
          <w:lang w:val="en" w:eastAsia="zh-CN"/>
        </w:rPr>
        <w:t>为</w:t>
      </w:r>
      <w:r w:rsidRPr="003C7558">
        <w:rPr>
          <w:rFonts w:hint="eastAsia"/>
          <w:color w:val="222222"/>
          <w:lang w:val="en" w:eastAsia="zh-CN"/>
        </w:rPr>
        <w:t>灵活的方式</w:t>
      </w:r>
      <w:r w:rsidR="00AD2624">
        <w:rPr>
          <w:rFonts w:hint="eastAsia"/>
          <w:color w:val="222222"/>
          <w:lang w:val="en" w:eastAsia="zh-CN"/>
        </w:rPr>
        <w:t>推行</w:t>
      </w:r>
      <w:r w:rsidRPr="003C7558">
        <w:rPr>
          <w:rFonts w:hint="eastAsia"/>
          <w:color w:val="222222"/>
          <w:lang w:val="en" w:eastAsia="zh-CN"/>
        </w:rPr>
        <w:t>改革。</w:t>
      </w:r>
      <w:r w:rsidR="00CA072D" w:rsidRPr="00D95688">
        <w:rPr>
          <w:color w:val="222222"/>
          <w:lang w:val="en" w:eastAsia="zh-CN"/>
        </w:rPr>
        <w:t xml:space="preserve"> </w:t>
      </w:r>
    </w:p>
    <w:p w:rsidR="00CA072D" w:rsidRDefault="00AD2624" w:rsidP="00F03984">
      <w:pPr>
        <w:pStyle w:val="Headingb"/>
        <w:rPr>
          <w:lang w:val="en" w:eastAsia="zh-CN"/>
        </w:rPr>
      </w:pPr>
      <w:r>
        <w:rPr>
          <w:lang w:val="en" w:eastAsia="zh-CN"/>
        </w:rPr>
        <w:t>非洲成员国提出以下重组提案</w:t>
      </w:r>
      <w:r>
        <w:rPr>
          <w:rFonts w:hint="eastAsia"/>
          <w:lang w:val="en" w:eastAsia="zh-CN"/>
        </w:rPr>
        <w:t>：</w:t>
      </w:r>
    </w:p>
    <w:p w:rsidR="0090528B" w:rsidRPr="00C57755" w:rsidRDefault="0090528B" w:rsidP="0090528B">
      <w:pPr>
        <w:pStyle w:val="Reasons"/>
        <w:rPr>
          <w:rFonts w:hint="eastAsia"/>
          <w:lang w:val="en" w:eastAsia="zh-CN"/>
        </w:rPr>
      </w:pPr>
    </w:p>
    <w:p w:rsidR="006E685C" w:rsidRDefault="00ED480B" w:rsidP="00B33186">
      <w:pPr>
        <w:pStyle w:val="Proposal"/>
        <w:rPr>
          <w:lang w:eastAsia="zh-CN"/>
        </w:rPr>
      </w:pPr>
      <w:r>
        <w:rPr>
          <w:lang w:eastAsia="zh-CN"/>
        </w:rPr>
        <w:tab/>
        <w:t>AFCP/42A32/2</w:t>
      </w:r>
    </w:p>
    <w:p w:rsidR="00CA072D" w:rsidRPr="00D95688" w:rsidRDefault="00AD2624" w:rsidP="0047080C">
      <w:pPr>
        <w:tabs>
          <w:tab w:val="clear" w:pos="1134"/>
          <w:tab w:val="clear" w:pos="1871"/>
          <w:tab w:val="clear" w:pos="2268"/>
          <w:tab w:val="left" w:pos="794"/>
        </w:tabs>
        <w:overflowPunct/>
        <w:autoSpaceDE/>
        <w:autoSpaceDN/>
        <w:adjustRightInd/>
        <w:spacing w:before="240"/>
        <w:ind w:firstLineChars="200" w:firstLine="480"/>
        <w:contextualSpacing/>
        <w:textAlignment w:val="auto"/>
        <w:rPr>
          <w:color w:val="222222"/>
          <w:szCs w:val="24"/>
          <w:lang w:val="en" w:eastAsia="zh-CN"/>
        </w:rPr>
      </w:pPr>
      <w:r w:rsidRPr="00AD2624">
        <w:rPr>
          <w:rFonts w:hint="eastAsia"/>
          <w:lang w:eastAsia="zh-CN"/>
        </w:rPr>
        <w:t>非洲国家建议，在下一个研究期进行进一步讨论，以评估是否</w:t>
      </w:r>
      <w:r>
        <w:rPr>
          <w:rFonts w:hint="eastAsia"/>
          <w:lang w:eastAsia="zh-CN"/>
        </w:rPr>
        <w:t>确实需要</w:t>
      </w:r>
      <w:r w:rsidRPr="00AD2624">
        <w:rPr>
          <w:rFonts w:hint="eastAsia"/>
          <w:lang w:eastAsia="zh-CN"/>
        </w:rPr>
        <w:t>进行</w:t>
      </w:r>
      <w:r>
        <w:rPr>
          <w:rFonts w:hint="eastAsia"/>
          <w:lang w:eastAsia="zh-CN"/>
        </w:rPr>
        <w:t>重组</w:t>
      </w:r>
      <w:r w:rsidRPr="00AD2624">
        <w:rPr>
          <w:rFonts w:hint="eastAsia"/>
          <w:lang w:eastAsia="zh-CN"/>
        </w:rPr>
        <w:t>，并确定其实施条件和方式。</w:t>
      </w:r>
      <w:r w:rsidRPr="00AD2624">
        <w:rPr>
          <w:rFonts w:hint="eastAsia"/>
          <w:lang w:eastAsia="zh-CN"/>
        </w:rPr>
        <w:t xml:space="preserve"> </w:t>
      </w:r>
    </w:p>
    <w:p w:rsidR="00CA072D" w:rsidRPr="00D95688" w:rsidRDefault="00AD2624" w:rsidP="0047080C">
      <w:pPr>
        <w:ind w:firstLineChars="200" w:firstLine="480"/>
        <w:rPr>
          <w:color w:val="222222"/>
          <w:lang w:val="en" w:eastAsia="zh-CN"/>
        </w:rPr>
      </w:pPr>
      <w:r w:rsidRPr="00AD2624">
        <w:rPr>
          <w:rFonts w:hint="eastAsia"/>
          <w:color w:val="222222"/>
          <w:lang w:val="en" w:eastAsia="zh-CN"/>
        </w:rPr>
        <w:t>为此，非洲国家提</w:t>
      </w:r>
      <w:r>
        <w:rPr>
          <w:rFonts w:hint="eastAsia"/>
          <w:color w:val="222222"/>
          <w:lang w:val="en" w:eastAsia="zh-CN"/>
        </w:rPr>
        <w:t>议成立一个</w:t>
      </w:r>
      <w:r w:rsidRPr="00AD2624">
        <w:rPr>
          <w:rFonts w:hint="eastAsia"/>
          <w:color w:val="222222"/>
          <w:lang w:val="en" w:eastAsia="zh-CN"/>
        </w:rPr>
        <w:t>TSAG</w:t>
      </w:r>
      <w:r w:rsidRPr="00AD2624">
        <w:rPr>
          <w:rFonts w:hint="eastAsia"/>
          <w:color w:val="222222"/>
          <w:lang w:val="en" w:eastAsia="zh-CN"/>
        </w:rPr>
        <w:t>工作组，</w:t>
      </w:r>
      <w:r w:rsidR="00921756">
        <w:rPr>
          <w:rFonts w:hint="eastAsia"/>
          <w:color w:val="222222"/>
          <w:lang w:val="en" w:eastAsia="zh-CN"/>
        </w:rPr>
        <w:t>以</w:t>
      </w:r>
      <w:r w:rsidR="003A1076">
        <w:rPr>
          <w:rFonts w:hint="eastAsia"/>
          <w:color w:val="222222"/>
          <w:lang w:val="en" w:eastAsia="zh-CN"/>
        </w:rPr>
        <w:t>小</w:t>
      </w:r>
      <w:r>
        <w:rPr>
          <w:rFonts w:hint="eastAsia"/>
          <w:color w:val="222222"/>
          <w:lang w:val="en" w:eastAsia="zh-CN"/>
        </w:rPr>
        <w:t>规模</w:t>
      </w:r>
      <w:r w:rsidR="00921756">
        <w:rPr>
          <w:rFonts w:hint="eastAsia"/>
          <w:color w:val="222222"/>
          <w:lang w:val="en" w:eastAsia="zh-CN"/>
        </w:rPr>
        <w:t>为宜</w:t>
      </w:r>
      <w:r w:rsidRPr="00AD2624">
        <w:rPr>
          <w:rFonts w:hint="eastAsia"/>
          <w:color w:val="222222"/>
          <w:lang w:val="en" w:eastAsia="zh-CN"/>
        </w:rPr>
        <w:t>，</w:t>
      </w:r>
      <w:r w:rsidR="00921756">
        <w:rPr>
          <w:rFonts w:hint="eastAsia"/>
          <w:color w:val="222222"/>
          <w:lang w:val="en" w:eastAsia="zh-CN"/>
        </w:rPr>
        <w:t>拥有实施重组建议的权限</w:t>
      </w:r>
      <w:r w:rsidRPr="00AD2624">
        <w:rPr>
          <w:rFonts w:hint="eastAsia"/>
          <w:color w:val="222222"/>
          <w:lang w:val="en" w:eastAsia="zh-CN"/>
        </w:rPr>
        <w:t>。因此，</w:t>
      </w:r>
      <w:r w:rsidR="00921756">
        <w:rPr>
          <w:rFonts w:hint="eastAsia"/>
          <w:color w:val="222222"/>
          <w:lang w:val="en" w:eastAsia="zh-CN"/>
        </w:rPr>
        <w:t>为开展</w:t>
      </w:r>
      <w:r w:rsidRPr="00AD2624">
        <w:rPr>
          <w:rFonts w:hint="eastAsia"/>
          <w:color w:val="222222"/>
          <w:lang w:val="en" w:eastAsia="zh-CN"/>
        </w:rPr>
        <w:t>这项工作，</w:t>
      </w:r>
      <w:r w:rsidR="003A1076">
        <w:rPr>
          <w:rFonts w:hint="eastAsia"/>
          <w:color w:val="222222"/>
          <w:lang w:val="en" w:eastAsia="zh-CN"/>
        </w:rPr>
        <w:t>工作</w:t>
      </w:r>
      <w:r w:rsidR="00921756">
        <w:rPr>
          <w:rFonts w:hint="eastAsia"/>
          <w:color w:val="222222"/>
          <w:lang w:val="en" w:eastAsia="zh-CN"/>
        </w:rPr>
        <w:t>组</w:t>
      </w:r>
      <w:r w:rsidRPr="00AD2624">
        <w:rPr>
          <w:rFonts w:hint="eastAsia"/>
          <w:color w:val="222222"/>
          <w:lang w:val="en" w:eastAsia="zh-CN"/>
        </w:rPr>
        <w:t>可采用以下方法：</w:t>
      </w:r>
    </w:p>
    <w:p w:rsidR="00CA072D" w:rsidRPr="00D95688" w:rsidRDefault="0047080C" w:rsidP="0047080C">
      <w:pPr>
        <w:pStyle w:val="enumlev1"/>
        <w:rPr>
          <w:lang w:val="en" w:eastAsia="zh-CN"/>
        </w:rPr>
      </w:pPr>
      <w:r w:rsidRPr="00EA61E1">
        <w:rPr>
          <w:lang w:eastAsia="zh-CN"/>
        </w:rPr>
        <w:t>•</w:t>
      </w:r>
      <w:r>
        <w:rPr>
          <w:lang w:eastAsia="zh-CN"/>
        </w:rPr>
        <w:tab/>
      </w:r>
      <w:r w:rsidR="00921756" w:rsidRPr="00921756">
        <w:rPr>
          <w:rFonts w:hint="eastAsia"/>
          <w:lang w:val="en" w:eastAsia="zh-CN"/>
        </w:rPr>
        <w:t>评估</w:t>
      </w:r>
      <w:r w:rsidR="003A1076" w:rsidRPr="00921756">
        <w:rPr>
          <w:rFonts w:hint="eastAsia"/>
          <w:lang w:val="en" w:eastAsia="zh-CN"/>
        </w:rPr>
        <w:t>ITU-T</w:t>
      </w:r>
      <w:r w:rsidR="003A1076" w:rsidRPr="00921756">
        <w:rPr>
          <w:rFonts w:hint="eastAsia"/>
          <w:lang w:val="en" w:eastAsia="zh-CN"/>
        </w:rPr>
        <w:t>研究组</w:t>
      </w:r>
      <w:r w:rsidR="003A1076">
        <w:rPr>
          <w:rFonts w:hint="eastAsia"/>
          <w:lang w:val="en" w:eastAsia="zh-CN"/>
        </w:rPr>
        <w:t>现行</w:t>
      </w:r>
      <w:r w:rsidR="003A1076" w:rsidRPr="00921756">
        <w:rPr>
          <w:rFonts w:hint="eastAsia"/>
          <w:lang w:val="en" w:eastAsia="zh-CN"/>
        </w:rPr>
        <w:t>结构和</w:t>
      </w:r>
      <w:r w:rsidR="00A85AE1">
        <w:rPr>
          <w:rFonts w:hint="eastAsia"/>
          <w:lang w:val="en" w:eastAsia="zh-CN"/>
        </w:rPr>
        <w:t>编制</w:t>
      </w:r>
      <w:r w:rsidR="003A1076" w:rsidRPr="00921756">
        <w:rPr>
          <w:rFonts w:hint="eastAsia"/>
          <w:lang w:val="en" w:eastAsia="zh-CN"/>
        </w:rPr>
        <w:t>的</w:t>
      </w:r>
      <w:r w:rsidR="003A1076">
        <w:rPr>
          <w:rFonts w:hint="eastAsia"/>
          <w:lang w:val="en" w:eastAsia="zh-CN"/>
        </w:rPr>
        <w:t>优劣</w:t>
      </w:r>
      <w:r w:rsidR="00921756" w:rsidRPr="00921756">
        <w:rPr>
          <w:rFonts w:hint="eastAsia"/>
          <w:lang w:val="en" w:eastAsia="zh-CN"/>
        </w:rPr>
        <w:t>；</w:t>
      </w:r>
    </w:p>
    <w:p w:rsidR="00CA072D" w:rsidRPr="00A85AE1" w:rsidRDefault="0047080C" w:rsidP="0047080C">
      <w:pPr>
        <w:pStyle w:val="enumlev1"/>
        <w:rPr>
          <w:lang w:val="en" w:eastAsia="zh-CN"/>
        </w:rPr>
      </w:pPr>
      <w:r w:rsidRPr="00EA61E1">
        <w:rPr>
          <w:lang w:eastAsia="zh-CN"/>
        </w:rPr>
        <w:t>•</w:t>
      </w:r>
      <w:r>
        <w:rPr>
          <w:lang w:eastAsia="zh-CN"/>
        </w:rPr>
        <w:tab/>
      </w:r>
      <w:r w:rsidR="00E7486D" w:rsidRPr="00A85AE1">
        <w:rPr>
          <w:lang w:val="en" w:eastAsia="zh-CN"/>
        </w:rPr>
        <w:t>对</w:t>
      </w:r>
      <w:r w:rsidR="00E7486D" w:rsidRPr="00A85AE1">
        <w:rPr>
          <w:lang w:val="en" w:eastAsia="zh-CN"/>
        </w:rPr>
        <w:t>ITU-T</w:t>
      </w:r>
      <w:r w:rsidR="00E7486D" w:rsidRPr="00A85AE1">
        <w:rPr>
          <w:lang w:val="en" w:eastAsia="zh-CN"/>
        </w:rPr>
        <w:t>建议书和成员及部门的落实情况进行评估</w:t>
      </w:r>
      <w:r w:rsidR="00E7486D" w:rsidRPr="00A85AE1">
        <w:rPr>
          <w:rFonts w:hint="eastAsia"/>
          <w:lang w:val="en" w:eastAsia="zh-CN"/>
        </w:rPr>
        <w:t>；</w:t>
      </w:r>
    </w:p>
    <w:p w:rsidR="00CA072D" w:rsidRPr="00A85AE1" w:rsidRDefault="0047080C" w:rsidP="0047080C">
      <w:pPr>
        <w:pStyle w:val="enumlev1"/>
        <w:rPr>
          <w:lang w:val="en" w:eastAsia="zh-CN"/>
        </w:rPr>
      </w:pPr>
      <w:r w:rsidRPr="00EA61E1">
        <w:rPr>
          <w:lang w:eastAsia="zh-CN"/>
        </w:rPr>
        <w:lastRenderedPageBreak/>
        <w:t>•</w:t>
      </w:r>
      <w:r>
        <w:rPr>
          <w:lang w:eastAsia="zh-CN"/>
        </w:rPr>
        <w:tab/>
      </w:r>
      <w:r w:rsidR="00E7486D" w:rsidRPr="00A85AE1">
        <w:rPr>
          <w:lang w:val="en" w:eastAsia="zh-CN"/>
        </w:rPr>
        <w:t>确定最优重组方案</w:t>
      </w:r>
      <w:r w:rsidR="00E7486D" w:rsidRPr="00A85AE1">
        <w:rPr>
          <w:rFonts w:hint="eastAsia"/>
          <w:lang w:val="en" w:eastAsia="zh-CN"/>
        </w:rPr>
        <w:t>；</w:t>
      </w:r>
    </w:p>
    <w:p w:rsidR="00CA072D" w:rsidRPr="0047080C" w:rsidRDefault="0047080C" w:rsidP="0047080C">
      <w:pPr>
        <w:pStyle w:val="enumlev1"/>
        <w:rPr>
          <w:lang w:val="en" w:eastAsia="zh-CN"/>
        </w:rPr>
      </w:pPr>
      <w:r w:rsidRPr="00EA61E1">
        <w:rPr>
          <w:lang w:eastAsia="zh-CN"/>
        </w:rPr>
        <w:t>•</w:t>
      </w:r>
      <w:r>
        <w:rPr>
          <w:lang w:eastAsia="zh-CN"/>
        </w:rPr>
        <w:tab/>
      </w:r>
      <w:r w:rsidR="00E7486D" w:rsidRPr="0047080C">
        <w:rPr>
          <w:lang w:val="en" w:eastAsia="zh-CN"/>
        </w:rPr>
        <w:t>放手提出建议</w:t>
      </w:r>
      <w:r w:rsidR="00E7486D" w:rsidRPr="0047080C">
        <w:rPr>
          <w:rFonts w:hint="eastAsia"/>
          <w:lang w:val="en" w:eastAsia="zh-CN"/>
        </w:rPr>
        <w:t>。</w:t>
      </w:r>
    </w:p>
    <w:p w:rsidR="00CA072D" w:rsidRDefault="00E7486D" w:rsidP="0047080C">
      <w:pPr>
        <w:ind w:firstLineChars="200" w:firstLine="480"/>
        <w:rPr>
          <w:color w:val="222222"/>
          <w:lang w:val="en" w:eastAsia="zh-CN"/>
        </w:rPr>
      </w:pPr>
      <w:r w:rsidRPr="00D95688">
        <w:rPr>
          <w:color w:val="222222"/>
          <w:lang w:val="en" w:eastAsia="zh-CN"/>
        </w:rPr>
        <w:t>TSAG</w:t>
      </w:r>
      <w:r>
        <w:rPr>
          <w:color w:val="222222"/>
          <w:lang w:val="en" w:eastAsia="zh-CN"/>
        </w:rPr>
        <w:t>将</w:t>
      </w:r>
      <w:r>
        <w:rPr>
          <w:rFonts w:hint="eastAsia"/>
          <w:color w:val="222222"/>
          <w:lang w:val="en" w:eastAsia="zh-CN"/>
        </w:rPr>
        <w:t>最迟</w:t>
      </w:r>
      <w:r>
        <w:rPr>
          <w:color w:val="222222"/>
          <w:lang w:val="en" w:eastAsia="zh-CN"/>
        </w:rPr>
        <w:t>在</w:t>
      </w:r>
      <w:r w:rsidRPr="00D95688">
        <w:rPr>
          <w:color w:val="222222"/>
          <w:lang w:val="en" w:eastAsia="zh-CN"/>
        </w:rPr>
        <w:t>WTSA-20</w:t>
      </w:r>
      <w:r>
        <w:rPr>
          <w:color w:val="222222"/>
          <w:lang w:val="en" w:eastAsia="zh-CN"/>
        </w:rPr>
        <w:t>召开的一年之前</w:t>
      </w:r>
      <w:r>
        <w:rPr>
          <w:rFonts w:hint="eastAsia"/>
          <w:color w:val="222222"/>
          <w:lang w:val="en" w:eastAsia="zh-CN"/>
        </w:rPr>
        <w:t>，将</w:t>
      </w:r>
      <w:r>
        <w:rPr>
          <w:color w:val="222222"/>
          <w:lang w:val="en" w:eastAsia="zh-CN"/>
        </w:rPr>
        <w:t>该</w:t>
      </w:r>
      <w:r w:rsidRPr="00E7486D">
        <w:rPr>
          <w:rFonts w:hint="eastAsia"/>
          <w:color w:val="222222"/>
          <w:lang w:val="en" w:eastAsia="zh-CN"/>
        </w:rPr>
        <w:t>工作组的工作报告</w:t>
      </w:r>
      <w:r>
        <w:rPr>
          <w:rFonts w:hint="eastAsia"/>
          <w:color w:val="222222"/>
          <w:lang w:val="en" w:eastAsia="zh-CN"/>
        </w:rPr>
        <w:t>分发至各</w:t>
      </w:r>
      <w:r w:rsidRPr="00E7486D">
        <w:rPr>
          <w:rFonts w:hint="eastAsia"/>
          <w:color w:val="222222"/>
          <w:lang w:val="en" w:eastAsia="zh-CN"/>
        </w:rPr>
        <w:t>ITU-T</w:t>
      </w:r>
      <w:r w:rsidRPr="00E7486D">
        <w:rPr>
          <w:rFonts w:hint="eastAsia"/>
          <w:color w:val="222222"/>
          <w:lang w:val="en" w:eastAsia="zh-CN"/>
        </w:rPr>
        <w:t>研究组听取</w:t>
      </w:r>
      <w:r>
        <w:rPr>
          <w:rFonts w:hint="eastAsia"/>
          <w:color w:val="222222"/>
          <w:lang w:val="en" w:eastAsia="zh-CN"/>
        </w:rPr>
        <w:t>看法和</w:t>
      </w:r>
      <w:r w:rsidRPr="00E7486D">
        <w:rPr>
          <w:rFonts w:hint="eastAsia"/>
          <w:color w:val="222222"/>
          <w:lang w:val="en" w:eastAsia="zh-CN"/>
        </w:rPr>
        <w:t>意见</w:t>
      </w:r>
      <w:r>
        <w:rPr>
          <w:rFonts w:hint="eastAsia"/>
          <w:color w:val="222222"/>
          <w:lang w:val="en" w:eastAsia="zh-CN"/>
        </w:rPr>
        <w:t>，以</w:t>
      </w:r>
      <w:r w:rsidR="00A85AE1">
        <w:rPr>
          <w:rFonts w:hint="eastAsia"/>
          <w:color w:val="222222"/>
          <w:lang w:val="en" w:eastAsia="zh-CN"/>
        </w:rPr>
        <w:t>期</w:t>
      </w:r>
      <w:r w:rsidR="005C73CE">
        <w:rPr>
          <w:rFonts w:hint="eastAsia"/>
          <w:color w:val="222222"/>
          <w:lang w:val="en" w:eastAsia="zh-CN"/>
        </w:rPr>
        <w:t>得到</w:t>
      </w:r>
      <w:r w:rsidR="005C73CE" w:rsidRPr="00D95688">
        <w:rPr>
          <w:color w:val="222222"/>
          <w:lang w:val="en" w:eastAsia="zh-CN"/>
        </w:rPr>
        <w:t>WTSA-20</w:t>
      </w:r>
      <w:r w:rsidR="00A85AE1">
        <w:rPr>
          <w:color w:val="222222"/>
          <w:lang w:val="en" w:eastAsia="zh-CN"/>
        </w:rPr>
        <w:t>的</w:t>
      </w:r>
      <w:r w:rsidRPr="00E7486D">
        <w:rPr>
          <w:rFonts w:hint="eastAsia"/>
          <w:color w:val="222222"/>
          <w:lang w:val="en" w:eastAsia="zh-CN"/>
        </w:rPr>
        <w:t>采纳。</w:t>
      </w:r>
    </w:p>
    <w:p w:rsidR="00ED480B" w:rsidRDefault="005C73CE" w:rsidP="0047080C">
      <w:pPr>
        <w:tabs>
          <w:tab w:val="left" w:pos="1588"/>
          <w:tab w:val="left" w:pos="1985"/>
        </w:tabs>
        <w:ind w:firstLineChars="200" w:firstLine="480"/>
        <w:rPr>
          <w:color w:val="222222"/>
          <w:lang w:val="en" w:eastAsia="zh-CN"/>
        </w:rPr>
      </w:pPr>
      <w:r>
        <w:rPr>
          <w:color w:val="222222"/>
          <w:lang w:val="en" w:eastAsia="zh-CN"/>
        </w:rPr>
        <w:t>国际电联也将在同一时间段征求成员的意见</w:t>
      </w:r>
      <w:r>
        <w:rPr>
          <w:rFonts w:hint="eastAsia"/>
          <w:color w:val="222222"/>
          <w:lang w:val="en" w:eastAsia="zh-CN"/>
        </w:rPr>
        <w:t>。</w:t>
      </w:r>
    </w:p>
    <w:p w:rsidR="009310CF" w:rsidRDefault="009310CF" w:rsidP="009310CF">
      <w:pPr>
        <w:pStyle w:val="Reasons"/>
        <w:rPr>
          <w:rFonts w:hint="eastAsia"/>
          <w:lang w:val="en" w:eastAsia="zh-CN"/>
        </w:rPr>
      </w:pPr>
    </w:p>
    <w:p w:rsidR="006E685C" w:rsidRDefault="00ED480B" w:rsidP="00B33186">
      <w:pPr>
        <w:pStyle w:val="Proposal"/>
      </w:pPr>
      <w:r>
        <w:rPr>
          <w:lang w:eastAsia="zh-CN"/>
        </w:rPr>
        <w:tab/>
      </w:r>
      <w:r>
        <w:t>AFCP/42A32/3</w:t>
      </w:r>
    </w:p>
    <w:p w:rsidR="00CA072D" w:rsidRDefault="005C73CE" w:rsidP="0047080C">
      <w:pPr>
        <w:spacing w:after="120"/>
        <w:ind w:firstLineChars="200" w:firstLine="480"/>
        <w:rPr>
          <w:lang w:val="en"/>
        </w:rPr>
      </w:pPr>
      <w:r>
        <w:rPr>
          <w:rFonts w:hint="eastAsia"/>
          <w:lang w:eastAsia="zh-CN"/>
        </w:rPr>
        <w:t>研究组</w:t>
      </w:r>
      <w:proofErr w:type="spellStart"/>
      <w:r w:rsidR="00A85AE1">
        <w:t>的</w:t>
      </w:r>
      <w:r>
        <w:t>重组</w:t>
      </w:r>
      <w:proofErr w:type="spellEnd"/>
      <w:r w:rsidR="00A85AE1">
        <w:rPr>
          <w:rFonts w:hint="eastAsia"/>
          <w:lang w:eastAsia="zh-CN"/>
        </w:rPr>
        <w:t>提</w:t>
      </w:r>
      <w:r w:rsidR="00A85AE1">
        <w:t>案</w:t>
      </w:r>
      <w:r>
        <w:rPr>
          <w:rFonts w:hint="eastAsia"/>
          <w:lang w:eastAsia="zh-CN"/>
        </w:rPr>
        <w:t>：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17"/>
        <w:gridCol w:w="2410"/>
        <w:gridCol w:w="4257"/>
      </w:tblGrid>
      <w:tr w:rsidR="00CA072D" w:rsidRPr="00D03646" w:rsidTr="00497434">
        <w:trPr>
          <w:trHeight w:val="239"/>
          <w:tblHeader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2D" w:rsidRPr="00D03646" w:rsidRDefault="005C73CE" w:rsidP="00497434">
            <w:pPr>
              <w:pStyle w:val="Tablehead"/>
              <w:rPr>
                <w:noProof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现有</w:t>
            </w:r>
            <w:r w:rsidR="00CA072D" w:rsidRPr="00D03646">
              <w:t>ITU</w:t>
            </w:r>
            <w:r w:rsidR="00CA072D" w:rsidRPr="00D03646">
              <w:noBreakHyphen/>
              <w:t>T SG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2D" w:rsidRPr="00D03646" w:rsidRDefault="005C73CE" w:rsidP="00497434">
            <w:pPr>
              <w:pStyle w:val="Tablehead"/>
              <w:rPr>
                <w:noProof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建议采取的行动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2D" w:rsidRPr="00D03646" w:rsidRDefault="005C73CE" w:rsidP="00497434">
            <w:pPr>
              <w:pStyle w:val="Tablehead"/>
              <w:rPr>
                <w:noProof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说明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2D" w:rsidRPr="00D03646" w:rsidRDefault="005C73CE" w:rsidP="00497434">
            <w:pPr>
              <w:pStyle w:val="Tablehead"/>
              <w:rPr>
                <w:noProof/>
                <w:sz w:val="22"/>
                <w:szCs w:val="22"/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理由和重组后的</w:t>
            </w:r>
            <w:r>
              <w:rPr>
                <w:lang w:eastAsia="zh-CN"/>
              </w:rPr>
              <w:t>SG</w:t>
            </w:r>
            <w:r>
              <w:rPr>
                <w:rFonts w:ascii="SimSun" w:hAnsi="SimSun" w:cs="SimSun" w:hint="eastAsia"/>
                <w:lang w:eastAsia="zh-CN"/>
              </w:rPr>
              <w:t>结构</w:t>
            </w:r>
          </w:p>
        </w:tc>
      </w:tr>
      <w:tr w:rsidR="00CA072D" w:rsidRPr="00D03646" w:rsidTr="00E9039D">
        <w:trPr>
          <w:trHeight w:val="239"/>
        </w:trPr>
        <w:tc>
          <w:tcPr>
            <w:tcW w:w="1545" w:type="dxa"/>
            <w:shd w:val="clear" w:color="auto" w:fill="auto"/>
            <w:vAlign w:val="center"/>
          </w:tcPr>
          <w:p w:rsidR="00CA072D" w:rsidRPr="00497434" w:rsidRDefault="00CA072D" w:rsidP="00497434">
            <w:pPr>
              <w:pStyle w:val="Tabletext"/>
              <w:rPr>
                <w:b/>
                <w:noProof/>
                <w:lang w:eastAsia="zh-CN"/>
              </w:rPr>
            </w:pPr>
            <w:r w:rsidRPr="00497434">
              <w:rPr>
                <w:b/>
                <w:noProof/>
                <w:lang w:eastAsia="zh-CN"/>
              </w:rPr>
              <w:t>TSAG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072D" w:rsidRPr="00D03646" w:rsidRDefault="00CA072D" w:rsidP="00497434">
            <w:pPr>
              <w:pStyle w:val="Tabletext"/>
              <w:rPr>
                <w:noProof/>
                <w:lang w:eastAsia="zh-CN"/>
              </w:rPr>
            </w:pPr>
            <w:r w:rsidRPr="00D03646">
              <w:rPr>
                <w:noProof/>
                <w:lang w:eastAsia="zh-CN"/>
              </w:rPr>
              <w:t>NOC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72D" w:rsidRPr="00D03646" w:rsidRDefault="00CA072D" w:rsidP="00497434">
            <w:pPr>
              <w:pStyle w:val="Tabletext"/>
              <w:rPr>
                <w:noProof/>
                <w:lang w:eastAsia="zh-CN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 w:rsidR="00CA072D" w:rsidRPr="00D03646" w:rsidRDefault="00CA072D" w:rsidP="00497434">
            <w:pPr>
              <w:pStyle w:val="Tabletext"/>
              <w:rPr>
                <w:noProof/>
                <w:lang w:eastAsia="zh-CN"/>
              </w:rPr>
            </w:pPr>
          </w:p>
        </w:tc>
      </w:tr>
      <w:tr w:rsidR="00497434" w:rsidRPr="00D03646" w:rsidTr="00E9039D">
        <w:trPr>
          <w:trHeight w:val="796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:rsidR="00497434" w:rsidRPr="00497434" w:rsidRDefault="00497434" w:rsidP="00497434">
            <w:pPr>
              <w:pStyle w:val="Tabletext"/>
              <w:rPr>
                <w:b/>
                <w:lang w:eastAsia="zh-CN"/>
              </w:rPr>
            </w:pPr>
            <w:r w:rsidRPr="00497434">
              <w:rPr>
                <w:b/>
                <w:lang w:eastAsia="zh-CN"/>
              </w:rPr>
              <w:t>SG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434" w:rsidRPr="0047080C" w:rsidRDefault="00497434" w:rsidP="00497434">
            <w:pPr>
              <w:pStyle w:val="Tabletext"/>
              <w:rPr>
                <w:rFonts w:eastAsiaTheme="minorEastAsia" w:hint="eastAsia"/>
                <w:noProof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noProof/>
                <w:lang w:eastAsia="zh-CN"/>
              </w:rPr>
              <w:t>方案</w:t>
            </w:r>
            <w:r>
              <w:rPr>
                <w:noProof/>
                <w:lang w:eastAsia="zh-CN"/>
              </w:rPr>
              <w:t>1</w:t>
            </w:r>
            <w:r>
              <w:rPr>
                <w:rFonts w:eastAsiaTheme="minorEastAsia" w:hint="eastAsia"/>
                <w:noProof/>
                <w:lang w:eastAsia="zh-CN"/>
              </w:rPr>
              <w:t>：</w:t>
            </w:r>
          </w:p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  <w:r w:rsidRPr="00CA21B7">
              <w:rPr>
                <w:lang w:eastAsia="zh-CN"/>
              </w:rPr>
              <w:t>SUP WP</w:t>
            </w:r>
            <w:r>
              <w:rPr>
                <w:lang w:eastAsia="zh-CN"/>
              </w:rPr>
              <w:t> </w:t>
            </w:r>
            <w:r w:rsidRPr="00CA21B7">
              <w:rPr>
                <w:lang w:eastAsia="zh-CN"/>
              </w:rPr>
              <w:t>2/2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noProof/>
                <w:lang w:eastAsia="zh-CN"/>
              </w:rPr>
              <w:t>将</w:t>
            </w:r>
            <w:r w:rsidRPr="00CA21B7">
              <w:rPr>
                <w:lang w:eastAsia="zh-CN"/>
              </w:rPr>
              <w:t>WP</w:t>
            </w:r>
            <w:r>
              <w:rPr>
                <w:lang w:eastAsia="zh-CN"/>
              </w:rPr>
              <w:t> </w:t>
            </w:r>
            <w:r w:rsidRPr="00CA21B7">
              <w:rPr>
                <w:lang w:eastAsia="zh-CN"/>
              </w:rPr>
              <w:t>2/2</w:t>
            </w:r>
            <w:r>
              <w:rPr>
                <w:rFonts w:asciiTheme="minorEastAsia" w:eastAsiaTheme="minorEastAsia" w:hAnsiTheme="minorEastAsia" w:hint="eastAsia"/>
                <w:noProof/>
                <w:lang w:eastAsia="zh-CN"/>
              </w:rPr>
              <w:t>移交</w:t>
            </w:r>
            <w:r w:rsidRPr="00D03646">
              <w:rPr>
                <w:noProof/>
                <w:lang w:eastAsia="zh-CN"/>
              </w:rPr>
              <w:t>SG</w:t>
            </w:r>
            <w:r>
              <w:rPr>
                <w:noProof/>
                <w:lang w:eastAsia="zh-CN"/>
              </w:rPr>
              <w:t xml:space="preserve"> </w:t>
            </w:r>
            <w:r w:rsidRPr="00D03646">
              <w:rPr>
                <w:noProof/>
                <w:lang w:eastAsia="zh-CN"/>
              </w:rPr>
              <w:t>13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  <w:r w:rsidRPr="00CA21B7">
              <w:rPr>
                <w:lang w:eastAsia="zh-CN"/>
              </w:rPr>
              <w:t>SG</w:t>
            </w:r>
            <w:r>
              <w:rPr>
                <w:lang w:eastAsia="zh-CN"/>
              </w:rPr>
              <w:t> </w:t>
            </w:r>
            <w:r w:rsidRPr="00CA21B7">
              <w:rPr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将重点研究</w:t>
            </w:r>
            <w:r w:rsidRPr="00D03646">
              <w:rPr>
                <w:color w:val="222222"/>
                <w:lang w:val="en" w:eastAsia="zh-CN"/>
              </w:rPr>
              <w:t>NNAI</w:t>
            </w:r>
          </w:p>
        </w:tc>
      </w:tr>
      <w:tr w:rsidR="00497434" w:rsidRPr="00D03646" w:rsidTr="00E9039D">
        <w:trPr>
          <w:trHeight w:val="556"/>
        </w:trPr>
        <w:tc>
          <w:tcPr>
            <w:tcW w:w="1545" w:type="dxa"/>
            <w:vMerge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7434" w:rsidRPr="0047080C" w:rsidRDefault="00497434" w:rsidP="00497434">
            <w:pPr>
              <w:pStyle w:val="Tabletext"/>
              <w:rPr>
                <w:rFonts w:eastAsiaTheme="minorEastAsia" w:hint="eastAsia"/>
                <w:noProof/>
                <w:lang w:val="fr-FR" w:eastAsia="zh-CN"/>
              </w:rPr>
            </w:pPr>
            <w:r>
              <w:rPr>
                <w:rFonts w:asciiTheme="minorEastAsia" w:eastAsiaTheme="minorEastAsia" w:hAnsiTheme="minorEastAsia" w:hint="eastAsia"/>
                <w:noProof/>
                <w:lang w:val="fr-FR" w:eastAsia="zh-CN"/>
              </w:rPr>
              <w:t>方案</w:t>
            </w:r>
            <w:r w:rsidRPr="00D03646">
              <w:rPr>
                <w:noProof/>
                <w:lang w:val="fr-FR" w:eastAsia="zh-CN"/>
              </w:rPr>
              <w:t>2</w:t>
            </w:r>
            <w:r>
              <w:rPr>
                <w:rFonts w:eastAsiaTheme="minorEastAsia" w:hint="eastAsia"/>
                <w:noProof/>
                <w:lang w:val="fr-FR" w:eastAsia="zh-CN"/>
              </w:rPr>
              <w:t>：</w:t>
            </w:r>
          </w:p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  <w:r w:rsidRPr="00CA21B7">
              <w:rPr>
                <w:lang w:eastAsia="zh-CN"/>
              </w:rPr>
              <w:t>NOC WP</w:t>
            </w:r>
            <w:r>
              <w:rPr>
                <w:lang w:eastAsia="zh-CN"/>
              </w:rPr>
              <w:t> </w:t>
            </w:r>
            <w:r w:rsidRPr="00CA21B7">
              <w:rPr>
                <w:lang w:eastAsia="zh-CN"/>
              </w:rPr>
              <w:t>2/2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  <w:r w:rsidRPr="00CA21B7">
              <w:rPr>
                <w:lang w:eastAsia="zh-CN"/>
              </w:rPr>
              <w:t>WP</w:t>
            </w:r>
            <w:r>
              <w:rPr>
                <w:lang w:eastAsia="zh-CN"/>
              </w:rPr>
              <w:t> </w:t>
            </w:r>
            <w:r w:rsidRPr="00CA21B7">
              <w:rPr>
                <w:lang w:eastAsia="zh-CN"/>
              </w:rPr>
              <w:t>2/2</w:t>
            </w:r>
            <w:r>
              <w:rPr>
                <w:rFonts w:asciiTheme="minorEastAsia" w:eastAsiaTheme="minorEastAsia" w:hAnsiTheme="minorEastAsia" w:hint="eastAsia"/>
                <w:noProof/>
                <w:lang w:eastAsia="zh-CN"/>
              </w:rPr>
              <w:t>维持现状</w:t>
            </w:r>
            <w:r w:rsidRPr="00D03646">
              <w:rPr>
                <w:noProof/>
                <w:lang w:eastAsia="zh-CN"/>
              </w:rPr>
              <w:t xml:space="preserve"> 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  <w:r w:rsidRPr="00CA21B7">
              <w:rPr>
                <w:lang w:eastAsia="zh-CN"/>
              </w:rPr>
              <w:t>WP</w:t>
            </w:r>
            <w:r>
              <w:rPr>
                <w:lang w:eastAsia="zh-CN"/>
              </w:rPr>
              <w:t> </w:t>
            </w:r>
            <w:r w:rsidRPr="00CA21B7">
              <w:rPr>
                <w:lang w:eastAsia="zh-CN"/>
              </w:rPr>
              <w:t>2/2</w:t>
            </w:r>
            <w:r w:rsidRPr="007E3082">
              <w:rPr>
                <w:rFonts w:asciiTheme="minorEastAsia" w:eastAsiaTheme="minorEastAsia" w:hAnsiTheme="minorEastAsia"/>
                <w:color w:val="222222"/>
                <w:lang w:val="en" w:eastAsia="zh-CN"/>
              </w:rPr>
              <w:t>关注运营问题</w:t>
            </w:r>
            <w:r w:rsidRPr="007E3082"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，</w:t>
            </w:r>
            <w:r w:rsidRPr="007E3082">
              <w:rPr>
                <w:rFonts w:asciiTheme="minorEastAsia" w:eastAsiaTheme="minorEastAsia" w:hAnsiTheme="minorEastAsia"/>
                <w:color w:val="222222"/>
                <w:lang w:val="en" w:eastAsia="zh-CN"/>
              </w:rPr>
              <w:t>符合</w:t>
            </w:r>
            <w:r w:rsidRPr="00CA21B7">
              <w:rPr>
                <w:lang w:eastAsia="zh-CN"/>
              </w:rPr>
              <w:t>SG</w:t>
            </w:r>
            <w:r>
              <w:rPr>
                <w:lang w:eastAsia="zh-CN"/>
              </w:rPr>
              <w:t> </w:t>
            </w:r>
            <w:r w:rsidRPr="00CA21B7">
              <w:rPr>
                <w:lang w:eastAsia="zh-CN"/>
              </w:rPr>
              <w:t>2</w:t>
            </w:r>
            <w:r w:rsidRPr="007E3082">
              <w:rPr>
                <w:rFonts w:asciiTheme="minorEastAsia" w:eastAsiaTheme="minorEastAsia" w:hAnsiTheme="minorEastAsia"/>
                <w:color w:val="222222"/>
                <w:lang w:val="en"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工作</w:t>
            </w:r>
            <w:r w:rsidRPr="007E3082">
              <w:rPr>
                <w:rFonts w:asciiTheme="minorEastAsia" w:eastAsiaTheme="minorEastAsia" w:hAnsiTheme="minorEastAsia"/>
                <w:color w:val="222222"/>
                <w:lang w:val="en" w:eastAsia="zh-CN"/>
              </w:rPr>
              <w:t>授权</w:t>
            </w:r>
            <w:r w:rsidRPr="007E3082"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。</w:t>
            </w:r>
          </w:p>
        </w:tc>
      </w:tr>
      <w:tr w:rsidR="00497434" w:rsidRPr="00D03646" w:rsidTr="00E9039D">
        <w:trPr>
          <w:trHeight w:val="353"/>
        </w:trPr>
        <w:tc>
          <w:tcPr>
            <w:tcW w:w="1545" w:type="dxa"/>
            <w:vMerge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  <w:r w:rsidRPr="00D03646">
              <w:rPr>
                <w:noProof/>
                <w:lang w:eastAsia="zh-CN"/>
              </w:rPr>
              <w:t>SUP Q4/2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val="fr-FR" w:eastAsia="zh-CN"/>
              </w:rPr>
            </w:pPr>
            <w:r>
              <w:rPr>
                <w:rFonts w:asciiTheme="minorEastAsia" w:eastAsiaTheme="minorEastAsia" w:hAnsiTheme="minorEastAsia" w:hint="eastAsia"/>
                <w:noProof/>
                <w:lang w:val="fr-FR" w:eastAsia="zh-CN"/>
              </w:rPr>
              <w:t>将</w:t>
            </w:r>
            <w:r>
              <w:rPr>
                <w:noProof/>
                <w:lang w:val="fr-FR" w:eastAsia="zh-CN"/>
              </w:rPr>
              <w:t>Q4/2</w:t>
            </w:r>
            <w:r>
              <w:rPr>
                <w:rFonts w:asciiTheme="minorEastAsia" w:eastAsiaTheme="minorEastAsia" w:hAnsiTheme="minorEastAsia" w:hint="eastAsia"/>
                <w:noProof/>
                <w:lang w:val="fr-FR" w:eastAsia="zh-CN"/>
              </w:rPr>
              <w:t>移至</w:t>
            </w:r>
            <w:r w:rsidRPr="00D03646">
              <w:rPr>
                <w:noProof/>
                <w:lang w:val="fr-FR" w:eastAsia="zh-CN"/>
              </w:rPr>
              <w:t>SG</w:t>
            </w:r>
            <w:r>
              <w:rPr>
                <w:noProof/>
                <w:lang w:val="fr-FR" w:eastAsia="zh-CN"/>
              </w:rPr>
              <w:t xml:space="preserve"> </w:t>
            </w:r>
            <w:r w:rsidRPr="00D03646">
              <w:rPr>
                <w:noProof/>
                <w:lang w:val="fr-FR" w:eastAsia="zh-CN"/>
              </w:rPr>
              <w:t>16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color w:val="222222"/>
                <w:lang w:val="en" w:eastAsia="zh-CN"/>
              </w:rPr>
            </w:pPr>
            <w:r w:rsidRPr="007E3082">
              <w:rPr>
                <w:rFonts w:asciiTheme="minorEastAsia" w:eastAsiaTheme="minorEastAsia" w:hAnsiTheme="minorEastAsia"/>
                <w:color w:val="222222"/>
                <w:lang w:val="en" w:eastAsia="zh-CN"/>
              </w:rPr>
              <w:t>将人为因素移至</w:t>
            </w:r>
            <w:r w:rsidRPr="00CA21B7">
              <w:rPr>
                <w:lang w:eastAsia="zh-CN"/>
              </w:rPr>
              <w:t>SG</w:t>
            </w:r>
            <w:r>
              <w:rPr>
                <w:lang w:eastAsia="zh-CN"/>
              </w:rPr>
              <w:t> </w:t>
            </w:r>
            <w:r w:rsidRPr="00CA21B7">
              <w:rPr>
                <w:lang w:eastAsia="zh-CN"/>
              </w:rPr>
              <w:t>16</w:t>
            </w:r>
            <w:r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，</w:t>
            </w:r>
            <w:r w:rsidRPr="007E3082">
              <w:rPr>
                <w:rFonts w:asciiTheme="minorEastAsia" w:eastAsiaTheme="minorEastAsia" w:hAnsiTheme="minorEastAsia"/>
                <w:color w:val="222222"/>
                <w:lang w:val="en" w:eastAsia="zh-CN"/>
              </w:rPr>
              <w:t>但作为脱离无障碍</w:t>
            </w:r>
            <w:r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获取</w:t>
            </w:r>
            <w:r w:rsidRPr="007E3082">
              <w:rPr>
                <w:rFonts w:asciiTheme="minorEastAsia" w:eastAsiaTheme="minorEastAsia" w:hAnsiTheme="minorEastAsia"/>
                <w:color w:val="222222"/>
                <w:lang w:val="en" w:eastAsia="zh-CN"/>
              </w:rPr>
              <w:t>课题的单独课题</w:t>
            </w:r>
            <w:r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。</w:t>
            </w:r>
          </w:p>
        </w:tc>
      </w:tr>
      <w:tr w:rsidR="00497434" w:rsidRPr="00D03646" w:rsidTr="00E9039D">
        <w:trPr>
          <w:trHeight w:val="239"/>
        </w:trPr>
        <w:tc>
          <w:tcPr>
            <w:tcW w:w="1545" w:type="dxa"/>
            <w:shd w:val="clear" w:color="auto" w:fill="auto"/>
            <w:vAlign w:val="center"/>
          </w:tcPr>
          <w:p w:rsidR="00497434" w:rsidRPr="00497434" w:rsidRDefault="00497434" w:rsidP="00497434">
            <w:pPr>
              <w:pStyle w:val="Tabletext"/>
              <w:rPr>
                <w:b/>
                <w:lang w:eastAsia="zh-CN"/>
              </w:rPr>
            </w:pPr>
            <w:r w:rsidRPr="00497434">
              <w:rPr>
                <w:b/>
                <w:lang w:eastAsia="zh-CN"/>
              </w:rPr>
              <w:t>SG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  <w:r w:rsidRPr="00D03646">
              <w:rPr>
                <w:noProof/>
                <w:lang w:eastAsia="zh-CN"/>
              </w:rPr>
              <w:t>NOC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color w:val="222222"/>
                <w:lang w:val="en" w:eastAsia="zh-CN"/>
              </w:rPr>
            </w:pPr>
            <w:r w:rsidRPr="007E3082"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保持稳定</w:t>
            </w:r>
            <w:r w:rsidRPr="007E3082">
              <w:rPr>
                <w:rFonts w:asciiTheme="minorEastAsia" w:eastAsiaTheme="minorEastAsia" w:hAnsiTheme="minorEastAsia"/>
                <w:color w:val="222222"/>
                <w:lang w:val="en" w:eastAsia="zh-CN"/>
              </w:rPr>
              <w:t>的</w:t>
            </w:r>
            <w:r w:rsidRPr="007E3082">
              <w:rPr>
                <w:color w:val="222222"/>
                <w:lang w:val="en" w:eastAsia="zh-CN"/>
              </w:rPr>
              <w:t>SG</w:t>
            </w:r>
            <w:r w:rsidRPr="007E3082">
              <w:rPr>
                <w:rFonts w:ascii="SimSun" w:hAnsi="SimSun" w:cs="SimSun" w:hint="eastAsia"/>
                <w:color w:val="222222"/>
                <w:lang w:val="en"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侧重研究</w:t>
            </w:r>
            <w:r w:rsidRPr="007E3082">
              <w:rPr>
                <w:rFonts w:asciiTheme="minorEastAsia" w:eastAsiaTheme="minorEastAsia" w:hAnsiTheme="minorEastAsia"/>
                <w:color w:val="222222"/>
                <w:lang w:val="en" w:eastAsia="zh-CN"/>
              </w:rPr>
              <w:t>发展中国家问题</w:t>
            </w:r>
            <w:r w:rsidRPr="007E3082"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。</w:t>
            </w:r>
          </w:p>
        </w:tc>
      </w:tr>
      <w:tr w:rsidR="00497434" w:rsidRPr="00D03646" w:rsidTr="00E9039D">
        <w:trPr>
          <w:trHeight w:val="225"/>
        </w:trPr>
        <w:tc>
          <w:tcPr>
            <w:tcW w:w="1545" w:type="dxa"/>
            <w:shd w:val="clear" w:color="auto" w:fill="auto"/>
            <w:vAlign w:val="center"/>
          </w:tcPr>
          <w:p w:rsidR="00497434" w:rsidRPr="00497434" w:rsidRDefault="00497434" w:rsidP="00497434">
            <w:pPr>
              <w:pStyle w:val="Tabletext"/>
              <w:rPr>
                <w:b/>
                <w:lang w:eastAsia="zh-CN"/>
              </w:rPr>
            </w:pPr>
            <w:r w:rsidRPr="00497434">
              <w:rPr>
                <w:b/>
                <w:lang w:eastAsia="zh-CN"/>
              </w:rPr>
              <w:t>SG 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  <w:r w:rsidRPr="00D03646">
              <w:rPr>
                <w:noProof/>
                <w:lang w:eastAsia="zh-CN"/>
              </w:rPr>
              <w:t>NOC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color w:val="222222"/>
                <w:lang w:val="en" w:eastAsia="zh-CN"/>
              </w:rPr>
            </w:pPr>
            <w:r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保持稳定</w:t>
            </w:r>
            <w:r w:rsidRPr="006D377F"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的</w:t>
            </w:r>
            <w:r w:rsidR="006D377F" w:rsidRPr="007E3082">
              <w:rPr>
                <w:color w:val="222222"/>
                <w:lang w:val="en" w:eastAsia="zh-CN"/>
              </w:rPr>
              <w:t>SG</w:t>
            </w:r>
            <w:r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，侧重研究</w:t>
            </w:r>
            <w:r w:rsidRPr="007E3082">
              <w:rPr>
                <w:rFonts w:asciiTheme="minorEastAsia" w:eastAsiaTheme="minorEastAsia" w:hAnsiTheme="minorEastAsia"/>
                <w:color w:val="222222"/>
                <w:lang w:val="en" w:eastAsia="zh-CN"/>
              </w:rPr>
              <w:t>发展中国家问题</w:t>
            </w:r>
            <w:r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。</w:t>
            </w:r>
          </w:p>
        </w:tc>
      </w:tr>
      <w:tr w:rsidR="00497434" w:rsidRPr="00D03646" w:rsidTr="00E9039D">
        <w:trPr>
          <w:trHeight w:val="863"/>
        </w:trPr>
        <w:tc>
          <w:tcPr>
            <w:tcW w:w="1545" w:type="dxa"/>
            <w:shd w:val="clear" w:color="auto" w:fill="auto"/>
            <w:vAlign w:val="center"/>
          </w:tcPr>
          <w:p w:rsidR="00497434" w:rsidRPr="00497434" w:rsidRDefault="00497434" w:rsidP="00497434">
            <w:pPr>
              <w:pStyle w:val="Tabletext"/>
              <w:rPr>
                <w:b/>
                <w:lang w:eastAsia="zh-CN"/>
              </w:rPr>
            </w:pPr>
            <w:r w:rsidRPr="00497434">
              <w:rPr>
                <w:b/>
                <w:lang w:eastAsia="zh-CN"/>
              </w:rPr>
              <w:t>SG 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  <w:r w:rsidRPr="00D03646">
              <w:rPr>
                <w:noProof/>
                <w:lang w:eastAsia="zh-CN"/>
              </w:rPr>
              <w:t>MOD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  <w:r>
              <w:rPr>
                <w:rFonts w:ascii="SimSun" w:hAnsi="SimSun" w:cs="SimSun" w:hint="eastAsia"/>
                <w:noProof/>
                <w:lang w:eastAsia="zh-CN"/>
              </w:rPr>
              <w:t>将有关</w:t>
            </w:r>
            <w:r w:rsidRPr="00D03646">
              <w:rPr>
                <w:noProof/>
                <w:lang w:eastAsia="zh-CN"/>
              </w:rPr>
              <w:t>QoS</w:t>
            </w:r>
            <w:r>
              <w:rPr>
                <w:rFonts w:ascii="SimSun" w:hAnsi="SimSun" w:cs="SimSun" w:hint="eastAsia"/>
                <w:noProof/>
                <w:lang w:eastAsia="zh-CN"/>
              </w:rPr>
              <w:t>的课题移交</w:t>
            </w:r>
            <w:r w:rsidRPr="00D03646">
              <w:rPr>
                <w:noProof/>
                <w:lang w:eastAsia="zh-CN"/>
              </w:rPr>
              <w:t>SG</w:t>
            </w:r>
            <w:r>
              <w:rPr>
                <w:noProof/>
                <w:lang w:eastAsia="zh-CN"/>
              </w:rPr>
              <w:t xml:space="preserve"> </w:t>
            </w:r>
            <w:r w:rsidRPr="00D03646">
              <w:rPr>
                <w:noProof/>
                <w:lang w:eastAsia="zh-CN"/>
              </w:rPr>
              <w:t>12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color w:val="222222"/>
                <w:lang w:val="en" w:eastAsia="zh-CN"/>
              </w:rPr>
            </w:pPr>
            <w:r>
              <w:rPr>
                <w:rFonts w:ascii="SimSun" w:hAnsi="SimSun" w:cs="SimSun" w:hint="eastAsia"/>
                <w:color w:val="222222"/>
                <w:lang w:val="en" w:eastAsia="zh-CN"/>
              </w:rPr>
              <w:t>应由</w:t>
            </w:r>
            <w:r w:rsidRPr="00CA21B7">
              <w:rPr>
                <w:lang w:eastAsia="zh-CN"/>
              </w:rPr>
              <w:t>SG</w:t>
            </w:r>
            <w:r>
              <w:rPr>
                <w:lang w:eastAsia="zh-CN"/>
              </w:rPr>
              <w:t> </w:t>
            </w:r>
            <w:r w:rsidRPr="00CA21B7">
              <w:rPr>
                <w:lang w:eastAsia="zh-CN"/>
              </w:rPr>
              <w:t>12</w:t>
            </w:r>
            <w:r>
              <w:rPr>
                <w:rFonts w:ascii="SimSun" w:hAnsi="SimSun" w:cs="SimSun" w:hint="eastAsia"/>
                <w:color w:val="222222"/>
                <w:lang w:val="en" w:eastAsia="zh-CN"/>
              </w:rPr>
              <w:t>研究与</w:t>
            </w:r>
            <w:proofErr w:type="spellStart"/>
            <w:r w:rsidRPr="00D03646">
              <w:rPr>
                <w:color w:val="222222"/>
                <w:lang w:val="en" w:eastAsia="zh-CN"/>
              </w:rPr>
              <w:t>QoS</w:t>
            </w:r>
            <w:proofErr w:type="spellEnd"/>
            <w:r>
              <w:rPr>
                <w:rFonts w:ascii="SimSun" w:hAnsi="SimSun" w:cs="SimSun" w:hint="eastAsia"/>
                <w:color w:val="222222"/>
                <w:lang w:val="en" w:eastAsia="zh-CN"/>
              </w:rPr>
              <w:t>相关的课题</w:t>
            </w:r>
            <w:r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，</w:t>
            </w:r>
            <w:r>
              <w:rPr>
                <w:rFonts w:ascii="SimSun" w:hAnsi="SimSun" w:cs="SimSun" w:hint="eastAsia"/>
                <w:color w:val="222222"/>
                <w:lang w:val="en" w:eastAsia="zh-CN"/>
              </w:rPr>
              <w:t>因为该课题属于</w:t>
            </w:r>
            <w:r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该</w:t>
            </w:r>
            <w:r>
              <w:rPr>
                <w:rFonts w:ascii="SimSun" w:hAnsi="SimSun" w:cs="SimSun" w:hint="eastAsia"/>
                <w:color w:val="222222"/>
                <w:lang w:val="en" w:eastAsia="zh-CN"/>
              </w:rPr>
              <w:t>组的职责范围</w:t>
            </w:r>
            <w:r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。</w:t>
            </w:r>
          </w:p>
        </w:tc>
      </w:tr>
      <w:tr w:rsidR="00497434" w:rsidRPr="00D03646" w:rsidTr="00E9039D">
        <w:trPr>
          <w:trHeight w:val="863"/>
        </w:trPr>
        <w:tc>
          <w:tcPr>
            <w:tcW w:w="1545" w:type="dxa"/>
            <w:shd w:val="clear" w:color="auto" w:fill="auto"/>
            <w:vAlign w:val="center"/>
          </w:tcPr>
          <w:p w:rsidR="00497434" w:rsidRPr="00497434" w:rsidRDefault="00497434" w:rsidP="00497434">
            <w:pPr>
              <w:pStyle w:val="Tabletext"/>
              <w:rPr>
                <w:b/>
                <w:lang w:eastAsia="zh-CN"/>
              </w:rPr>
            </w:pPr>
            <w:r w:rsidRPr="00497434">
              <w:rPr>
                <w:b/>
                <w:lang w:eastAsia="zh-CN"/>
              </w:rPr>
              <w:t>SG 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  <w:r w:rsidRPr="00D03646">
              <w:rPr>
                <w:noProof/>
                <w:lang w:eastAsia="zh-CN"/>
              </w:rPr>
              <w:t>NOC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val="fr-FR" w:eastAsia="zh-CN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 w:rsidR="00497434" w:rsidRPr="007E3082" w:rsidRDefault="00497434" w:rsidP="00777BE2">
            <w:pPr>
              <w:pStyle w:val="Tabletext"/>
              <w:rPr>
                <w:rFonts w:ascii="SimSun" w:hAnsi="SimSun" w:cs="SimSun"/>
                <w:color w:val="222222"/>
                <w:lang w:val="en" w:eastAsia="zh-CN"/>
              </w:rPr>
            </w:pPr>
            <w:r w:rsidRPr="007E3082">
              <w:rPr>
                <w:rFonts w:ascii="SimSun" w:hAnsi="SimSun" w:cs="SimSun"/>
                <w:color w:val="222222"/>
                <w:lang w:val="en" w:eastAsia="zh-CN"/>
              </w:rPr>
              <w:t>应当继续存在的重要研究组</w:t>
            </w:r>
            <w:r w:rsidRPr="007E3082">
              <w:rPr>
                <w:rFonts w:ascii="SimSun" w:hAnsi="SimSun" w:cs="SimSun" w:hint="eastAsia"/>
                <w:color w:val="222222"/>
                <w:lang w:val="en" w:eastAsia="zh-CN"/>
              </w:rPr>
              <w:t>，</w:t>
            </w:r>
            <w:r w:rsidRPr="007E3082">
              <w:rPr>
                <w:rFonts w:ascii="SimSun" w:hAnsi="SimSun" w:cs="SimSun"/>
                <w:color w:val="222222"/>
                <w:lang w:val="en" w:eastAsia="zh-CN"/>
              </w:rPr>
              <w:t>尤其是</w:t>
            </w:r>
            <w:r>
              <w:rPr>
                <w:rFonts w:ascii="SimSun" w:hAnsi="SimSun" w:cs="SimSun"/>
                <w:color w:val="222222"/>
                <w:lang w:val="en" w:eastAsia="zh-CN"/>
              </w:rPr>
              <w:t>其</w:t>
            </w:r>
            <w:r w:rsidRPr="007E3082">
              <w:rPr>
                <w:rFonts w:ascii="SimSun" w:hAnsi="SimSun" w:cs="SimSun"/>
                <w:color w:val="222222"/>
                <w:lang w:val="en" w:eastAsia="zh-CN"/>
              </w:rPr>
              <w:t>职责范围涉及</w:t>
            </w:r>
            <w:r w:rsidRPr="007E3082">
              <w:rPr>
                <w:noProof/>
                <w:lang w:eastAsia="zh-CN"/>
              </w:rPr>
              <w:t>C&amp;I</w:t>
            </w:r>
            <w:r w:rsidRPr="007E3082">
              <w:rPr>
                <w:rFonts w:ascii="SimSun" w:hAnsi="SimSun" w:cs="SimSun"/>
                <w:color w:val="222222"/>
                <w:lang w:val="en" w:eastAsia="zh-CN"/>
              </w:rPr>
              <w:t>和打击假冒问题</w:t>
            </w:r>
            <w:r w:rsidRPr="007E3082">
              <w:rPr>
                <w:rFonts w:ascii="SimSun" w:hAnsi="SimSun" w:cs="SimSun" w:hint="eastAsia"/>
                <w:color w:val="222222"/>
                <w:lang w:val="en" w:eastAsia="zh-CN"/>
              </w:rPr>
              <w:t>。与</w:t>
            </w:r>
            <w:r w:rsidRPr="007E3082">
              <w:rPr>
                <w:noProof/>
                <w:lang w:eastAsia="zh-CN"/>
              </w:rPr>
              <w:t>SG</w:t>
            </w:r>
            <w:r>
              <w:rPr>
                <w:noProof/>
                <w:lang w:eastAsia="zh-CN"/>
              </w:rPr>
              <w:t xml:space="preserve"> </w:t>
            </w:r>
            <w:r w:rsidRPr="007E3082">
              <w:rPr>
                <w:noProof/>
                <w:lang w:eastAsia="zh-CN"/>
              </w:rPr>
              <w:t>13</w:t>
            </w:r>
            <w:r w:rsidRPr="007E3082">
              <w:rPr>
                <w:rFonts w:ascii="SimSun" w:hAnsi="SimSun" w:cs="SimSun"/>
                <w:color w:val="222222"/>
                <w:lang w:val="en" w:eastAsia="zh-CN"/>
              </w:rPr>
              <w:t>同期同</w:t>
            </w:r>
            <w:r w:rsidRPr="007E3082">
              <w:rPr>
                <w:rFonts w:ascii="SimSun" w:hAnsi="SimSun" w:cs="SimSun" w:hint="eastAsia"/>
                <w:color w:val="222222"/>
                <w:lang w:val="en" w:eastAsia="zh-CN"/>
              </w:rPr>
              <w:t>地</w:t>
            </w:r>
            <w:r w:rsidRPr="007E3082">
              <w:rPr>
                <w:rFonts w:ascii="SimSun" w:hAnsi="SimSun" w:cs="SimSun"/>
                <w:color w:val="222222"/>
                <w:lang w:val="en" w:eastAsia="zh-CN"/>
              </w:rPr>
              <w:t>召开会议</w:t>
            </w:r>
            <w:r w:rsidRPr="007E3082">
              <w:rPr>
                <w:rFonts w:ascii="SimSun" w:hAnsi="SimSun" w:cs="SimSun" w:hint="eastAsia"/>
                <w:color w:val="222222"/>
                <w:lang w:val="en" w:eastAsia="zh-CN"/>
              </w:rPr>
              <w:t>。</w:t>
            </w:r>
          </w:p>
        </w:tc>
      </w:tr>
      <w:tr w:rsidR="00497434" w:rsidRPr="00D03646" w:rsidTr="00E9039D">
        <w:trPr>
          <w:trHeight w:val="863"/>
        </w:trPr>
        <w:tc>
          <w:tcPr>
            <w:tcW w:w="1545" w:type="dxa"/>
            <w:shd w:val="clear" w:color="auto" w:fill="auto"/>
            <w:vAlign w:val="center"/>
          </w:tcPr>
          <w:p w:rsidR="00497434" w:rsidRPr="00497434" w:rsidRDefault="00497434" w:rsidP="00497434">
            <w:pPr>
              <w:pStyle w:val="Tabletext"/>
              <w:rPr>
                <w:b/>
                <w:lang w:eastAsia="zh-CN"/>
              </w:rPr>
            </w:pPr>
            <w:r w:rsidRPr="00497434">
              <w:rPr>
                <w:b/>
                <w:lang w:eastAsia="zh-CN"/>
              </w:rPr>
              <w:t>SG 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  <w:r w:rsidRPr="00D03646">
              <w:rPr>
                <w:noProof/>
                <w:lang w:eastAsia="zh-CN"/>
              </w:rPr>
              <w:t>MOD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val="fr-FR" w:eastAsia="zh-CN"/>
              </w:rPr>
            </w:pPr>
            <w:r>
              <w:rPr>
                <w:rFonts w:ascii="SimSun" w:hAnsi="SimSun" w:cs="SimSun" w:hint="eastAsia"/>
                <w:noProof/>
                <w:lang w:val="fr-FR" w:eastAsia="zh-CN"/>
              </w:rPr>
              <w:t>增加</w:t>
            </w:r>
            <w:r w:rsidRPr="00D03646">
              <w:rPr>
                <w:noProof/>
                <w:lang w:val="fr-FR" w:eastAsia="zh-CN"/>
              </w:rPr>
              <w:t>SG</w:t>
            </w:r>
            <w:r>
              <w:rPr>
                <w:noProof/>
                <w:lang w:val="fr-FR" w:eastAsia="zh-CN"/>
              </w:rPr>
              <w:t xml:space="preserve"> </w:t>
            </w:r>
            <w:r w:rsidRPr="00D03646">
              <w:rPr>
                <w:noProof/>
                <w:lang w:val="fr-FR" w:eastAsia="zh-CN"/>
              </w:rPr>
              <w:t>9</w:t>
            </w:r>
            <w:r>
              <w:rPr>
                <w:rFonts w:ascii="SimSun" w:hAnsi="SimSun" w:cs="SimSun" w:hint="eastAsia"/>
                <w:noProof/>
                <w:lang w:val="fr-FR" w:eastAsia="zh-CN"/>
              </w:rPr>
              <w:t>转来的</w:t>
            </w:r>
            <w:r w:rsidRPr="00D03646">
              <w:rPr>
                <w:noProof/>
                <w:lang w:val="fr-FR" w:eastAsia="zh-CN"/>
              </w:rPr>
              <w:t>QoS</w:t>
            </w:r>
            <w:r>
              <w:rPr>
                <w:rFonts w:ascii="SimSun" w:hAnsi="SimSun" w:cs="SimSun" w:hint="eastAsia"/>
                <w:noProof/>
                <w:lang w:val="fr-FR" w:eastAsia="zh-CN"/>
              </w:rPr>
              <w:t>课题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rFonts w:hint="eastAsia"/>
                <w:color w:val="222222"/>
                <w:lang w:val="en" w:eastAsia="zh-CN"/>
              </w:rPr>
            </w:pPr>
            <w:r>
              <w:rPr>
                <w:rFonts w:ascii="SimSun" w:hAnsi="SimSun" w:cs="SimSun" w:hint="eastAsia"/>
                <w:color w:val="222222"/>
                <w:lang w:val="en" w:eastAsia="zh-CN"/>
              </w:rPr>
              <w:t>考虑到与</w:t>
            </w:r>
            <w:r w:rsidRPr="00D03646">
              <w:rPr>
                <w:noProof/>
                <w:lang w:val="fr-FR" w:eastAsia="zh-CN"/>
              </w:rPr>
              <w:t>QoS</w:t>
            </w:r>
            <w:r>
              <w:rPr>
                <w:rFonts w:ascii="SimSun" w:hAnsi="SimSun" w:cs="SimSun" w:hint="eastAsia"/>
                <w:color w:val="222222"/>
                <w:lang w:val="en" w:eastAsia="zh-CN"/>
              </w:rPr>
              <w:t>相关的所有问题</w:t>
            </w:r>
            <w:r w:rsidR="008C2083">
              <w:rPr>
                <w:rFonts w:hint="eastAsia"/>
                <w:color w:val="222222"/>
                <w:lang w:val="en" w:eastAsia="zh-CN"/>
              </w:rPr>
              <w:t>。</w:t>
            </w:r>
          </w:p>
        </w:tc>
      </w:tr>
      <w:tr w:rsidR="00497434" w:rsidRPr="00D03646" w:rsidTr="00E9039D">
        <w:trPr>
          <w:trHeight w:val="780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:rsidR="00497434" w:rsidRPr="00497434" w:rsidRDefault="00497434" w:rsidP="00497434">
            <w:pPr>
              <w:pStyle w:val="Tabletext"/>
              <w:rPr>
                <w:b/>
                <w:lang w:eastAsia="zh-CN"/>
              </w:rPr>
            </w:pPr>
            <w:r w:rsidRPr="00CA21B7">
              <w:rPr>
                <w:bCs/>
                <w:lang w:eastAsia="zh-CN"/>
              </w:rPr>
              <w:br w:type="page"/>
            </w:r>
            <w:r w:rsidRPr="00497434">
              <w:rPr>
                <w:b/>
                <w:lang w:eastAsia="zh-CN"/>
              </w:rPr>
              <w:t>SG 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  <w:r w:rsidRPr="00D03646">
              <w:rPr>
                <w:noProof/>
                <w:lang w:eastAsia="zh-CN"/>
              </w:rPr>
              <w:t>MOD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noProof/>
                <w:lang w:eastAsia="zh-CN"/>
              </w:rPr>
              <w:t>方案</w:t>
            </w:r>
            <w:r w:rsidRPr="00FC0BBC">
              <w:rPr>
                <w:rFonts w:eastAsiaTheme="minorEastAsia"/>
                <w:noProof/>
                <w:lang w:eastAsia="zh-CN"/>
              </w:rPr>
              <w:t>1</w:t>
            </w:r>
            <w:r w:rsidRPr="000514FC">
              <w:rPr>
                <w:rFonts w:ascii="SimSun" w:hAnsi="SimSun" w:hint="eastAsia"/>
                <w:noProof/>
                <w:lang w:eastAsia="zh-CN"/>
              </w:rPr>
              <w:t>：</w:t>
            </w:r>
            <w:r>
              <w:rPr>
                <w:rFonts w:ascii="SimSun" w:hAnsi="SimSun" w:cs="SimSun" w:hint="eastAsia"/>
                <w:noProof/>
                <w:lang w:eastAsia="zh-CN"/>
              </w:rPr>
              <w:t>增加</w:t>
            </w:r>
            <w:r w:rsidRPr="00CA21B7">
              <w:rPr>
                <w:lang w:eastAsia="zh-CN"/>
              </w:rPr>
              <w:t>WP</w:t>
            </w:r>
            <w:r>
              <w:rPr>
                <w:lang w:eastAsia="zh-CN"/>
              </w:rPr>
              <w:t> </w:t>
            </w:r>
            <w:r w:rsidRPr="00CA21B7">
              <w:rPr>
                <w:lang w:eastAsia="zh-CN"/>
              </w:rPr>
              <w:t>2/2</w:t>
            </w:r>
            <w:r>
              <w:rPr>
                <w:rFonts w:ascii="SimSun" w:hAnsi="SimSun" w:cs="SimSun" w:hint="eastAsia"/>
                <w:noProof/>
                <w:lang w:eastAsia="zh-CN"/>
              </w:rPr>
              <w:t>研究的课题</w:t>
            </w:r>
            <w:r w:rsidRPr="00D03646">
              <w:rPr>
                <w:noProof/>
                <w:lang w:eastAsia="zh-CN"/>
              </w:rPr>
              <w:t xml:space="preserve"> 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color w:val="222222"/>
                <w:lang w:val="en" w:eastAsia="zh-CN"/>
              </w:rPr>
            </w:pPr>
            <w:r w:rsidRPr="00D03646">
              <w:rPr>
                <w:color w:val="222222"/>
                <w:lang w:val="en" w:eastAsia="zh-CN"/>
              </w:rPr>
              <w:t>SG</w:t>
            </w:r>
            <w:r>
              <w:rPr>
                <w:color w:val="222222"/>
                <w:lang w:val="en" w:eastAsia="zh-CN"/>
              </w:rPr>
              <w:t xml:space="preserve"> </w:t>
            </w:r>
            <w:r w:rsidRPr="00D03646">
              <w:rPr>
                <w:color w:val="222222"/>
                <w:lang w:val="en" w:eastAsia="zh-CN"/>
              </w:rPr>
              <w:t>13</w:t>
            </w:r>
            <w:r>
              <w:rPr>
                <w:rFonts w:eastAsiaTheme="minorEastAsia" w:hint="eastAsia"/>
                <w:color w:val="222222"/>
                <w:lang w:val="en" w:eastAsia="zh-CN"/>
              </w:rPr>
              <w:t>将成为有关在用和未来网络网管的牵头研究组。</w:t>
            </w:r>
          </w:p>
        </w:tc>
      </w:tr>
      <w:tr w:rsidR="00497434" w:rsidRPr="00D03646" w:rsidTr="00E9039D">
        <w:trPr>
          <w:trHeight w:val="283"/>
        </w:trPr>
        <w:tc>
          <w:tcPr>
            <w:tcW w:w="1545" w:type="dxa"/>
            <w:vMerge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  <w:r w:rsidRPr="00D03646">
              <w:rPr>
                <w:noProof/>
                <w:lang w:eastAsia="zh-CN"/>
              </w:rPr>
              <w:t>NOC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7434" w:rsidRPr="002D4A6B" w:rsidRDefault="00497434" w:rsidP="00497434">
            <w:pPr>
              <w:pStyle w:val="Tabletext"/>
              <w:rPr>
                <w:noProof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noProof/>
                <w:lang w:eastAsia="zh-CN"/>
              </w:rPr>
              <w:t>方案</w:t>
            </w:r>
            <w:r w:rsidRPr="00FC0BBC">
              <w:rPr>
                <w:noProof/>
                <w:lang w:eastAsia="zh-CN"/>
              </w:rPr>
              <w:t>2</w:t>
            </w:r>
            <w:r>
              <w:rPr>
                <w:rFonts w:eastAsiaTheme="minorEastAsia" w:hint="eastAsia"/>
                <w:noProof/>
                <w:lang w:eastAsia="zh-CN"/>
              </w:rPr>
              <w:t>：</w:t>
            </w:r>
            <w:r w:rsidRPr="002D4A6B">
              <w:rPr>
                <w:noProof/>
                <w:lang w:eastAsia="zh-CN"/>
              </w:rPr>
              <w:t>NOC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color w:val="222222"/>
                <w:lang w:val="en" w:eastAsia="zh-CN"/>
              </w:rPr>
            </w:pPr>
          </w:p>
        </w:tc>
      </w:tr>
      <w:tr w:rsidR="00497434" w:rsidRPr="00D03646" w:rsidTr="00E9039D">
        <w:trPr>
          <w:trHeight w:val="540"/>
        </w:trPr>
        <w:tc>
          <w:tcPr>
            <w:tcW w:w="1545" w:type="dxa"/>
            <w:shd w:val="clear" w:color="auto" w:fill="auto"/>
            <w:vAlign w:val="center"/>
          </w:tcPr>
          <w:p w:rsidR="00497434" w:rsidRPr="00497434" w:rsidRDefault="00497434" w:rsidP="00497434">
            <w:pPr>
              <w:pStyle w:val="Tabletext"/>
              <w:rPr>
                <w:b/>
                <w:lang w:eastAsia="zh-CN"/>
              </w:rPr>
            </w:pPr>
            <w:r w:rsidRPr="00497434">
              <w:rPr>
                <w:b/>
                <w:lang w:eastAsia="zh-CN"/>
              </w:rPr>
              <w:t>SG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  <w:r w:rsidRPr="00D03646">
              <w:rPr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O</w:t>
            </w:r>
            <w:r w:rsidRPr="00D03646">
              <w:rPr>
                <w:noProof/>
                <w:lang w:eastAsia="zh-CN"/>
              </w:rPr>
              <w:t>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color w:val="222222"/>
                <w:lang w:val="en" w:eastAsia="zh-CN"/>
              </w:rPr>
            </w:pPr>
          </w:p>
        </w:tc>
      </w:tr>
      <w:tr w:rsidR="00497434" w:rsidRPr="00D03646" w:rsidTr="00E9039D">
        <w:trPr>
          <w:trHeight w:val="406"/>
        </w:trPr>
        <w:tc>
          <w:tcPr>
            <w:tcW w:w="1545" w:type="dxa"/>
            <w:shd w:val="clear" w:color="auto" w:fill="auto"/>
            <w:vAlign w:val="center"/>
          </w:tcPr>
          <w:p w:rsidR="00497434" w:rsidRPr="00497434" w:rsidRDefault="00497434" w:rsidP="00497434">
            <w:pPr>
              <w:pStyle w:val="Tabletext"/>
              <w:rPr>
                <w:b/>
                <w:lang w:eastAsia="zh-CN"/>
              </w:rPr>
            </w:pPr>
            <w:r w:rsidRPr="00497434">
              <w:rPr>
                <w:b/>
                <w:lang w:eastAsia="zh-CN"/>
              </w:rPr>
              <w:t>SG 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  <w:r w:rsidRPr="005D7AD0">
              <w:rPr>
                <w:noProof/>
                <w:lang w:eastAsia="zh-CN"/>
              </w:rPr>
              <w:t>MOD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  <w:r>
              <w:rPr>
                <w:rFonts w:ascii="SimSun" w:hAnsi="SimSun" w:cs="SimSun" w:hint="eastAsia"/>
                <w:noProof/>
                <w:lang w:eastAsia="zh-CN"/>
              </w:rPr>
              <w:t>增加</w:t>
            </w:r>
            <w:r w:rsidRPr="00CA21B7">
              <w:rPr>
                <w:lang w:eastAsia="zh-CN"/>
              </w:rPr>
              <w:t>SG</w:t>
            </w:r>
            <w:r>
              <w:rPr>
                <w:lang w:eastAsia="zh-CN"/>
              </w:rPr>
              <w:t> </w:t>
            </w:r>
            <w:r w:rsidRPr="00CA21B7">
              <w:rPr>
                <w:lang w:eastAsia="zh-CN"/>
              </w:rPr>
              <w:t>2</w:t>
            </w:r>
            <w:r>
              <w:rPr>
                <w:rFonts w:ascii="SimSun" w:hAnsi="SimSun" w:cs="SimSun" w:hint="eastAsia"/>
                <w:noProof/>
                <w:lang w:eastAsia="zh-CN"/>
              </w:rPr>
              <w:t>转来的</w:t>
            </w:r>
            <w:r w:rsidRPr="00D03646">
              <w:rPr>
                <w:noProof/>
                <w:lang w:eastAsia="zh-CN"/>
              </w:rPr>
              <w:t>Q4/2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color w:val="222222"/>
                <w:lang w:val="en" w:eastAsia="zh-CN"/>
              </w:rPr>
            </w:pPr>
            <w:r>
              <w:rPr>
                <w:rFonts w:ascii="SimSun" w:hAnsi="SimSun" w:cs="SimSun" w:hint="eastAsia"/>
                <w:color w:val="222222"/>
                <w:lang w:val="en" w:eastAsia="zh-CN"/>
              </w:rPr>
              <w:t>关注</w:t>
            </w:r>
            <w:r>
              <w:rPr>
                <w:color w:val="222222"/>
                <w:lang w:val="en" w:eastAsia="zh-CN"/>
              </w:rPr>
              <w:t>MM</w:t>
            </w:r>
            <w:r>
              <w:rPr>
                <w:rFonts w:ascii="SimSun" w:hAnsi="SimSun" w:cs="SimSun" w:hint="eastAsia"/>
                <w:color w:val="222222"/>
                <w:lang w:val="en" w:eastAsia="zh-CN"/>
              </w:rPr>
              <w:t>、无障碍获取问题和认为因</w:t>
            </w:r>
            <w:r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素。</w:t>
            </w:r>
          </w:p>
        </w:tc>
      </w:tr>
      <w:tr w:rsidR="00497434" w:rsidRPr="00D03646" w:rsidTr="00E9039D">
        <w:trPr>
          <w:trHeight w:val="425"/>
        </w:trPr>
        <w:tc>
          <w:tcPr>
            <w:tcW w:w="1545" w:type="dxa"/>
            <w:shd w:val="clear" w:color="auto" w:fill="auto"/>
            <w:vAlign w:val="center"/>
          </w:tcPr>
          <w:p w:rsidR="00497434" w:rsidRPr="00497434" w:rsidRDefault="00497434" w:rsidP="00497434">
            <w:pPr>
              <w:pStyle w:val="Tabletext"/>
              <w:rPr>
                <w:b/>
                <w:lang w:eastAsia="zh-CN"/>
              </w:rPr>
            </w:pPr>
            <w:r w:rsidRPr="00497434">
              <w:rPr>
                <w:b/>
                <w:lang w:eastAsia="zh-CN"/>
              </w:rPr>
              <w:t>SG 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</w:t>
            </w:r>
            <w:r w:rsidRPr="00D03646">
              <w:rPr>
                <w:noProof/>
                <w:lang w:eastAsia="zh-CN"/>
              </w:rPr>
              <w:t>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color w:val="222222"/>
                <w:lang w:val="en" w:eastAsia="zh-CN"/>
              </w:rPr>
            </w:pPr>
            <w:r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保持稳定</w:t>
            </w:r>
            <w:r>
              <w:rPr>
                <w:rFonts w:ascii="SimSun" w:hAnsi="SimSun" w:cs="SimSun" w:hint="eastAsia"/>
                <w:color w:val="222222"/>
                <w:lang w:val="en" w:eastAsia="zh-CN"/>
              </w:rPr>
              <w:t>的</w:t>
            </w:r>
            <w:r w:rsidRPr="00D03646">
              <w:rPr>
                <w:color w:val="222222"/>
                <w:lang w:val="en" w:eastAsia="zh-CN"/>
              </w:rPr>
              <w:t>SG</w:t>
            </w:r>
            <w:r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，侧重研究</w:t>
            </w:r>
            <w:r>
              <w:rPr>
                <w:rFonts w:ascii="SimSun" w:hAnsi="SimSun" w:cs="SimSun" w:hint="eastAsia"/>
                <w:color w:val="222222"/>
                <w:lang w:val="en" w:eastAsia="zh-CN"/>
              </w:rPr>
              <w:t>发展中国家问题</w:t>
            </w:r>
            <w:r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。</w:t>
            </w:r>
          </w:p>
        </w:tc>
      </w:tr>
      <w:tr w:rsidR="00497434" w:rsidRPr="00D03646" w:rsidTr="00E9039D">
        <w:trPr>
          <w:trHeight w:val="425"/>
        </w:trPr>
        <w:tc>
          <w:tcPr>
            <w:tcW w:w="1545" w:type="dxa"/>
            <w:shd w:val="clear" w:color="auto" w:fill="auto"/>
            <w:vAlign w:val="center"/>
          </w:tcPr>
          <w:p w:rsidR="00497434" w:rsidRPr="00497434" w:rsidRDefault="00497434" w:rsidP="00497434">
            <w:pPr>
              <w:pStyle w:val="Tabletext"/>
              <w:rPr>
                <w:b/>
                <w:lang w:eastAsia="zh-CN"/>
              </w:rPr>
            </w:pPr>
            <w:r w:rsidRPr="00497434">
              <w:rPr>
                <w:b/>
                <w:lang w:eastAsia="zh-CN"/>
              </w:rPr>
              <w:t>SG 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</w:t>
            </w:r>
            <w:r w:rsidRPr="00D03646">
              <w:rPr>
                <w:noProof/>
                <w:lang w:eastAsia="zh-CN"/>
              </w:rPr>
              <w:t>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noProof/>
                <w:lang w:eastAsia="zh-CN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 w:rsidR="00497434" w:rsidRPr="00D03646" w:rsidRDefault="00497434" w:rsidP="00497434">
            <w:pPr>
              <w:pStyle w:val="Tabletext"/>
              <w:rPr>
                <w:color w:val="222222"/>
                <w:lang w:val="en" w:eastAsia="zh-CN"/>
              </w:rPr>
            </w:pPr>
            <w:r>
              <w:rPr>
                <w:rFonts w:ascii="SimSun" w:hAnsi="SimSun" w:cs="SimSun" w:hint="eastAsia"/>
                <w:color w:val="222222"/>
                <w:lang w:val="en" w:eastAsia="zh-CN"/>
              </w:rPr>
              <w:t>非洲成员国支持</w:t>
            </w:r>
            <w:r w:rsidRPr="00CA21B7">
              <w:rPr>
                <w:color w:val="222222"/>
                <w:szCs w:val="22"/>
                <w:lang w:eastAsia="zh-CN"/>
              </w:rPr>
              <w:t>SG</w:t>
            </w:r>
            <w:r>
              <w:rPr>
                <w:color w:val="222222"/>
                <w:szCs w:val="22"/>
                <w:lang w:eastAsia="zh-CN"/>
              </w:rPr>
              <w:t> </w:t>
            </w:r>
            <w:r w:rsidRPr="00CA21B7">
              <w:rPr>
                <w:color w:val="222222"/>
                <w:szCs w:val="22"/>
                <w:lang w:eastAsia="zh-CN"/>
              </w:rPr>
              <w:t>20</w:t>
            </w:r>
            <w:r>
              <w:rPr>
                <w:rFonts w:ascii="SimSun" w:hAnsi="SimSun" w:cs="SimSun" w:hint="eastAsia"/>
                <w:color w:val="222222"/>
                <w:lang w:val="en" w:eastAsia="zh-CN"/>
              </w:rPr>
              <w:t>的创建</w:t>
            </w:r>
            <w:r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、</w:t>
            </w:r>
            <w:r>
              <w:rPr>
                <w:rFonts w:ascii="SimSun" w:hAnsi="SimSun" w:cs="SimSun" w:hint="eastAsia"/>
                <w:color w:val="222222"/>
                <w:lang w:val="en" w:eastAsia="zh-CN"/>
              </w:rPr>
              <w:t>课题和职责范围</w:t>
            </w:r>
            <w:r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，并侧重研究</w:t>
            </w:r>
            <w:r>
              <w:rPr>
                <w:rFonts w:ascii="SimSun" w:hAnsi="SimSun" w:cs="SimSun" w:hint="eastAsia"/>
                <w:color w:val="222222"/>
                <w:lang w:val="en" w:eastAsia="zh-CN"/>
              </w:rPr>
              <w:t>发展中国家问题</w:t>
            </w:r>
            <w:r>
              <w:rPr>
                <w:rFonts w:asciiTheme="minorEastAsia" w:eastAsiaTheme="minorEastAsia" w:hAnsiTheme="minorEastAsia" w:hint="eastAsia"/>
                <w:color w:val="222222"/>
                <w:lang w:val="en" w:eastAsia="zh-CN"/>
              </w:rPr>
              <w:t>。</w:t>
            </w:r>
          </w:p>
        </w:tc>
      </w:tr>
    </w:tbl>
    <w:p w:rsidR="00CA072D" w:rsidRDefault="00CA072D" w:rsidP="00B33186">
      <w:pPr>
        <w:pStyle w:val="Reasons"/>
        <w:rPr>
          <w:lang w:eastAsia="zh-CN"/>
        </w:rPr>
      </w:pPr>
    </w:p>
    <w:p w:rsidR="00CA072D" w:rsidRPr="00D95688" w:rsidRDefault="00CA072D" w:rsidP="00B33186">
      <w:pPr>
        <w:pStyle w:val="Heading1"/>
        <w:spacing w:before="120"/>
        <w:rPr>
          <w:lang w:eastAsia="zh-CN"/>
        </w:rPr>
      </w:pPr>
      <w:r w:rsidRPr="00D95688">
        <w:rPr>
          <w:lang w:eastAsia="zh-CN"/>
        </w:rPr>
        <w:lastRenderedPageBreak/>
        <w:t>3</w:t>
      </w:r>
      <w:r>
        <w:rPr>
          <w:lang w:eastAsia="zh-CN"/>
        </w:rPr>
        <w:tab/>
      </w:r>
      <w:r w:rsidR="005A738D" w:rsidRPr="005A738D">
        <w:rPr>
          <w:rFonts w:hint="eastAsia"/>
          <w:lang w:eastAsia="zh-CN"/>
        </w:rPr>
        <w:t>审查委员会（</w:t>
      </w:r>
      <w:proofErr w:type="spellStart"/>
      <w:r w:rsidR="005A738D" w:rsidRPr="005A738D">
        <w:rPr>
          <w:rFonts w:hint="eastAsia"/>
          <w:lang w:eastAsia="zh-CN"/>
        </w:rPr>
        <w:t>RevCom</w:t>
      </w:r>
      <w:proofErr w:type="spellEnd"/>
      <w:r w:rsidR="005A738D" w:rsidRPr="005A738D">
        <w:rPr>
          <w:rFonts w:hint="eastAsia"/>
          <w:lang w:eastAsia="zh-CN"/>
        </w:rPr>
        <w:t>）</w:t>
      </w:r>
    </w:p>
    <w:p w:rsidR="00CA072D" w:rsidRPr="00D03646" w:rsidRDefault="005A738D" w:rsidP="00296CD2">
      <w:pPr>
        <w:ind w:firstLineChars="200" w:firstLine="480"/>
        <w:rPr>
          <w:i/>
          <w:iCs/>
          <w:noProof/>
          <w:color w:val="FF0000"/>
          <w:lang w:eastAsia="zh-CN"/>
        </w:rPr>
      </w:pPr>
      <w:r w:rsidRPr="005A738D">
        <w:rPr>
          <w:rFonts w:hint="eastAsia"/>
          <w:noProof/>
          <w:lang w:eastAsia="zh-CN"/>
        </w:rPr>
        <w:t>注意</w:t>
      </w:r>
      <w:r>
        <w:rPr>
          <w:rFonts w:hint="eastAsia"/>
          <w:noProof/>
          <w:lang w:eastAsia="zh-CN"/>
        </w:rPr>
        <w:t>到</w:t>
      </w:r>
      <w:r w:rsidRPr="005A738D">
        <w:rPr>
          <w:rFonts w:hint="eastAsia"/>
          <w:noProof/>
          <w:lang w:eastAsia="zh-CN"/>
        </w:rPr>
        <w:t>，审查委员会已经完成</w:t>
      </w:r>
      <w:r w:rsidR="007E3082">
        <w:rPr>
          <w:rFonts w:hint="eastAsia"/>
          <w:noProof/>
          <w:lang w:eastAsia="zh-CN"/>
        </w:rPr>
        <w:t>其</w:t>
      </w:r>
      <w:r w:rsidRPr="005A738D">
        <w:rPr>
          <w:rFonts w:hint="eastAsia"/>
          <w:noProof/>
          <w:lang w:eastAsia="zh-CN"/>
        </w:rPr>
        <w:t>任务，非洲成员国的意见是，</w:t>
      </w:r>
      <w:r>
        <w:rPr>
          <w:rFonts w:hint="eastAsia"/>
          <w:noProof/>
          <w:lang w:eastAsia="zh-CN"/>
        </w:rPr>
        <w:t>鉴于</w:t>
      </w:r>
      <w:proofErr w:type="spellStart"/>
      <w:r w:rsidRPr="00D95688">
        <w:rPr>
          <w:lang w:eastAsia="zh-CN"/>
        </w:rPr>
        <w:t>RevCom</w:t>
      </w:r>
      <w:proofErr w:type="spellEnd"/>
      <w:r w:rsidR="007E3082">
        <w:rPr>
          <w:lang w:eastAsia="zh-CN"/>
        </w:rPr>
        <w:t>将</w:t>
      </w:r>
      <w:r w:rsidRPr="005A738D">
        <w:rPr>
          <w:rFonts w:hint="eastAsia"/>
          <w:noProof/>
          <w:lang w:eastAsia="zh-CN"/>
        </w:rPr>
        <w:t>在</w:t>
      </w:r>
      <w:r w:rsidRPr="00D03646">
        <w:rPr>
          <w:noProof/>
          <w:lang w:eastAsia="zh-CN"/>
        </w:rPr>
        <w:t>WTSA-16</w:t>
      </w:r>
      <w:r>
        <w:rPr>
          <w:rFonts w:hint="eastAsia"/>
          <w:noProof/>
          <w:lang w:eastAsia="zh-CN"/>
        </w:rPr>
        <w:t>期间</w:t>
      </w:r>
      <w:r w:rsidRPr="005A738D">
        <w:rPr>
          <w:rFonts w:hint="eastAsia"/>
          <w:noProof/>
          <w:lang w:eastAsia="zh-CN"/>
        </w:rPr>
        <w:t>结束其活动，</w:t>
      </w:r>
      <w:r w:rsidR="007E3082">
        <w:rPr>
          <w:rFonts w:hint="eastAsia"/>
          <w:noProof/>
          <w:lang w:eastAsia="zh-CN"/>
        </w:rPr>
        <w:t>可以废止</w:t>
      </w:r>
      <w:r w:rsidRPr="00D03646">
        <w:rPr>
          <w:noProof/>
          <w:lang w:eastAsia="zh-CN"/>
        </w:rPr>
        <w:t>WTSA</w:t>
      </w:r>
      <w:r>
        <w:rPr>
          <w:rFonts w:hint="eastAsia"/>
          <w:noProof/>
          <w:lang w:eastAsia="zh-CN"/>
        </w:rPr>
        <w:t>第</w:t>
      </w:r>
      <w:r w:rsidRPr="00D03646">
        <w:rPr>
          <w:noProof/>
          <w:lang w:eastAsia="zh-CN"/>
        </w:rPr>
        <w:t>82</w:t>
      </w:r>
      <w:r>
        <w:rPr>
          <w:noProof/>
          <w:lang w:eastAsia="zh-CN"/>
        </w:rPr>
        <w:t>号决议</w:t>
      </w:r>
      <w:r w:rsidRPr="005A738D">
        <w:rPr>
          <w:rFonts w:hint="eastAsia"/>
          <w:noProof/>
          <w:lang w:eastAsia="zh-CN"/>
        </w:rPr>
        <w:t>。</w:t>
      </w:r>
    </w:p>
    <w:p w:rsidR="006E685C" w:rsidRDefault="00ED480B" w:rsidP="00B33186">
      <w:pPr>
        <w:pStyle w:val="Proposal"/>
        <w:rPr>
          <w:lang w:eastAsia="zh-CN"/>
        </w:rPr>
      </w:pPr>
      <w:r>
        <w:rPr>
          <w:lang w:eastAsia="zh-CN"/>
        </w:rPr>
        <w:tab/>
        <w:t>AFCP/42A32/4</w:t>
      </w:r>
    </w:p>
    <w:p w:rsidR="00A77781" w:rsidRDefault="00FC0BBC" w:rsidP="00D71534">
      <w:pPr>
        <w:ind w:firstLineChars="200" w:firstLine="480"/>
        <w:rPr>
          <w:lang w:val="en-US" w:eastAsia="zh-CN"/>
        </w:rPr>
      </w:pPr>
      <w:proofErr w:type="spellStart"/>
      <w:r>
        <w:rPr>
          <w:lang w:val="en-US" w:eastAsia="zh-CN"/>
        </w:rPr>
        <w:t>RevCom</w:t>
      </w:r>
      <w:proofErr w:type="spellEnd"/>
      <w:r w:rsidR="007E3082">
        <w:rPr>
          <w:lang w:val="en-US" w:eastAsia="zh-CN"/>
        </w:rPr>
        <w:t>将</w:t>
      </w:r>
      <w:r w:rsidR="005A738D">
        <w:rPr>
          <w:lang w:val="en-US" w:eastAsia="zh-CN"/>
        </w:rPr>
        <w:t>在</w:t>
      </w:r>
      <w:r w:rsidR="005A738D" w:rsidRPr="00D95688">
        <w:rPr>
          <w:lang w:val="en-US" w:eastAsia="zh-CN"/>
        </w:rPr>
        <w:t>WTSA-16</w:t>
      </w:r>
      <w:r w:rsidR="005A738D">
        <w:rPr>
          <w:lang w:val="en-US" w:eastAsia="zh-CN"/>
        </w:rPr>
        <w:t>期间结束其活动</w:t>
      </w:r>
      <w:r w:rsidR="005A738D">
        <w:rPr>
          <w:rFonts w:hint="eastAsia"/>
          <w:lang w:val="en-US" w:eastAsia="zh-CN"/>
        </w:rPr>
        <w:t>。</w:t>
      </w:r>
    </w:p>
    <w:p w:rsidR="006E685C" w:rsidRDefault="006E685C" w:rsidP="00A77781">
      <w:pPr>
        <w:pStyle w:val="Reasons"/>
        <w:rPr>
          <w:lang w:eastAsia="zh-CN"/>
        </w:rPr>
      </w:pPr>
    </w:p>
    <w:p w:rsidR="006E685C" w:rsidRDefault="00ED480B" w:rsidP="00B33186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AFCP/42A32/5</w:t>
      </w:r>
    </w:p>
    <w:p w:rsidR="00E9039D" w:rsidRPr="004E322F" w:rsidRDefault="00ED480B" w:rsidP="00B33186">
      <w:pPr>
        <w:pStyle w:val="ResNo"/>
        <w:rPr>
          <w:lang w:eastAsia="zh-CN"/>
        </w:rPr>
      </w:pPr>
      <w:bookmarkStart w:id="0" w:name="_Toc348252520"/>
      <w:r w:rsidRPr="00C52866">
        <w:rPr>
          <w:rStyle w:val="href"/>
          <w:rFonts w:hint="eastAsia"/>
        </w:rPr>
        <w:t>第</w:t>
      </w:r>
      <w:r w:rsidRPr="00C52866">
        <w:rPr>
          <w:rStyle w:val="href"/>
          <w:rFonts w:hint="eastAsia"/>
        </w:rPr>
        <w:t>82</w:t>
      </w:r>
      <w:r w:rsidRPr="00C52866">
        <w:rPr>
          <w:rStyle w:val="href"/>
          <w:rFonts w:hint="eastAsia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年，迪拜）</w:t>
      </w:r>
      <w:bookmarkEnd w:id="0"/>
    </w:p>
    <w:p w:rsidR="00E9039D" w:rsidRPr="00C445B8" w:rsidRDefault="00ED480B" w:rsidP="00B33186">
      <w:pPr>
        <w:pStyle w:val="Restitle"/>
        <w:rPr>
          <w:lang w:eastAsia="zh-CN"/>
        </w:rPr>
      </w:pPr>
      <w:bookmarkStart w:id="1" w:name="_Toc348252521"/>
      <w:r>
        <w:rPr>
          <w:rFonts w:hint="eastAsia"/>
          <w:lang w:eastAsia="zh-CN"/>
        </w:rPr>
        <w:t>国际电联电信标准化部门</w:t>
      </w:r>
      <w:r w:rsidRPr="00C445B8">
        <w:rPr>
          <w:rFonts w:hint="eastAsia"/>
          <w:lang w:eastAsia="zh-CN"/>
        </w:rPr>
        <w:t>的</w:t>
      </w:r>
      <w:r>
        <w:rPr>
          <w:lang w:eastAsia="zh-CN"/>
        </w:rPr>
        <w:br/>
      </w:r>
      <w:r w:rsidRPr="00C445B8">
        <w:rPr>
          <w:rFonts w:hint="eastAsia"/>
          <w:lang w:eastAsia="zh-CN"/>
        </w:rPr>
        <w:t>战略和结构</w:t>
      </w:r>
      <w:r>
        <w:rPr>
          <w:rFonts w:hint="eastAsia"/>
          <w:lang w:eastAsia="zh-CN"/>
        </w:rPr>
        <w:t>审查</w:t>
      </w:r>
      <w:bookmarkEnd w:id="1"/>
    </w:p>
    <w:p w:rsidR="00E9039D" w:rsidRPr="00E0525F" w:rsidRDefault="00ED480B" w:rsidP="00B33186">
      <w:pPr>
        <w:pStyle w:val="Resref"/>
        <w:rPr>
          <w:szCs w:val="22"/>
          <w:lang w:eastAsia="zh-CN"/>
        </w:rPr>
      </w:pPr>
      <w:r w:rsidRPr="00E0525F">
        <w:rPr>
          <w:szCs w:val="22"/>
          <w:lang w:eastAsia="zh-CN"/>
        </w:rPr>
        <w:t>（</w:t>
      </w:r>
      <w:r w:rsidRPr="00E0525F">
        <w:rPr>
          <w:szCs w:val="22"/>
          <w:lang w:eastAsia="zh-CN"/>
        </w:rPr>
        <w:t>2012</w:t>
      </w:r>
      <w:r w:rsidRPr="00E0525F">
        <w:rPr>
          <w:szCs w:val="22"/>
          <w:lang w:eastAsia="zh-CN"/>
        </w:rPr>
        <w:t>年，迪拜）</w:t>
      </w:r>
    </w:p>
    <w:p w:rsidR="00E9039D" w:rsidRPr="004E322F" w:rsidRDefault="00ED480B" w:rsidP="00B33186">
      <w:pPr>
        <w:pStyle w:val="Normalaftertitle0"/>
        <w:rPr>
          <w:lang w:eastAsia="zh-CN"/>
        </w:rPr>
      </w:pPr>
      <w:r>
        <w:rPr>
          <w:rFonts w:hint="eastAsia"/>
          <w:lang w:eastAsia="zh-CN"/>
        </w:rPr>
        <w:t>世界电</w:t>
      </w:r>
      <w:bookmarkStart w:id="2" w:name="_GoBack"/>
      <w:bookmarkEnd w:id="2"/>
      <w:r>
        <w:rPr>
          <w:rFonts w:hint="eastAsia"/>
          <w:lang w:eastAsia="zh-CN"/>
        </w:rPr>
        <w:t>信标准化全会（</w:t>
      </w:r>
      <w:r>
        <w:rPr>
          <w:lang w:eastAsia="zh-CN"/>
        </w:rPr>
        <w:t>2012</w:t>
      </w:r>
      <w:r>
        <w:rPr>
          <w:rFonts w:hint="eastAsia"/>
          <w:lang w:eastAsia="zh-CN"/>
        </w:rPr>
        <w:t>年，迪拜），</w:t>
      </w:r>
    </w:p>
    <w:p w:rsidR="00CA072D" w:rsidRDefault="00CA072D" w:rsidP="00B33186">
      <w:pPr>
        <w:pStyle w:val="Reasons"/>
        <w:rPr>
          <w:lang w:eastAsia="zh-CN"/>
        </w:rPr>
      </w:pPr>
    </w:p>
    <w:p w:rsidR="00CA072D" w:rsidRDefault="00CA072D" w:rsidP="00B33186">
      <w:pPr>
        <w:jc w:val="center"/>
      </w:pPr>
      <w:r>
        <w:t>______________</w:t>
      </w:r>
    </w:p>
    <w:p w:rsidR="006E685C" w:rsidRDefault="006E685C" w:rsidP="00B33186">
      <w:pPr>
        <w:pStyle w:val="Reasons"/>
        <w:rPr>
          <w:lang w:eastAsia="zh-CN"/>
        </w:rPr>
      </w:pPr>
    </w:p>
    <w:sectPr w:rsidR="006E685C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BF2" w:rsidRDefault="00326BF2">
      <w:r>
        <w:separator/>
      </w:r>
    </w:p>
  </w:endnote>
  <w:endnote w:type="continuationSeparator" w:id="0">
    <w:p w:rsidR="00326BF2" w:rsidRDefault="0032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9D" w:rsidRPr="00CA072D" w:rsidRDefault="00E9039D" w:rsidP="00231452">
    <w:pPr>
      <w:pStyle w:val="Footer"/>
      <w:rPr>
        <w:lang w:val="fr-CH"/>
      </w:rPr>
    </w:pPr>
    <w:r>
      <w:fldChar w:fldCharType="begin"/>
    </w:r>
    <w:r w:rsidRPr="00CA072D">
      <w:rPr>
        <w:lang w:val="fr-CH"/>
      </w:rPr>
      <w:instrText xml:space="preserve"> FILENAME \p \* MERGEFORMAT </w:instrText>
    </w:r>
    <w:r>
      <w:fldChar w:fldCharType="separate"/>
    </w:r>
    <w:r w:rsidR="00B33186">
      <w:rPr>
        <w:lang w:val="fr-CH"/>
      </w:rPr>
      <w:t>P:\CHI\ITU-T\CONF-T\WTSA16\000\042ADD32C.docx</w:t>
    </w:r>
    <w:r>
      <w:fldChar w:fldCharType="end"/>
    </w:r>
    <w:r w:rsidRPr="00CA072D">
      <w:rPr>
        <w:lang w:val="fr-CH"/>
      </w:rPr>
      <w:t xml:space="preserve"> (406704)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9D" w:rsidRPr="00CA072D" w:rsidRDefault="00E9039D" w:rsidP="00231452">
    <w:pPr>
      <w:pStyle w:val="Footer"/>
      <w:rPr>
        <w:lang w:val="fr-CH"/>
      </w:rPr>
    </w:pPr>
    <w:r>
      <w:fldChar w:fldCharType="begin"/>
    </w:r>
    <w:r w:rsidRPr="00CA072D">
      <w:rPr>
        <w:lang w:val="fr-CH"/>
      </w:rPr>
      <w:instrText xml:space="preserve"> FILENAME \p \* MERGEFORMAT </w:instrText>
    </w:r>
    <w:r>
      <w:fldChar w:fldCharType="separate"/>
    </w:r>
    <w:r w:rsidR="00B33186">
      <w:rPr>
        <w:lang w:val="fr-CH"/>
      </w:rPr>
      <w:t>P:\CHI\ITU-T\CONF-T\WTSA16\000\042ADD32C.docx</w:t>
    </w:r>
    <w:r>
      <w:fldChar w:fldCharType="end"/>
    </w:r>
    <w:r w:rsidRPr="00CA072D">
      <w:rPr>
        <w:lang w:val="fr-CH"/>
      </w:rPr>
      <w:t xml:space="preserve"> (406704)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BF2" w:rsidRDefault="00326BF2">
      <w:r>
        <w:t>____________________</w:t>
      </w:r>
    </w:p>
  </w:footnote>
  <w:footnote w:type="continuationSeparator" w:id="0">
    <w:p w:rsidR="00326BF2" w:rsidRDefault="00326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39D" w:rsidRDefault="00E9039D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6CD2">
      <w:rPr>
        <w:rStyle w:val="PageNumber"/>
        <w:noProof/>
      </w:rPr>
      <w:t>4</w:t>
    </w:r>
    <w:r>
      <w:rPr>
        <w:rStyle w:val="PageNumber"/>
      </w:rPr>
      <w:fldChar w:fldCharType="end"/>
    </w:r>
  </w:p>
  <w:p w:rsidR="00E9039D" w:rsidRPr="000A3B30" w:rsidRDefault="00E9039D" w:rsidP="000A3B30">
    <w:pPr>
      <w:pStyle w:val="Header"/>
      <w:rPr>
        <w:lang w:val="en-US"/>
      </w:rPr>
    </w:pPr>
    <w:r>
      <w:t>WTSA16/42(Add.32)-C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93164"/>
    <w:multiLevelType w:val="hybridMultilevel"/>
    <w:tmpl w:val="E8C46C0E"/>
    <w:lvl w:ilvl="0" w:tplc="15CEE114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096A5B"/>
    <w:multiLevelType w:val="hybridMultilevel"/>
    <w:tmpl w:val="C1AA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C3F4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E5336"/>
    <w:multiLevelType w:val="hybridMultilevel"/>
    <w:tmpl w:val="153AC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6275A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  <w:color w:val="222222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D614B"/>
    <w:multiLevelType w:val="hybridMultilevel"/>
    <w:tmpl w:val="BEE0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03960"/>
    <w:rsid w:val="0001097C"/>
    <w:rsid w:val="000174B1"/>
    <w:rsid w:val="000230B9"/>
    <w:rsid w:val="000264C2"/>
    <w:rsid w:val="000273B7"/>
    <w:rsid w:val="00031E6B"/>
    <w:rsid w:val="00037C90"/>
    <w:rsid w:val="00045F9F"/>
    <w:rsid w:val="000514FC"/>
    <w:rsid w:val="00053738"/>
    <w:rsid w:val="00056783"/>
    <w:rsid w:val="00061C37"/>
    <w:rsid w:val="00081F9B"/>
    <w:rsid w:val="000A3B30"/>
    <w:rsid w:val="000A7418"/>
    <w:rsid w:val="000C09BA"/>
    <w:rsid w:val="000C1F1E"/>
    <w:rsid w:val="000C6AA7"/>
    <w:rsid w:val="000E26F6"/>
    <w:rsid w:val="00123B64"/>
    <w:rsid w:val="0012561E"/>
    <w:rsid w:val="00164A53"/>
    <w:rsid w:val="00165E9C"/>
    <w:rsid w:val="00166859"/>
    <w:rsid w:val="00172D4B"/>
    <w:rsid w:val="001765EC"/>
    <w:rsid w:val="001853E8"/>
    <w:rsid w:val="001B6360"/>
    <w:rsid w:val="001D47FF"/>
    <w:rsid w:val="001D6102"/>
    <w:rsid w:val="001F1FE5"/>
    <w:rsid w:val="001F4EA6"/>
    <w:rsid w:val="00214959"/>
    <w:rsid w:val="00231452"/>
    <w:rsid w:val="00246C4C"/>
    <w:rsid w:val="0028063B"/>
    <w:rsid w:val="00286E63"/>
    <w:rsid w:val="00296CD2"/>
    <w:rsid w:val="002A4C9C"/>
    <w:rsid w:val="002B509B"/>
    <w:rsid w:val="002C18D5"/>
    <w:rsid w:val="002C316D"/>
    <w:rsid w:val="002D05DE"/>
    <w:rsid w:val="002D162B"/>
    <w:rsid w:val="002D625E"/>
    <w:rsid w:val="002E0119"/>
    <w:rsid w:val="002E2A59"/>
    <w:rsid w:val="002F1CAE"/>
    <w:rsid w:val="00305254"/>
    <w:rsid w:val="003169D2"/>
    <w:rsid w:val="00326BF2"/>
    <w:rsid w:val="003468CA"/>
    <w:rsid w:val="003508A4"/>
    <w:rsid w:val="00352008"/>
    <w:rsid w:val="003556C0"/>
    <w:rsid w:val="00372FC2"/>
    <w:rsid w:val="003A1076"/>
    <w:rsid w:val="003A69EA"/>
    <w:rsid w:val="003B4BEF"/>
    <w:rsid w:val="003C6B45"/>
    <w:rsid w:val="003C7558"/>
    <w:rsid w:val="003F0C01"/>
    <w:rsid w:val="00400909"/>
    <w:rsid w:val="00404D0B"/>
    <w:rsid w:val="0041282E"/>
    <w:rsid w:val="0043213F"/>
    <w:rsid w:val="004328DC"/>
    <w:rsid w:val="00437869"/>
    <w:rsid w:val="00465A34"/>
    <w:rsid w:val="0047080C"/>
    <w:rsid w:val="0049633B"/>
    <w:rsid w:val="00497434"/>
    <w:rsid w:val="004C4554"/>
    <w:rsid w:val="004D04A4"/>
    <w:rsid w:val="004D18CE"/>
    <w:rsid w:val="004D2DEC"/>
    <w:rsid w:val="004E3D6D"/>
    <w:rsid w:val="004F2BE6"/>
    <w:rsid w:val="00502B2E"/>
    <w:rsid w:val="00507BA8"/>
    <w:rsid w:val="00524E4B"/>
    <w:rsid w:val="0052514B"/>
    <w:rsid w:val="00527E8A"/>
    <w:rsid w:val="00534930"/>
    <w:rsid w:val="00536193"/>
    <w:rsid w:val="00542E85"/>
    <w:rsid w:val="00562479"/>
    <w:rsid w:val="00576849"/>
    <w:rsid w:val="00577FCE"/>
    <w:rsid w:val="005A0ACB"/>
    <w:rsid w:val="005A4A9C"/>
    <w:rsid w:val="005A738D"/>
    <w:rsid w:val="005C73CE"/>
    <w:rsid w:val="005C7B12"/>
    <w:rsid w:val="005D7AD0"/>
    <w:rsid w:val="005E3731"/>
    <w:rsid w:val="005E3885"/>
    <w:rsid w:val="005E7FD8"/>
    <w:rsid w:val="00611DCC"/>
    <w:rsid w:val="00622560"/>
    <w:rsid w:val="00637760"/>
    <w:rsid w:val="00644391"/>
    <w:rsid w:val="00647712"/>
    <w:rsid w:val="00656BA5"/>
    <w:rsid w:val="00662E12"/>
    <w:rsid w:val="00691142"/>
    <w:rsid w:val="006B5467"/>
    <w:rsid w:val="006B6525"/>
    <w:rsid w:val="006B67CE"/>
    <w:rsid w:val="006C053E"/>
    <w:rsid w:val="006C38ED"/>
    <w:rsid w:val="006D377F"/>
    <w:rsid w:val="006E6182"/>
    <w:rsid w:val="006E685C"/>
    <w:rsid w:val="006F3C60"/>
    <w:rsid w:val="006F409E"/>
    <w:rsid w:val="00707454"/>
    <w:rsid w:val="00707CA4"/>
    <w:rsid w:val="00723A01"/>
    <w:rsid w:val="00736415"/>
    <w:rsid w:val="00770D2A"/>
    <w:rsid w:val="00775B71"/>
    <w:rsid w:val="00777BE2"/>
    <w:rsid w:val="007864F6"/>
    <w:rsid w:val="007B2FD8"/>
    <w:rsid w:val="007B7C4B"/>
    <w:rsid w:val="007D49C1"/>
    <w:rsid w:val="007E007A"/>
    <w:rsid w:val="007E1A3F"/>
    <w:rsid w:val="007E3082"/>
    <w:rsid w:val="007E6CE6"/>
    <w:rsid w:val="007F0FC5"/>
    <w:rsid w:val="007F1339"/>
    <w:rsid w:val="007F5C36"/>
    <w:rsid w:val="008047DB"/>
    <w:rsid w:val="008129A9"/>
    <w:rsid w:val="00817DF5"/>
    <w:rsid w:val="00820712"/>
    <w:rsid w:val="008221A4"/>
    <w:rsid w:val="0082361D"/>
    <w:rsid w:val="00824BD6"/>
    <w:rsid w:val="0083672D"/>
    <w:rsid w:val="00841EE9"/>
    <w:rsid w:val="00844734"/>
    <w:rsid w:val="00857FA1"/>
    <w:rsid w:val="0086170C"/>
    <w:rsid w:val="00865DFB"/>
    <w:rsid w:val="008700EA"/>
    <w:rsid w:val="008A7416"/>
    <w:rsid w:val="008B6852"/>
    <w:rsid w:val="008C2083"/>
    <w:rsid w:val="008C26FF"/>
    <w:rsid w:val="008D1D14"/>
    <w:rsid w:val="008E1785"/>
    <w:rsid w:val="008E5DD8"/>
    <w:rsid w:val="008E7127"/>
    <w:rsid w:val="008E7C8E"/>
    <w:rsid w:val="0090528B"/>
    <w:rsid w:val="00912959"/>
    <w:rsid w:val="0092075B"/>
    <w:rsid w:val="00921756"/>
    <w:rsid w:val="009310CF"/>
    <w:rsid w:val="009365A8"/>
    <w:rsid w:val="00960B19"/>
    <w:rsid w:val="009620D2"/>
    <w:rsid w:val="009657F9"/>
    <w:rsid w:val="009759FE"/>
    <w:rsid w:val="0099525B"/>
    <w:rsid w:val="009C72B7"/>
    <w:rsid w:val="009D164C"/>
    <w:rsid w:val="009D34D6"/>
    <w:rsid w:val="009F1035"/>
    <w:rsid w:val="00A0052C"/>
    <w:rsid w:val="00A06370"/>
    <w:rsid w:val="00A11DDE"/>
    <w:rsid w:val="00A16B3A"/>
    <w:rsid w:val="00A31B14"/>
    <w:rsid w:val="00A323DC"/>
    <w:rsid w:val="00A607A8"/>
    <w:rsid w:val="00A77781"/>
    <w:rsid w:val="00A815BE"/>
    <w:rsid w:val="00A85AE1"/>
    <w:rsid w:val="00AA5DA1"/>
    <w:rsid w:val="00AB7F81"/>
    <w:rsid w:val="00AD2624"/>
    <w:rsid w:val="00AE369F"/>
    <w:rsid w:val="00B026CB"/>
    <w:rsid w:val="00B103F4"/>
    <w:rsid w:val="00B105B1"/>
    <w:rsid w:val="00B33186"/>
    <w:rsid w:val="00B36BFA"/>
    <w:rsid w:val="00B637AD"/>
    <w:rsid w:val="00B851D4"/>
    <w:rsid w:val="00B868FC"/>
    <w:rsid w:val="00B95072"/>
    <w:rsid w:val="00BA1397"/>
    <w:rsid w:val="00BB26CD"/>
    <w:rsid w:val="00BF5A45"/>
    <w:rsid w:val="00C07239"/>
    <w:rsid w:val="00C364B1"/>
    <w:rsid w:val="00C47D87"/>
    <w:rsid w:val="00C627F9"/>
    <w:rsid w:val="00C6584D"/>
    <w:rsid w:val="00C743D6"/>
    <w:rsid w:val="00C929E0"/>
    <w:rsid w:val="00CA072D"/>
    <w:rsid w:val="00CA2595"/>
    <w:rsid w:val="00CB4E5A"/>
    <w:rsid w:val="00CC6974"/>
    <w:rsid w:val="00CC73D7"/>
    <w:rsid w:val="00CE7B76"/>
    <w:rsid w:val="00CF0AD7"/>
    <w:rsid w:val="00CF0BE1"/>
    <w:rsid w:val="00CF25B1"/>
    <w:rsid w:val="00CF5665"/>
    <w:rsid w:val="00D061C5"/>
    <w:rsid w:val="00D23397"/>
    <w:rsid w:val="00D52A14"/>
    <w:rsid w:val="00D71534"/>
    <w:rsid w:val="00D74599"/>
    <w:rsid w:val="00D828D3"/>
    <w:rsid w:val="00D90575"/>
    <w:rsid w:val="00DA0469"/>
    <w:rsid w:val="00DD13B7"/>
    <w:rsid w:val="00DF3B0C"/>
    <w:rsid w:val="00E148F2"/>
    <w:rsid w:val="00E14984"/>
    <w:rsid w:val="00E22A25"/>
    <w:rsid w:val="00E2414B"/>
    <w:rsid w:val="00E249E0"/>
    <w:rsid w:val="00E263D5"/>
    <w:rsid w:val="00E26DCE"/>
    <w:rsid w:val="00E3428B"/>
    <w:rsid w:val="00E4252D"/>
    <w:rsid w:val="00E560F1"/>
    <w:rsid w:val="00E7486D"/>
    <w:rsid w:val="00E753CD"/>
    <w:rsid w:val="00E9039D"/>
    <w:rsid w:val="00E9167E"/>
    <w:rsid w:val="00E92319"/>
    <w:rsid w:val="00EA61E1"/>
    <w:rsid w:val="00ED480B"/>
    <w:rsid w:val="00EF3C13"/>
    <w:rsid w:val="00F03984"/>
    <w:rsid w:val="00F13F51"/>
    <w:rsid w:val="00F3202E"/>
    <w:rsid w:val="00F40691"/>
    <w:rsid w:val="00F4157B"/>
    <w:rsid w:val="00F469EB"/>
    <w:rsid w:val="00F470D4"/>
    <w:rsid w:val="00F532F9"/>
    <w:rsid w:val="00F57E49"/>
    <w:rsid w:val="00F65C1D"/>
    <w:rsid w:val="00F66B87"/>
    <w:rsid w:val="00F837F4"/>
    <w:rsid w:val="00F8703B"/>
    <w:rsid w:val="00FC0BBC"/>
    <w:rsid w:val="00FC1FF7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5013367-AB28-40BB-8ED8-1B3FD36E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styleId="ListParagraph">
    <w:name w:val="List Paragraph"/>
    <w:basedOn w:val="Normal"/>
    <w:uiPriority w:val="34"/>
    <w:qFormat/>
    <w:rsid w:val="00CA072D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CA07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55"/>
    <w:rsid w:val="00071B55"/>
    <w:rsid w:val="0016266C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9303B8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1f49219-97e5-4d7f-a021-891601d49848">Documents Proposals Manager (DPM)</DPM_x0020_Author>
    <DPM_x0020_File_x0020_name xmlns="a1f49219-97e5-4d7f-a021-891601d49848">T13-WTSA.16-C-0042!A32!MSW-C</DPM_x0020_File_x0020_name>
    <DPM_x0020_Version xmlns="a1f49219-97e5-4d7f-a021-891601d49848">DPM_v2016.10.12.1_prod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1f49219-97e5-4d7f-a021-891601d49848" targetNamespace="http://schemas.microsoft.com/office/2006/metadata/properties" ma:root="true" ma:fieldsID="d41af5c836d734370eb92e7ee5f83852" ns2:_="" ns3:_="">
    <xsd:import namespace="996b2e75-67fd-4955-a3b0-5ab9934cb50b"/>
    <xsd:import namespace="a1f49219-97e5-4d7f-a021-891601d4984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49219-97e5-4d7f-a021-891601d4984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a1f49219-97e5-4d7f-a021-891601d49848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996b2e75-67fd-4955-a3b0-5ab9934cb50b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1f49219-97e5-4d7f-a021-891601d4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2834</Words>
  <Characters>784</Characters>
  <Application>Microsoft Office Word</Application>
  <DocSecurity>0</DocSecurity>
  <Lines>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T13-WTSA.16-C-0042!A32!MSW-C</vt:lpstr>
    </vt:vector>
  </TitlesOfParts>
  <Manager>General Secretariat - Pool</Manager>
  <Company>International Telecommunication Union (ITU)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T13-WTSA.16-C-0042!A32!MSW-C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Huang,  Jie, Miss</cp:lastModifiedBy>
  <cp:revision>36</cp:revision>
  <cp:lastPrinted>2016-06-07T13:24:00Z</cp:lastPrinted>
  <dcterms:created xsi:type="dcterms:W3CDTF">2016-10-21T07:09:00Z</dcterms:created>
  <dcterms:modified xsi:type="dcterms:W3CDTF">2016-10-21T08:20:00Z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