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79"/>
        <w:gridCol w:w="5234"/>
        <w:gridCol w:w="1325"/>
        <w:gridCol w:w="1873"/>
      </w:tblGrid>
      <w:tr w:rsidR="000E5EE9" w:rsidRPr="00A46D8F" w:rsidTr="004B520A">
        <w:trPr>
          <w:cantSplit/>
        </w:trPr>
        <w:tc>
          <w:tcPr>
            <w:tcW w:w="1379" w:type="dxa"/>
            <w:vAlign w:val="center"/>
          </w:tcPr>
          <w:p w:rsidR="000E5EE9" w:rsidRPr="00A46D8F" w:rsidRDefault="000E5EE9" w:rsidP="004B520A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A46D8F">
              <w:rPr>
                <w:noProof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1" name="Picture 1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9" w:type="dxa"/>
            <w:gridSpan w:val="2"/>
            <w:vAlign w:val="center"/>
          </w:tcPr>
          <w:p w:rsidR="0028017B" w:rsidRPr="00A46D8F" w:rsidRDefault="000E5EE9" w:rsidP="004B520A">
            <w:pPr>
              <w:rPr>
                <w:rFonts w:ascii="Verdana" w:hAnsi="Verdana" w:cs="Times New Roman Bold"/>
                <w:b/>
                <w:bCs/>
                <w:szCs w:val="24"/>
              </w:rPr>
            </w:pPr>
            <w:r w:rsidRPr="00A46D8F">
              <w:rPr>
                <w:rFonts w:ascii="Verdana" w:hAnsi="Verdana" w:cs="Times New Roman Bold"/>
                <w:b/>
                <w:bCs/>
                <w:szCs w:val="24"/>
              </w:rPr>
              <w:t>Asamblea Mundial de Normalización de las Telecomunicaciones (</w:t>
            </w:r>
            <w:r w:rsidR="0028017B" w:rsidRPr="00A46D8F">
              <w:rPr>
                <w:rFonts w:ascii="Verdana" w:hAnsi="Verdana" w:cs="Times New Roman Bold"/>
                <w:b/>
                <w:bCs/>
                <w:szCs w:val="24"/>
              </w:rPr>
              <w:t>AMNT-16</w:t>
            </w:r>
            <w:r w:rsidRPr="00A46D8F">
              <w:rPr>
                <w:rFonts w:ascii="Verdana" w:hAnsi="Verdana" w:cs="Times New Roman Bold"/>
                <w:b/>
                <w:bCs/>
                <w:szCs w:val="24"/>
              </w:rPr>
              <w:t>)</w:t>
            </w:r>
          </w:p>
          <w:p w:rsidR="000E5EE9" w:rsidRPr="00A46D8F" w:rsidRDefault="0028017B" w:rsidP="004B520A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 w:rsidRPr="00A46D8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Hammamet, 25 de octubre</w:t>
            </w:r>
            <w:r w:rsidR="00E21778" w:rsidRPr="00A46D8F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A46D8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E21778" w:rsidRPr="00A46D8F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A46D8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3 de noviembre de 2016</w:t>
            </w:r>
          </w:p>
        </w:tc>
        <w:tc>
          <w:tcPr>
            <w:tcW w:w="1873" w:type="dxa"/>
            <w:vAlign w:val="center"/>
          </w:tcPr>
          <w:p w:rsidR="000E5EE9" w:rsidRPr="00A46D8F" w:rsidRDefault="000E5EE9" w:rsidP="004B520A">
            <w:pPr>
              <w:spacing w:before="0"/>
              <w:jc w:val="right"/>
            </w:pPr>
            <w:r w:rsidRPr="00A46D8F">
              <w:rPr>
                <w:noProof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A46D8F" w:rsidTr="004B520A">
        <w:trPr>
          <w:cantSplit/>
        </w:trPr>
        <w:tc>
          <w:tcPr>
            <w:tcW w:w="6613" w:type="dxa"/>
            <w:gridSpan w:val="2"/>
            <w:tcBorders>
              <w:bottom w:val="single" w:sz="12" w:space="0" w:color="auto"/>
            </w:tcBorders>
          </w:tcPr>
          <w:p w:rsidR="00F0220A" w:rsidRPr="00A46D8F" w:rsidRDefault="00F0220A" w:rsidP="004B520A">
            <w:pPr>
              <w:spacing w:before="0"/>
            </w:pPr>
          </w:p>
        </w:tc>
        <w:tc>
          <w:tcPr>
            <w:tcW w:w="3198" w:type="dxa"/>
            <w:gridSpan w:val="2"/>
            <w:tcBorders>
              <w:bottom w:val="single" w:sz="12" w:space="0" w:color="auto"/>
            </w:tcBorders>
          </w:tcPr>
          <w:p w:rsidR="00F0220A" w:rsidRPr="00A46D8F" w:rsidRDefault="00F0220A" w:rsidP="004B520A">
            <w:pPr>
              <w:spacing w:before="0"/>
            </w:pPr>
          </w:p>
        </w:tc>
      </w:tr>
      <w:tr w:rsidR="005A374D" w:rsidRPr="00A46D8F" w:rsidTr="004B520A">
        <w:trPr>
          <w:cantSplit/>
        </w:trPr>
        <w:tc>
          <w:tcPr>
            <w:tcW w:w="6613" w:type="dxa"/>
            <w:gridSpan w:val="2"/>
            <w:tcBorders>
              <w:top w:val="single" w:sz="12" w:space="0" w:color="auto"/>
            </w:tcBorders>
          </w:tcPr>
          <w:p w:rsidR="005A374D" w:rsidRPr="00A46D8F" w:rsidRDefault="005A374D" w:rsidP="004B520A">
            <w:pPr>
              <w:spacing w:before="0"/>
            </w:pPr>
          </w:p>
        </w:tc>
        <w:tc>
          <w:tcPr>
            <w:tcW w:w="3198" w:type="dxa"/>
            <w:gridSpan w:val="2"/>
          </w:tcPr>
          <w:p w:rsidR="005A374D" w:rsidRPr="00A46D8F" w:rsidRDefault="005A374D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A46D8F" w:rsidTr="004B520A">
        <w:trPr>
          <w:cantSplit/>
        </w:trPr>
        <w:tc>
          <w:tcPr>
            <w:tcW w:w="6613" w:type="dxa"/>
            <w:gridSpan w:val="2"/>
          </w:tcPr>
          <w:p w:rsidR="00E83D45" w:rsidRPr="00A46D8F" w:rsidRDefault="00E83D45" w:rsidP="004B520A">
            <w:pPr>
              <w:pStyle w:val="Committee"/>
              <w:framePr w:hSpace="0" w:wrap="auto" w:hAnchor="text" w:yAlign="inline"/>
              <w:rPr>
                <w:lang w:val="es-ES_tradnl"/>
              </w:rPr>
            </w:pPr>
            <w:r w:rsidRPr="00A46D8F">
              <w:rPr>
                <w:lang w:val="es-ES_tradnl"/>
              </w:rPr>
              <w:t>SESIÓN PLENARIA</w:t>
            </w:r>
          </w:p>
        </w:tc>
        <w:tc>
          <w:tcPr>
            <w:tcW w:w="3198" w:type="dxa"/>
            <w:gridSpan w:val="2"/>
          </w:tcPr>
          <w:p w:rsidR="00E83D45" w:rsidRPr="00A46D8F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A46D8F">
              <w:rPr>
                <w:rFonts w:ascii="Verdana" w:hAnsi="Verdana"/>
                <w:b/>
                <w:sz w:val="20"/>
              </w:rPr>
              <w:t>Addéndum 19 al</w:t>
            </w:r>
            <w:r w:rsidRPr="00A46D8F">
              <w:rPr>
                <w:rFonts w:ascii="Verdana" w:hAnsi="Verdana"/>
                <w:b/>
                <w:sz w:val="20"/>
              </w:rPr>
              <w:br/>
              <w:t>Documento 42-S</w:t>
            </w:r>
          </w:p>
        </w:tc>
      </w:tr>
      <w:tr w:rsidR="00E83D45" w:rsidRPr="00A46D8F" w:rsidTr="004B520A">
        <w:trPr>
          <w:cantSplit/>
        </w:trPr>
        <w:tc>
          <w:tcPr>
            <w:tcW w:w="6613" w:type="dxa"/>
            <w:gridSpan w:val="2"/>
          </w:tcPr>
          <w:p w:rsidR="00E83D45" w:rsidRPr="00A46D8F" w:rsidRDefault="00E83D45" w:rsidP="004B520A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8" w:type="dxa"/>
            <w:gridSpan w:val="2"/>
          </w:tcPr>
          <w:p w:rsidR="00E83D45" w:rsidRPr="00A46D8F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A46D8F">
              <w:rPr>
                <w:rFonts w:ascii="Verdana" w:hAnsi="Verdana"/>
                <w:b/>
                <w:sz w:val="20"/>
              </w:rPr>
              <w:t>10 de octubre de 2016</w:t>
            </w:r>
          </w:p>
        </w:tc>
      </w:tr>
      <w:tr w:rsidR="00E83D45" w:rsidRPr="00A46D8F" w:rsidTr="004B520A">
        <w:trPr>
          <w:cantSplit/>
        </w:trPr>
        <w:tc>
          <w:tcPr>
            <w:tcW w:w="6613" w:type="dxa"/>
            <w:gridSpan w:val="2"/>
          </w:tcPr>
          <w:p w:rsidR="00E83D45" w:rsidRPr="00A46D8F" w:rsidRDefault="00E83D45" w:rsidP="004B520A">
            <w:pPr>
              <w:spacing w:before="0"/>
            </w:pPr>
          </w:p>
        </w:tc>
        <w:tc>
          <w:tcPr>
            <w:tcW w:w="3198" w:type="dxa"/>
            <w:gridSpan w:val="2"/>
          </w:tcPr>
          <w:p w:rsidR="00E83D45" w:rsidRPr="00A46D8F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A46D8F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81766" w:rsidRPr="00A46D8F" w:rsidTr="004B520A">
        <w:trPr>
          <w:cantSplit/>
        </w:trPr>
        <w:tc>
          <w:tcPr>
            <w:tcW w:w="9811" w:type="dxa"/>
            <w:gridSpan w:val="4"/>
          </w:tcPr>
          <w:p w:rsidR="00681766" w:rsidRPr="00A46D8F" w:rsidRDefault="00681766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A46D8F" w:rsidTr="004B520A">
        <w:trPr>
          <w:cantSplit/>
        </w:trPr>
        <w:tc>
          <w:tcPr>
            <w:tcW w:w="9811" w:type="dxa"/>
            <w:gridSpan w:val="4"/>
          </w:tcPr>
          <w:p w:rsidR="00E83D45" w:rsidRPr="00A46D8F" w:rsidRDefault="00E83D45" w:rsidP="004B520A">
            <w:pPr>
              <w:pStyle w:val="Source"/>
            </w:pPr>
            <w:r w:rsidRPr="00A46D8F">
              <w:t>Administraciones de la Unión Africana de Telecomunicaciones</w:t>
            </w:r>
          </w:p>
        </w:tc>
      </w:tr>
      <w:tr w:rsidR="00E83D45" w:rsidRPr="00A46D8F" w:rsidTr="004B520A">
        <w:trPr>
          <w:cantSplit/>
        </w:trPr>
        <w:tc>
          <w:tcPr>
            <w:tcW w:w="9811" w:type="dxa"/>
            <w:gridSpan w:val="4"/>
          </w:tcPr>
          <w:p w:rsidR="00E83D45" w:rsidRPr="00A46D8F" w:rsidRDefault="00E4108F" w:rsidP="00DF17CE">
            <w:pPr>
              <w:pStyle w:val="Title1"/>
            </w:pPr>
            <w:r w:rsidRPr="00A46D8F">
              <w:t>propuesta de no modificación de las recomendaciones</w:t>
            </w:r>
            <w:r w:rsidR="00814BFA" w:rsidRPr="00A46D8F">
              <w:t xml:space="preserve"> </w:t>
            </w:r>
            <w:r w:rsidRPr="00A46D8F">
              <w:t>UIT</w:t>
            </w:r>
            <w:r w:rsidR="00DF17CE" w:rsidRPr="00A46D8F">
              <w:noBreakHyphen/>
            </w:r>
            <w:r w:rsidRPr="00A46D8F">
              <w:t>T</w:t>
            </w:r>
            <w:r w:rsidR="00DF17CE" w:rsidRPr="00A46D8F">
              <w:t> </w:t>
            </w:r>
            <w:r w:rsidRPr="00A46D8F">
              <w:t>A.1, UIT-T A.12 Y UIT-T A.13</w:t>
            </w:r>
          </w:p>
        </w:tc>
      </w:tr>
      <w:tr w:rsidR="00E83D45" w:rsidRPr="00A46D8F" w:rsidTr="004B520A">
        <w:trPr>
          <w:cantSplit/>
        </w:trPr>
        <w:tc>
          <w:tcPr>
            <w:tcW w:w="9811" w:type="dxa"/>
            <w:gridSpan w:val="4"/>
          </w:tcPr>
          <w:p w:rsidR="00E83D45" w:rsidRPr="00A46D8F" w:rsidRDefault="00E83D45" w:rsidP="004B520A">
            <w:pPr>
              <w:pStyle w:val="Title2"/>
            </w:pPr>
          </w:p>
        </w:tc>
      </w:tr>
    </w:tbl>
    <w:p w:rsidR="006B0F54" w:rsidRPr="00A46D8F" w:rsidRDefault="006B0F54" w:rsidP="006B0F54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6B0F54" w:rsidRPr="00A46D8F" w:rsidTr="00193AD1">
        <w:trPr>
          <w:cantSplit/>
        </w:trPr>
        <w:tc>
          <w:tcPr>
            <w:tcW w:w="1560" w:type="dxa"/>
          </w:tcPr>
          <w:p w:rsidR="006B0F54" w:rsidRPr="00A46D8F" w:rsidRDefault="006B0F54" w:rsidP="00193AD1">
            <w:r w:rsidRPr="00A46D8F">
              <w:rPr>
                <w:b/>
                <w:bCs/>
              </w:rPr>
              <w:t>Resumen:</w:t>
            </w:r>
          </w:p>
        </w:tc>
        <w:sdt>
          <w:sdtPr>
            <w:alias w:val="Abstract"/>
            <w:tag w:val="Abstract"/>
            <w:id w:val="-939903723"/>
            <w:placeholder>
              <w:docPart w:val="46295EEC0E10457DA5ACD55DDA65957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6B0F54" w:rsidRPr="00A46D8F" w:rsidRDefault="00DF17CE" w:rsidP="005141D7">
                <w:r w:rsidRPr="00A46D8F">
                  <w:t xml:space="preserve">Los Estados Miembros africanos proponen a la Asamblea Mundial de Normalización </w:t>
                </w:r>
                <w:r w:rsidR="0022305E">
                  <w:t>de las Telecomunicaciones (AMNT</w:t>
                </w:r>
                <w:r w:rsidR="0022305E">
                  <w:noBreakHyphen/>
                </w:r>
                <w:r w:rsidRPr="00A46D8F">
                  <w:t>16) que no se modifiquen las</w:t>
                </w:r>
                <w:r w:rsidR="00B851CA" w:rsidRPr="00A46D8F">
                  <w:t xml:space="preserve"> tres</w:t>
                </w:r>
                <w:r w:rsidRPr="00A46D8F">
                  <w:t xml:space="preserve"> Recomendaciones UIT-T de la serie A</w:t>
                </w:r>
                <w:r w:rsidR="00B851CA" w:rsidRPr="00A46D8F">
                  <w:t xml:space="preserve"> siguientes</w:t>
                </w:r>
                <w:r w:rsidRPr="00A46D8F">
                  <w:t>, esto es, las Recomendaciones UIT-T A.1, A.12 y A.13, teniendo en cuenta que algunas contribuciones presentadas por otras regiones o Estados Miembros a esta Asamblea</w:t>
                </w:r>
                <w:r w:rsidR="00B851CA" w:rsidRPr="00A46D8F">
                  <w:t>,</w:t>
                </w:r>
                <w:r w:rsidRPr="00A46D8F">
                  <w:t xml:space="preserve"> que proponen modificaciones a las Recomendaciones indicadas</w:t>
                </w:r>
                <w:r w:rsidR="00B851CA" w:rsidRPr="00A46D8F">
                  <w:t>,</w:t>
                </w:r>
                <w:r w:rsidRPr="00A46D8F">
                  <w:t xml:space="preserve"> no respaldarán los trabajos del UIT-T desde el punto de vista de </w:t>
                </w:r>
                <w:r w:rsidR="00BC4786">
                  <w:t>los Estados Miembros africanos.</w:t>
                </w:r>
              </w:p>
            </w:tc>
          </w:sdtContent>
        </w:sdt>
      </w:tr>
    </w:tbl>
    <w:p w:rsidR="003E2139" w:rsidRPr="00A46D8F" w:rsidRDefault="003E2139" w:rsidP="005D4C37">
      <w:pPr>
        <w:pStyle w:val="Normalaftertitle"/>
      </w:pPr>
      <w:r w:rsidRPr="00A46D8F">
        <w:t>Los Estados Miembros africanos proponen a la Asamblea Mundial de Normalización de las Telecomunicaciones (AMNT-16) que no se modifiquen las tres Recomendaciones UIT-T de la serie A siguientes por los motivos indicados a continuación.</w:t>
      </w:r>
    </w:p>
    <w:p w:rsidR="00A45CE2" w:rsidRPr="00A46D8F" w:rsidRDefault="00A45CE2" w:rsidP="00A45CE2">
      <w:r w:rsidRPr="00A46D8F">
        <w:br w:type="page"/>
      </w:r>
    </w:p>
    <w:p w:rsidR="00BA4832" w:rsidRPr="00A46D8F" w:rsidRDefault="00C84F95">
      <w:pPr>
        <w:pStyle w:val="Proposal"/>
      </w:pPr>
      <w:r w:rsidRPr="00A46D8F">
        <w:rPr>
          <w:u w:val="single"/>
        </w:rPr>
        <w:lastRenderedPageBreak/>
        <w:t>NOC</w:t>
      </w:r>
      <w:r w:rsidRPr="00A46D8F">
        <w:tab/>
        <w:t>AFCP/42A19/1</w:t>
      </w:r>
    </w:p>
    <w:p w:rsidR="00741ABA" w:rsidRPr="00A46D8F" w:rsidRDefault="00C84F95" w:rsidP="00741ABA">
      <w:pPr>
        <w:pStyle w:val="RecNo"/>
      </w:pPr>
      <w:r w:rsidRPr="00A46D8F">
        <w:t xml:space="preserve">Recomendación UIT-T </w:t>
      </w:r>
      <w:r w:rsidRPr="00A46D8F">
        <w:rPr>
          <w:rStyle w:val="href"/>
        </w:rPr>
        <w:t>A.1</w:t>
      </w:r>
    </w:p>
    <w:p w:rsidR="00741ABA" w:rsidRPr="00A46D8F" w:rsidRDefault="00C84F95" w:rsidP="00741ABA">
      <w:pPr>
        <w:pStyle w:val="Rectitle"/>
      </w:pPr>
      <w:r w:rsidRPr="00A46D8F">
        <w:t>Métodos de trabajo de las Comisiones de Estudio del Sector de</w:t>
      </w:r>
      <w:r w:rsidRPr="00A46D8F">
        <w:br/>
        <w:t xml:space="preserve">Normalización de las Telecomunicaciones de la UIT </w:t>
      </w:r>
    </w:p>
    <w:p w:rsidR="00741ABA" w:rsidRPr="00A46D8F" w:rsidRDefault="00C84F95" w:rsidP="00741ABA">
      <w:pPr>
        <w:pStyle w:val="Recdate"/>
      </w:pPr>
      <w:r w:rsidRPr="00A46D8F">
        <w:t>(1996; 2000; 2004; 2006, 2008; 2012)</w:t>
      </w:r>
    </w:p>
    <w:p w:rsidR="008D01A3" w:rsidRPr="00A46D8F" w:rsidRDefault="00C84F95">
      <w:pPr>
        <w:pStyle w:val="Reasons"/>
      </w:pPr>
      <w:r w:rsidRPr="00A46D8F">
        <w:rPr>
          <w:b/>
        </w:rPr>
        <w:t>Motivos:</w:t>
      </w:r>
    </w:p>
    <w:p w:rsidR="00290D05" w:rsidRPr="00A46D8F" w:rsidRDefault="00290D05" w:rsidP="00AF7195">
      <w:pPr>
        <w:pStyle w:val="Reasons"/>
      </w:pPr>
      <w:r w:rsidRPr="00A46D8F">
        <w:t xml:space="preserve">Los Estados Miembros africanos estiman que en las Asambleas anteriores se ha logrado una versión muy estable de la Recomendación UIT-T A.1 y, por tanto, esta Recomendación no debería ser objeto de una revisión. La propuesta de añadir en la </w:t>
      </w:r>
      <w:r w:rsidR="001A7014" w:rsidRPr="00A46D8F">
        <w:t>cláusula</w:t>
      </w:r>
      <w:r w:rsidRPr="00A46D8F">
        <w:t xml:space="preserve"> 1.4.7 la obligación de que la creación de un nuevo </w:t>
      </w:r>
      <w:r w:rsidR="00D050C6" w:rsidRPr="00A46D8F">
        <w:t>tema</w:t>
      </w:r>
      <w:r w:rsidR="00AF7195" w:rsidRPr="00A46D8F">
        <w:t xml:space="preserve"> de trabajo sea respaldada por "</w:t>
      </w:r>
      <w:r w:rsidR="00D050C6" w:rsidRPr="00A46D8F">
        <w:t>al menos cuatro entidades (Estados Miembros, Miembros de Sector, Asociados, Instituciones Académicas) de cuatro</w:t>
      </w:r>
      <w:r w:rsidR="00AF7195" w:rsidRPr="00A46D8F">
        <w:t xml:space="preserve"> países diferentes" desalentará</w:t>
      </w:r>
      <w:r w:rsidR="00D050C6" w:rsidRPr="00A46D8F">
        <w:t xml:space="preserve"> los miembros, en particular de los países en desarrollo, a participar y/o proponer nuevos temas de trabajo</w:t>
      </w:r>
      <w:r w:rsidRPr="00A46D8F">
        <w:t xml:space="preserve"> </w:t>
      </w:r>
      <w:r w:rsidR="00D050C6" w:rsidRPr="00A46D8F">
        <w:t>que pudieran ser aprobados.</w:t>
      </w:r>
    </w:p>
    <w:p w:rsidR="009C3066" w:rsidRPr="00A46D8F" w:rsidRDefault="009C3066" w:rsidP="00204902">
      <w:pPr>
        <w:pStyle w:val="Reasons"/>
        <w:rPr>
          <w:lang w:bidi="ar-EG"/>
        </w:rPr>
      </w:pPr>
      <w:r w:rsidRPr="00A46D8F">
        <w:t xml:space="preserve">Los Estados Miembros africanos han tomado nota </w:t>
      </w:r>
      <w:r w:rsidR="00CD20F5" w:rsidRPr="00A46D8F">
        <w:t>también</w:t>
      </w:r>
      <w:r w:rsidRPr="00A46D8F">
        <w:t xml:space="preserve"> del Add</w:t>
      </w:r>
      <w:r w:rsidR="00CD20F5" w:rsidRPr="00A46D8F">
        <w:t>éndum 1</w:t>
      </w:r>
      <w:r w:rsidR="00F30E65" w:rsidRPr="00A46D8F">
        <w:t xml:space="preserve"> </w:t>
      </w:r>
      <w:r w:rsidR="00CD20F5" w:rsidRPr="00A46D8F">
        <w:t>a</w:t>
      </w:r>
      <w:r w:rsidRPr="00A46D8F">
        <w:t>l Documento 44 presentado por la Telecomunidad Asia-Pacífico (APT), en el que indica su oposición a la revisión de la Recomendación UIT-T A.1 y da motivos</w:t>
      </w:r>
      <w:r w:rsidR="00204902" w:rsidRPr="00A46D8F">
        <w:t xml:space="preserve"> que</w:t>
      </w:r>
      <w:r w:rsidRPr="00A46D8F">
        <w:t xml:space="preserve"> los Estados Miembros africanos</w:t>
      </w:r>
      <w:r w:rsidR="00204902" w:rsidRPr="00A46D8F">
        <w:t xml:space="preserve"> consideran suficientemente justificados</w:t>
      </w:r>
      <w:r w:rsidR="00AD7416" w:rsidRPr="00A46D8F">
        <w:t>; por consiguiente, apoyan la propuesta presentada por APT en el sentido de no introducir modificaciones en la cláusula 1.4.7 de la Recomendación indicada.</w:t>
      </w:r>
    </w:p>
    <w:p w:rsidR="008D01A3" w:rsidRPr="00A46D8F" w:rsidRDefault="008D01A3" w:rsidP="00CD20F5">
      <w:pPr>
        <w:pStyle w:val="Headingb"/>
        <w:rPr>
          <w:lang w:bidi="ar-EG"/>
        </w:rPr>
      </w:pPr>
      <w:r w:rsidRPr="00A46D8F">
        <w:rPr>
          <w:lang w:bidi="ar-EG"/>
        </w:rPr>
        <w:t>Prop</w:t>
      </w:r>
      <w:r w:rsidR="00CD20F5" w:rsidRPr="00A46D8F">
        <w:rPr>
          <w:lang w:bidi="ar-EG"/>
        </w:rPr>
        <w:t>uesta</w:t>
      </w:r>
      <w:r w:rsidRPr="00A46D8F">
        <w:rPr>
          <w:lang w:bidi="ar-EG"/>
        </w:rPr>
        <w:t>:</w:t>
      </w:r>
    </w:p>
    <w:p w:rsidR="00CD20F5" w:rsidRPr="00A46D8F" w:rsidRDefault="00CD20F5" w:rsidP="008D01A3">
      <w:pPr>
        <w:keepNext/>
        <w:keepLines/>
        <w:tabs>
          <w:tab w:val="left" w:pos="1588"/>
          <w:tab w:val="left" w:pos="1985"/>
        </w:tabs>
        <w:rPr>
          <w:lang w:bidi="ar-EG"/>
        </w:rPr>
      </w:pPr>
      <w:r w:rsidRPr="00A46D8F">
        <w:rPr>
          <w:lang w:bidi="ar-EG"/>
        </w:rPr>
        <w:t>Los Estados Miembros africanos proponen no modificar (NOC) la cláusula 1.4.7 ni ninguna otra cláusula de la Recomendación UIT-T A.1.</w:t>
      </w:r>
    </w:p>
    <w:p w:rsidR="00BA4832" w:rsidRPr="00A46D8F" w:rsidRDefault="00C84F95">
      <w:pPr>
        <w:pStyle w:val="Proposal"/>
      </w:pPr>
      <w:r w:rsidRPr="00A46D8F">
        <w:rPr>
          <w:u w:val="single"/>
        </w:rPr>
        <w:t>NOC</w:t>
      </w:r>
      <w:r w:rsidRPr="00A46D8F">
        <w:tab/>
        <w:t>AFCP/42A19/2</w:t>
      </w:r>
    </w:p>
    <w:p w:rsidR="00741ABA" w:rsidRPr="00A46D8F" w:rsidRDefault="00C84F95" w:rsidP="00741ABA">
      <w:pPr>
        <w:pStyle w:val="RecNo"/>
      </w:pPr>
      <w:r w:rsidRPr="00A46D8F">
        <w:t xml:space="preserve">Recomendación UIT-T </w:t>
      </w:r>
      <w:r w:rsidRPr="00A46D8F">
        <w:rPr>
          <w:rStyle w:val="href"/>
        </w:rPr>
        <w:t>A.12</w:t>
      </w:r>
    </w:p>
    <w:p w:rsidR="00741ABA" w:rsidRPr="00A46D8F" w:rsidRDefault="00C84F95" w:rsidP="00741ABA">
      <w:pPr>
        <w:pStyle w:val="Rectitle"/>
      </w:pPr>
      <w:r w:rsidRPr="00A46D8F">
        <w:t>Identificación y presentación de Recomendaciones del Sector</w:t>
      </w:r>
      <w:r w:rsidRPr="00A46D8F">
        <w:br/>
        <w:t>de Normalización de las Telecomunicaciones de la UIT</w:t>
      </w:r>
    </w:p>
    <w:p w:rsidR="00741ABA" w:rsidRPr="00A46D8F" w:rsidRDefault="00C84F95" w:rsidP="00741ABA">
      <w:pPr>
        <w:pStyle w:val="Recref"/>
      </w:pPr>
      <w:r w:rsidRPr="00A46D8F">
        <w:t>(2000; 2004; 2008; 2015; 2016)</w:t>
      </w:r>
      <w:r w:rsidRPr="00A46D8F">
        <w:rPr>
          <w:rStyle w:val="FootnoteReference"/>
        </w:rPr>
        <w:footnoteReference w:customMarkFollows="1" w:id="1"/>
        <w:t>1</w:t>
      </w:r>
    </w:p>
    <w:p w:rsidR="00BA4832" w:rsidRPr="00A46D8F" w:rsidRDefault="00C84F95">
      <w:pPr>
        <w:pStyle w:val="Reasons"/>
      </w:pPr>
      <w:r w:rsidRPr="00A46D8F">
        <w:rPr>
          <w:b/>
        </w:rPr>
        <w:t>Motivos:</w:t>
      </w:r>
    </w:p>
    <w:p w:rsidR="00DB5673" w:rsidRPr="00A46D8F" w:rsidRDefault="00DB5673" w:rsidP="00943EF6">
      <w:pPr>
        <w:pStyle w:val="Reasons"/>
      </w:pPr>
      <w:r w:rsidRPr="00A46D8F">
        <w:t>Los Estados Miembros africanos proponen no</w:t>
      </w:r>
      <w:r w:rsidR="00FA439D">
        <w:t xml:space="preserve"> modificar la Recomendación UIT</w:t>
      </w:r>
      <w:r w:rsidR="00FA439D">
        <w:noBreakHyphen/>
        <w:t>T </w:t>
      </w:r>
      <w:r w:rsidRPr="00A46D8F">
        <w:t>A.12, en particular en lo que concierne a la indicación del procedimiento de aprobación (TAP/AAP) aplicad</w:t>
      </w:r>
      <w:r w:rsidR="0094692E">
        <w:t>o a las Recomendaciones del UIT</w:t>
      </w:r>
      <w:r w:rsidR="0094692E">
        <w:noBreakHyphen/>
      </w:r>
      <w:r w:rsidRPr="00A46D8F">
        <w:t xml:space="preserve">T. Al final, todas las Recomendaciones tendrán la misma situación jurídica. </w:t>
      </w:r>
      <w:r w:rsidR="00943EF6" w:rsidRPr="00A46D8F">
        <w:t xml:space="preserve">Una modificación de esa naturaleza crearía más confusión en los implementadores. </w:t>
      </w:r>
      <w:r w:rsidRPr="00A46D8F">
        <w:t xml:space="preserve">La UIT debería tratar de promover </w:t>
      </w:r>
      <w:r w:rsidR="00943EF6" w:rsidRPr="00A46D8F">
        <w:t xml:space="preserve">sus Recomendaciones </w:t>
      </w:r>
      <w:r w:rsidRPr="00A46D8F">
        <w:t>en la medida de lo posible</w:t>
      </w:r>
      <w:r w:rsidR="00943EF6" w:rsidRPr="00A46D8F">
        <w:t>, con miras a velar por su difusión y aplicación en todo el mundo.</w:t>
      </w:r>
    </w:p>
    <w:p w:rsidR="00BA4832" w:rsidRPr="00A46D8F" w:rsidRDefault="00C84F95">
      <w:pPr>
        <w:pStyle w:val="Proposal"/>
      </w:pPr>
      <w:r w:rsidRPr="00A46D8F">
        <w:rPr>
          <w:u w:val="single"/>
        </w:rPr>
        <w:lastRenderedPageBreak/>
        <w:t>NOC</w:t>
      </w:r>
      <w:r w:rsidRPr="00A46D8F">
        <w:tab/>
        <w:t>AFCP/42A19/3</w:t>
      </w:r>
    </w:p>
    <w:p w:rsidR="00741ABA" w:rsidRPr="00A46D8F" w:rsidRDefault="00C84F95" w:rsidP="00741ABA">
      <w:pPr>
        <w:pStyle w:val="RecNo"/>
      </w:pPr>
      <w:bookmarkStart w:id="0" w:name="_Toc90440251"/>
      <w:r w:rsidRPr="00A46D8F">
        <w:t xml:space="preserve">Recomendación UIT-T </w:t>
      </w:r>
      <w:r w:rsidRPr="00A46D8F">
        <w:rPr>
          <w:rStyle w:val="href"/>
        </w:rPr>
        <w:t>A.13</w:t>
      </w:r>
      <w:bookmarkEnd w:id="0"/>
    </w:p>
    <w:p w:rsidR="00741ABA" w:rsidRPr="00A46D8F" w:rsidRDefault="00C84F95" w:rsidP="00741ABA">
      <w:pPr>
        <w:pStyle w:val="Rectitle"/>
      </w:pPr>
      <w:bookmarkStart w:id="1" w:name="_Toc381408619"/>
      <w:bookmarkStart w:id="2" w:name="_Toc383843414"/>
      <w:bookmarkStart w:id="3" w:name="_Toc90440252"/>
      <w:r w:rsidRPr="00A46D8F">
        <w:t>Suplementos a las Recomendaciones del Sector de Normalización de</w:t>
      </w:r>
      <w:r w:rsidRPr="00A46D8F">
        <w:br/>
        <w:t>las Telecomunicaciones de la UIT</w:t>
      </w:r>
      <w:bookmarkEnd w:id="1"/>
      <w:bookmarkEnd w:id="2"/>
      <w:r w:rsidRPr="00A46D8F">
        <w:t xml:space="preserve"> </w:t>
      </w:r>
      <w:bookmarkEnd w:id="3"/>
    </w:p>
    <w:p w:rsidR="00741ABA" w:rsidRPr="00A46D8F" w:rsidRDefault="00C84F95" w:rsidP="00741ABA">
      <w:pPr>
        <w:pStyle w:val="Recref"/>
      </w:pPr>
      <w:r w:rsidRPr="00A46D8F">
        <w:t>(2000; 2007)</w:t>
      </w:r>
      <w:r w:rsidRPr="00A46D8F">
        <w:rPr>
          <w:rStyle w:val="FootnoteReference"/>
        </w:rPr>
        <w:footnoteReference w:customMarkFollows="1" w:id="2"/>
        <w:t>1</w:t>
      </w:r>
    </w:p>
    <w:p w:rsidR="00BA4832" w:rsidRPr="00A46D8F" w:rsidRDefault="00C84F95">
      <w:pPr>
        <w:pStyle w:val="Reasons"/>
      </w:pPr>
      <w:r w:rsidRPr="00A46D8F">
        <w:rPr>
          <w:b/>
        </w:rPr>
        <w:t>Motivos:</w:t>
      </w:r>
    </w:p>
    <w:p w:rsidR="00703E90" w:rsidRPr="00A46D8F" w:rsidRDefault="00703E90" w:rsidP="00AD06A3">
      <w:pPr>
        <w:pStyle w:val="Reasons"/>
      </w:pPr>
      <w:r w:rsidRPr="00A46D8F">
        <w:t>Los Estados Miembros africanos han tomado nota del Addéndum 20 al Documento 46</w:t>
      </w:r>
      <w:r w:rsidR="00AD06A3" w:rsidRPr="00A46D8F">
        <w:t xml:space="preserve"> </w:t>
      </w:r>
      <w:r w:rsidR="00A25DE1">
        <w:t>relativo a la Recomendación UIT</w:t>
      </w:r>
      <w:r w:rsidR="00A25DE1">
        <w:noBreakHyphen/>
        <w:t>T </w:t>
      </w:r>
      <w:r w:rsidR="00AD06A3" w:rsidRPr="00A46D8F">
        <w:t>A.13,</w:t>
      </w:r>
      <w:r w:rsidRPr="00A46D8F">
        <w:t xml:space="preserve"> presentado a esta Asamblea por los Estados Miembros de la Comisión </w:t>
      </w:r>
      <w:r w:rsidR="00AD06A3" w:rsidRPr="00A46D8F">
        <w:t>Interamericana de Telecomunicaciones (CITEL). En dicho Addéndum se proponen importantes modificaciones a las cláusulas ya existentes para tratar de precisar los métodos de trabajo relativos a los documentos de carácter no normativo</w:t>
      </w:r>
      <w:r w:rsidR="003571C3" w:rsidRPr="00A46D8F">
        <w:t>,</w:t>
      </w:r>
      <w:r w:rsidR="00AD06A3" w:rsidRPr="00A46D8F">
        <w:t xml:space="preserve"> con miras a una mayor eficacia para todos l</w:t>
      </w:r>
      <w:r w:rsidR="00966285">
        <w:t>os miembros.</w:t>
      </w:r>
    </w:p>
    <w:p w:rsidR="003571C3" w:rsidRPr="00A46D8F" w:rsidRDefault="003571C3" w:rsidP="0069038E">
      <w:pPr>
        <w:pStyle w:val="Reasons"/>
      </w:pPr>
      <w:r w:rsidRPr="00A46D8F">
        <w:t xml:space="preserve">Sin embargo, un examen más exhaustivo revela que, </w:t>
      </w:r>
      <w:r w:rsidR="0069038E" w:rsidRPr="00A46D8F">
        <w:t>en última instancia</w:t>
      </w:r>
      <w:r w:rsidRPr="00A46D8F">
        <w:t>, las modificaciones propuestas no alientan la aplicación de esos documentos, sean Suplementos, Informes, etc., pues se recuerda sistemáticamente al lector de forma directa que</w:t>
      </w:r>
      <w:r w:rsidR="000051DA" w:rsidRPr="00A46D8F">
        <w:t xml:space="preserve"> </w:t>
      </w:r>
      <w:r w:rsidR="001039C4" w:rsidRPr="00A46D8F">
        <w:t>"</w:t>
      </w:r>
      <w:r w:rsidR="000051DA" w:rsidRPr="00A46D8F">
        <w:rPr>
          <w:i/>
          <w:iCs/>
        </w:rPr>
        <w:t>ninguno de ellos c</w:t>
      </w:r>
      <w:r w:rsidRPr="00A46D8F">
        <w:rPr>
          <w:i/>
          <w:iCs/>
        </w:rPr>
        <w:t xml:space="preserve">ontiene disposiciones obligatorias </w:t>
      </w:r>
      <w:r w:rsidR="000051DA" w:rsidRPr="00A46D8F">
        <w:rPr>
          <w:i/>
          <w:iCs/>
        </w:rPr>
        <w:t xml:space="preserve">ni </w:t>
      </w:r>
      <w:r w:rsidRPr="00A46D8F">
        <w:rPr>
          <w:i/>
          <w:iCs/>
        </w:rPr>
        <w:t>forma parte integrante de ninguna Recomendación del UIT-T</w:t>
      </w:r>
      <w:r w:rsidR="001039C4" w:rsidRPr="00A46D8F">
        <w:rPr>
          <w:i/>
          <w:iCs/>
        </w:rPr>
        <w:t>, etc.</w:t>
      </w:r>
      <w:r w:rsidR="001039C4" w:rsidRPr="00A46D8F">
        <w:t>"</w:t>
      </w:r>
      <w:r w:rsidRPr="00A46D8F">
        <w:t xml:space="preserve">, </w:t>
      </w:r>
      <w:r w:rsidR="000051DA" w:rsidRPr="00A46D8F">
        <w:t>con lo cual se envía una señal negativa a los lectores</w:t>
      </w:r>
      <w:r w:rsidR="0069038E" w:rsidRPr="00A46D8F">
        <w:t>,</w:t>
      </w:r>
      <w:r w:rsidR="004C0FFF">
        <w:t xml:space="preserve"> en tanto que el UIT</w:t>
      </w:r>
      <w:r w:rsidR="004C0FFF">
        <w:noBreakHyphen/>
      </w:r>
      <w:bookmarkStart w:id="4" w:name="_GoBack"/>
      <w:bookmarkEnd w:id="4"/>
      <w:r w:rsidR="000051DA" w:rsidRPr="00A46D8F">
        <w:t>T procura que sus Recomendaciones sean aplicadas. Las Recomendaciones, cuya aplicación es voluntaria, no son siempre plenamente puestas en práctica y una indicación de esa naturaleza e</w:t>
      </w:r>
      <w:r w:rsidR="00D51D1D" w:rsidRPr="00A46D8F">
        <w:t>n otros textos degradar</w:t>
      </w:r>
      <w:r w:rsidR="000051DA" w:rsidRPr="00A46D8F">
        <w:t>á notablemente la situaci</w:t>
      </w:r>
      <w:r w:rsidR="0034678A">
        <w:t>ón de las publicaciones del UIT</w:t>
      </w:r>
      <w:r w:rsidR="0034678A">
        <w:noBreakHyphen/>
      </w:r>
      <w:r w:rsidR="000051DA" w:rsidRPr="00A46D8F">
        <w:t xml:space="preserve">T de carácter no normativo. </w:t>
      </w:r>
      <w:r w:rsidR="0069038E" w:rsidRPr="00A46D8F">
        <w:t>Esas modificaciones pues no beneficiarán a los miembros.</w:t>
      </w:r>
    </w:p>
    <w:p w:rsidR="001C7E72" w:rsidRPr="00A46D8F" w:rsidRDefault="001C7E72" w:rsidP="001C7E72">
      <w:pPr>
        <w:pStyle w:val="Reasons"/>
      </w:pPr>
      <w:r w:rsidRPr="00A46D8F">
        <w:t>Asimismo, las propuestas presentadas en el Addéndum 20 al Documento 46 prevén condiciones más restrictivas para añadir nuevos temas de trabajo, incluidas numerosas ambigüedades en cuanto a la interpretación que podrían ocasionar el rechazo o la supresión de los temas de trabajo. Esas propuestas tampoco beneficiarán a los miembros.</w:t>
      </w:r>
    </w:p>
    <w:p w:rsidR="001C7E72" w:rsidRPr="00A46D8F" w:rsidRDefault="001C7E72" w:rsidP="00D25762">
      <w:pPr>
        <w:pStyle w:val="Reasons"/>
      </w:pPr>
      <w:r w:rsidRPr="00A46D8F">
        <w:t xml:space="preserve">En conclusión, aunque parece interesante organizar y/o racionalizar los métodos de trabajo, las modalidades propuestas en el </w:t>
      </w:r>
      <w:r w:rsidR="00FE589B" w:rsidRPr="00A46D8F">
        <w:t>Addéndum 20 al Documento 46 no están en absoluto adaptadas a los trabajos del UIT</w:t>
      </w:r>
      <w:r w:rsidR="00D25762" w:rsidRPr="00A46D8F">
        <w:noBreakHyphen/>
      </w:r>
      <w:r w:rsidR="00FE589B" w:rsidRPr="00A46D8F">
        <w:t>T.</w:t>
      </w:r>
    </w:p>
    <w:p w:rsidR="00FE589B" w:rsidRPr="00A46D8F" w:rsidRDefault="00FE589B" w:rsidP="007C4F89">
      <w:pPr>
        <w:pStyle w:val="Reasons"/>
      </w:pPr>
      <w:r w:rsidRPr="00A46D8F">
        <w:t>En consecuencia, los Estados Miembros africanos proponen no introducir ninguna modif</w:t>
      </w:r>
      <w:r w:rsidR="00250C4E" w:rsidRPr="00A46D8F">
        <w:t>icación en la Recomendación UIT</w:t>
      </w:r>
      <w:r w:rsidR="00250C4E" w:rsidRPr="00A46D8F">
        <w:noBreakHyphen/>
        <w:t>T </w:t>
      </w:r>
      <w:r w:rsidRPr="00A46D8F">
        <w:t>A.13.</w:t>
      </w:r>
    </w:p>
    <w:p w:rsidR="00FE589B" w:rsidRPr="00A46D8F" w:rsidRDefault="00FE589B" w:rsidP="007C4F89">
      <w:pPr>
        <w:pStyle w:val="Reasons"/>
      </w:pPr>
    </w:p>
    <w:p w:rsidR="007C4F89" w:rsidRPr="00A46D8F" w:rsidRDefault="007C4F89">
      <w:pPr>
        <w:jc w:val="center"/>
      </w:pPr>
      <w:r w:rsidRPr="00A46D8F">
        <w:t>______________</w:t>
      </w:r>
    </w:p>
    <w:sectPr w:rsidR="007C4F89" w:rsidRPr="00A46D8F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C63" w:rsidRDefault="00F02C63">
      <w:r>
        <w:separator/>
      </w:r>
    </w:p>
  </w:endnote>
  <w:endnote w:type="continuationSeparator" w:id="0">
    <w:p w:rsidR="00F02C63" w:rsidRDefault="00F0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1A7014">
      <w:rPr>
        <w:noProof/>
        <w:lang w:val="fr-CH"/>
      </w:rPr>
      <w:t>P:\ESP\ITU-T\CONF-T\WTSA16\000\042ADD19S.docx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039C4">
      <w:rPr>
        <w:noProof/>
      </w:rPr>
      <w:t>19.10.16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A7014">
      <w:rPr>
        <w:noProof/>
      </w:rPr>
      <w:t>19.10.16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014" w:rsidRPr="005D4C37" w:rsidRDefault="001A7014" w:rsidP="001A7014">
    <w:pPr>
      <w:pStyle w:val="Footer"/>
      <w:rPr>
        <w:lang w:val="fr-CH"/>
      </w:rPr>
    </w:pPr>
    <w:r>
      <w:fldChar w:fldCharType="begin"/>
    </w:r>
    <w:r w:rsidRPr="005D4C37">
      <w:rPr>
        <w:lang w:val="fr-CH"/>
      </w:rPr>
      <w:instrText xml:space="preserve"> FILENAME \p  \* MERGEFORMAT </w:instrText>
    </w:r>
    <w:r>
      <w:fldChar w:fldCharType="separate"/>
    </w:r>
    <w:r>
      <w:rPr>
        <w:lang w:val="fr-CH"/>
      </w:rPr>
      <w:t>P:\ESP\ITU-T\CONF-T\WTSA16\000\042ADD19S.docx</w:t>
    </w:r>
    <w:r>
      <w:fldChar w:fldCharType="end"/>
    </w:r>
    <w:r>
      <w:rPr>
        <w:lang w:val="fr-CH"/>
      </w:rPr>
      <w:t xml:space="preserve"> (406794</w:t>
    </w:r>
    <w:r w:rsidRPr="005D4C37">
      <w:rPr>
        <w:lang w:val="fr-CH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45" w:rsidRPr="005D4C37" w:rsidRDefault="005D4C37" w:rsidP="005D4C37">
    <w:pPr>
      <w:pStyle w:val="Footer"/>
      <w:rPr>
        <w:lang w:val="fr-CH"/>
      </w:rPr>
    </w:pPr>
    <w:r>
      <w:fldChar w:fldCharType="begin"/>
    </w:r>
    <w:r w:rsidRPr="005D4C37">
      <w:rPr>
        <w:lang w:val="fr-CH"/>
      </w:rPr>
      <w:instrText xml:space="preserve"> FILENAME \p  \* MERGEFORMAT </w:instrText>
    </w:r>
    <w:r>
      <w:fldChar w:fldCharType="separate"/>
    </w:r>
    <w:r w:rsidR="001A7014">
      <w:rPr>
        <w:lang w:val="fr-CH"/>
      </w:rPr>
      <w:t>P:\ESP\ITU-T\CONF-T\WTSA16\000\042ADD19S.docx</w:t>
    </w:r>
    <w:r>
      <w:fldChar w:fldCharType="end"/>
    </w:r>
    <w:r>
      <w:rPr>
        <w:lang w:val="fr-CH"/>
      </w:rPr>
      <w:t xml:space="preserve"> (406794</w:t>
    </w:r>
    <w:r w:rsidRPr="005D4C37"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C63" w:rsidRDefault="00F02C63">
      <w:r>
        <w:rPr>
          <w:b/>
        </w:rPr>
        <w:t>_______________</w:t>
      </w:r>
    </w:p>
  </w:footnote>
  <w:footnote w:type="continuationSeparator" w:id="0">
    <w:p w:rsidR="00F02C63" w:rsidRDefault="00F02C63">
      <w:r>
        <w:continuationSeparator/>
      </w:r>
    </w:p>
  </w:footnote>
  <w:footnote w:id="1">
    <w:p w:rsidR="00741ABA" w:rsidRPr="004D0ECE" w:rsidRDefault="00C84F95" w:rsidP="00741ABA">
      <w:pPr>
        <w:pStyle w:val="FootnoteText"/>
        <w:ind w:left="255" w:hanging="255"/>
      </w:pPr>
      <w:r>
        <w:rPr>
          <w:rStyle w:val="FootnoteReference"/>
        </w:rPr>
        <w:t>1</w:t>
      </w:r>
      <w:r>
        <w:t xml:space="preserve"> </w:t>
      </w:r>
      <w:r>
        <w:tab/>
      </w:r>
      <w:r w:rsidRPr="00DB33FC">
        <w:t>Esta publicación incluye la Recomendaci</w:t>
      </w:r>
      <w:r>
        <w:t>ón</w:t>
      </w:r>
      <w:r w:rsidRPr="00DB33FC">
        <w:t xml:space="preserve"> U</w:t>
      </w:r>
      <w:r>
        <w:t>IT</w:t>
      </w:r>
      <w:r w:rsidR="00CE18AC">
        <w:noBreakHyphen/>
      </w:r>
      <w:r w:rsidRPr="00DB33FC">
        <w:t>T A.</w:t>
      </w:r>
      <w:r>
        <w:t>12</w:t>
      </w:r>
      <w:r w:rsidRPr="00DB33FC">
        <w:t xml:space="preserve"> (20</w:t>
      </w:r>
      <w:r>
        <w:t>08) así como su Cor. 1 (2015) y su Cor. 2</w:t>
      </w:r>
      <w:r w:rsidRPr="00DB33FC">
        <w:t xml:space="preserve"> (201</w:t>
      </w:r>
      <w:r>
        <w:t>6</w:t>
      </w:r>
      <w:r w:rsidRPr="00DB33FC">
        <w:t>)</w:t>
      </w:r>
      <w:r>
        <w:t>.</w:t>
      </w:r>
    </w:p>
  </w:footnote>
  <w:footnote w:id="2">
    <w:p w:rsidR="00741ABA" w:rsidRPr="004D0ECE" w:rsidRDefault="00C84F95" w:rsidP="00741ABA">
      <w:pPr>
        <w:pStyle w:val="FootnoteText"/>
        <w:ind w:left="255" w:hanging="255"/>
      </w:pPr>
      <w:r>
        <w:rPr>
          <w:rStyle w:val="FootnoteReference"/>
        </w:rPr>
        <w:t>1</w:t>
      </w:r>
      <w:r>
        <w:t xml:space="preserve"> </w:t>
      </w:r>
      <w:r w:rsidRPr="004D0ECE">
        <w:tab/>
      </w:r>
      <w:r w:rsidRPr="004B14F2">
        <w:t>Esta publicación incluye la versión de la Recomendación UIT-T A.13 aprobada en 2000 e incorpora la enmienda 1 (2007) a la misma.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4C0FFF">
      <w:rPr>
        <w:noProof/>
      </w:rPr>
      <w:t>2</w:t>
    </w:r>
    <w:r>
      <w:fldChar w:fldCharType="end"/>
    </w:r>
  </w:p>
  <w:p w:rsidR="00E83D45" w:rsidRPr="00C72D5C" w:rsidRDefault="00566BEE" w:rsidP="00E83D45">
    <w:pPr>
      <w:pStyle w:val="Header"/>
    </w:pPr>
    <w:r>
      <w:t>AMNT</w:t>
    </w:r>
    <w:r w:rsidR="00E83D45">
      <w:t>16/42(Add.19)-</w:t>
    </w:r>
    <w:r w:rsidR="00E83D45" w:rsidRPr="004A26C4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7B"/>
    <w:rsid w:val="00000A92"/>
    <w:rsid w:val="00004B97"/>
    <w:rsid w:val="000051DA"/>
    <w:rsid w:val="000121A4"/>
    <w:rsid w:val="00015B28"/>
    <w:rsid w:val="00023137"/>
    <w:rsid w:val="000277C7"/>
    <w:rsid w:val="0002785D"/>
    <w:rsid w:val="00057296"/>
    <w:rsid w:val="00087AE8"/>
    <w:rsid w:val="000A5180"/>
    <w:rsid w:val="000A5B9A"/>
    <w:rsid w:val="000C7758"/>
    <w:rsid w:val="000E5BF9"/>
    <w:rsid w:val="000E5EE9"/>
    <w:rsid w:val="000F0E6D"/>
    <w:rsid w:val="001039C4"/>
    <w:rsid w:val="00120191"/>
    <w:rsid w:val="001209C1"/>
    <w:rsid w:val="00121170"/>
    <w:rsid w:val="00123CC5"/>
    <w:rsid w:val="0015142D"/>
    <w:rsid w:val="00153B7D"/>
    <w:rsid w:val="001616DC"/>
    <w:rsid w:val="00163962"/>
    <w:rsid w:val="0016677B"/>
    <w:rsid w:val="00167B31"/>
    <w:rsid w:val="00191A97"/>
    <w:rsid w:val="001A083F"/>
    <w:rsid w:val="001A7014"/>
    <w:rsid w:val="001C41FA"/>
    <w:rsid w:val="001C7E72"/>
    <w:rsid w:val="001D380F"/>
    <w:rsid w:val="001E2B52"/>
    <w:rsid w:val="001E3F27"/>
    <w:rsid w:val="001F20F0"/>
    <w:rsid w:val="00204902"/>
    <w:rsid w:val="00206A20"/>
    <w:rsid w:val="0021371A"/>
    <w:rsid w:val="0022305E"/>
    <w:rsid w:val="002337D9"/>
    <w:rsid w:val="002365DB"/>
    <w:rsid w:val="00236D2A"/>
    <w:rsid w:val="00250C4E"/>
    <w:rsid w:val="00255F12"/>
    <w:rsid w:val="00262C09"/>
    <w:rsid w:val="00263815"/>
    <w:rsid w:val="0028017B"/>
    <w:rsid w:val="002827E7"/>
    <w:rsid w:val="00286495"/>
    <w:rsid w:val="00290D05"/>
    <w:rsid w:val="002A1EEA"/>
    <w:rsid w:val="002A70D6"/>
    <w:rsid w:val="002A791F"/>
    <w:rsid w:val="002C1B26"/>
    <w:rsid w:val="002C79B8"/>
    <w:rsid w:val="002D468D"/>
    <w:rsid w:val="002E701F"/>
    <w:rsid w:val="003237B0"/>
    <w:rsid w:val="00323F6E"/>
    <w:rsid w:val="003248A9"/>
    <w:rsid w:val="00324FFA"/>
    <w:rsid w:val="00325044"/>
    <w:rsid w:val="0032680B"/>
    <w:rsid w:val="0034678A"/>
    <w:rsid w:val="003571C3"/>
    <w:rsid w:val="00363A65"/>
    <w:rsid w:val="00377EC9"/>
    <w:rsid w:val="003B1E8C"/>
    <w:rsid w:val="003C1EB9"/>
    <w:rsid w:val="003C2508"/>
    <w:rsid w:val="003D0AA3"/>
    <w:rsid w:val="003E2139"/>
    <w:rsid w:val="0040719A"/>
    <w:rsid w:val="004104AC"/>
    <w:rsid w:val="0041487C"/>
    <w:rsid w:val="00454553"/>
    <w:rsid w:val="00476FB2"/>
    <w:rsid w:val="004B124A"/>
    <w:rsid w:val="004B520A"/>
    <w:rsid w:val="004C0FFF"/>
    <w:rsid w:val="004C3636"/>
    <w:rsid w:val="004C3A5A"/>
    <w:rsid w:val="005141D7"/>
    <w:rsid w:val="00523269"/>
    <w:rsid w:val="00532097"/>
    <w:rsid w:val="00566BEE"/>
    <w:rsid w:val="0058350F"/>
    <w:rsid w:val="005A0B3A"/>
    <w:rsid w:val="005A374D"/>
    <w:rsid w:val="005D4C37"/>
    <w:rsid w:val="005E782D"/>
    <w:rsid w:val="005F2605"/>
    <w:rsid w:val="005F33B5"/>
    <w:rsid w:val="00662039"/>
    <w:rsid w:val="00662BA0"/>
    <w:rsid w:val="00681766"/>
    <w:rsid w:val="0069038E"/>
    <w:rsid w:val="00692AAE"/>
    <w:rsid w:val="006B0F54"/>
    <w:rsid w:val="006D6E67"/>
    <w:rsid w:val="006E0078"/>
    <w:rsid w:val="006E1A13"/>
    <w:rsid w:val="006E76B9"/>
    <w:rsid w:val="00701C20"/>
    <w:rsid w:val="00702F3D"/>
    <w:rsid w:val="00703E90"/>
    <w:rsid w:val="0070518E"/>
    <w:rsid w:val="00734034"/>
    <w:rsid w:val="007354E9"/>
    <w:rsid w:val="00765578"/>
    <w:rsid w:val="0077084A"/>
    <w:rsid w:val="00786250"/>
    <w:rsid w:val="00790506"/>
    <w:rsid w:val="007952C7"/>
    <w:rsid w:val="007C2317"/>
    <w:rsid w:val="007C39FA"/>
    <w:rsid w:val="007C4F89"/>
    <w:rsid w:val="007D330A"/>
    <w:rsid w:val="007E667F"/>
    <w:rsid w:val="00814BFA"/>
    <w:rsid w:val="00866AE6"/>
    <w:rsid w:val="00866BBD"/>
    <w:rsid w:val="00873B75"/>
    <w:rsid w:val="008750A8"/>
    <w:rsid w:val="008778F1"/>
    <w:rsid w:val="00880B5B"/>
    <w:rsid w:val="008D01A3"/>
    <w:rsid w:val="008E35DA"/>
    <w:rsid w:val="008E4453"/>
    <w:rsid w:val="008F5B2F"/>
    <w:rsid w:val="0090121B"/>
    <w:rsid w:val="009144C9"/>
    <w:rsid w:val="00916196"/>
    <w:rsid w:val="0094091F"/>
    <w:rsid w:val="0094097D"/>
    <w:rsid w:val="00943EF6"/>
    <w:rsid w:val="0094692E"/>
    <w:rsid w:val="00966285"/>
    <w:rsid w:val="00973754"/>
    <w:rsid w:val="0097673E"/>
    <w:rsid w:val="00990278"/>
    <w:rsid w:val="009A137D"/>
    <w:rsid w:val="009C0BED"/>
    <w:rsid w:val="009C3066"/>
    <w:rsid w:val="009E11EC"/>
    <w:rsid w:val="009E1A8C"/>
    <w:rsid w:val="009F6A67"/>
    <w:rsid w:val="00A118DB"/>
    <w:rsid w:val="00A24AC0"/>
    <w:rsid w:val="00A25DE1"/>
    <w:rsid w:val="00A4450C"/>
    <w:rsid w:val="00A45CE2"/>
    <w:rsid w:val="00A46D8F"/>
    <w:rsid w:val="00A665F9"/>
    <w:rsid w:val="00A8468E"/>
    <w:rsid w:val="00AA5E6C"/>
    <w:rsid w:val="00AB4E90"/>
    <w:rsid w:val="00AD06A3"/>
    <w:rsid w:val="00AD7416"/>
    <w:rsid w:val="00AE5677"/>
    <w:rsid w:val="00AE658F"/>
    <w:rsid w:val="00AF2F78"/>
    <w:rsid w:val="00AF7195"/>
    <w:rsid w:val="00B07178"/>
    <w:rsid w:val="00B16CDF"/>
    <w:rsid w:val="00B1727C"/>
    <w:rsid w:val="00B173B3"/>
    <w:rsid w:val="00B257B2"/>
    <w:rsid w:val="00B302AD"/>
    <w:rsid w:val="00B51263"/>
    <w:rsid w:val="00B52D55"/>
    <w:rsid w:val="00B56E7C"/>
    <w:rsid w:val="00B61807"/>
    <w:rsid w:val="00B627DD"/>
    <w:rsid w:val="00B75455"/>
    <w:rsid w:val="00B8288C"/>
    <w:rsid w:val="00B851CA"/>
    <w:rsid w:val="00BA4832"/>
    <w:rsid w:val="00BC0B6A"/>
    <w:rsid w:val="00BC4786"/>
    <w:rsid w:val="00BD5FE4"/>
    <w:rsid w:val="00BE2E80"/>
    <w:rsid w:val="00BE5EDD"/>
    <w:rsid w:val="00BE6A1F"/>
    <w:rsid w:val="00C126C4"/>
    <w:rsid w:val="00C614DC"/>
    <w:rsid w:val="00C63EB5"/>
    <w:rsid w:val="00C84F95"/>
    <w:rsid w:val="00C858D0"/>
    <w:rsid w:val="00CA1F40"/>
    <w:rsid w:val="00CB35C9"/>
    <w:rsid w:val="00CC01E0"/>
    <w:rsid w:val="00CD20F5"/>
    <w:rsid w:val="00CD5FEE"/>
    <w:rsid w:val="00CD663E"/>
    <w:rsid w:val="00CE18AC"/>
    <w:rsid w:val="00CE60D2"/>
    <w:rsid w:val="00D0288A"/>
    <w:rsid w:val="00D050C6"/>
    <w:rsid w:val="00D1407C"/>
    <w:rsid w:val="00D25762"/>
    <w:rsid w:val="00D47C5A"/>
    <w:rsid w:val="00D51D1D"/>
    <w:rsid w:val="00D55D24"/>
    <w:rsid w:val="00D56781"/>
    <w:rsid w:val="00D72A5D"/>
    <w:rsid w:val="00DA1B23"/>
    <w:rsid w:val="00DB5673"/>
    <w:rsid w:val="00DC629B"/>
    <w:rsid w:val="00DF17CE"/>
    <w:rsid w:val="00DF2AFC"/>
    <w:rsid w:val="00E05BFF"/>
    <w:rsid w:val="00E21778"/>
    <w:rsid w:val="00E262F1"/>
    <w:rsid w:val="00E32BEE"/>
    <w:rsid w:val="00E4108F"/>
    <w:rsid w:val="00E47B44"/>
    <w:rsid w:val="00E71D14"/>
    <w:rsid w:val="00E8097C"/>
    <w:rsid w:val="00E83D45"/>
    <w:rsid w:val="00E94A4A"/>
    <w:rsid w:val="00EA3CA9"/>
    <w:rsid w:val="00EA56DB"/>
    <w:rsid w:val="00EE1779"/>
    <w:rsid w:val="00EF0D6D"/>
    <w:rsid w:val="00F0220A"/>
    <w:rsid w:val="00F02C63"/>
    <w:rsid w:val="00F247BB"/>
    <w:rsid w:val="00F26F4E"/>
    <w:rsid w:val="00F30E65"/>
    <w:rsid w:val="00F54E0E"/>
    <w:rsid w:val="00F60584"/>
    <w:rsid w:val="00F606A0"/>
    <w:rsid w:val="00F62AB3"/>
    <w:rsid w:val="00F63177"/>
    <w:rsid w:val="00F66597"/>
    <w:rsid w:val="00F7212F"/>
    <w:rsid w:val="00F8150C"/>
    <w:rsid w:val="00FA439D"/>
    <w:rsid w:val="00FC3528"/>
    <w:rsid w:val="00FD2DCC"/>
    <w:rsid w:val="00FD5C8C"/>
    <w:rsid w:val="00FD5FC1"/>
    <w:rsid w:val="00FE161E"/>
    <w:rsid w:val="00FE4574"/>
    <w:rsid w:val="00FE53CF"/>
    <w:rsid w:val="00FE589B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B51263"/>
    <w:pPr>
      <w:keepNext/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B75455"/>
    <w:pPr>
      <w:keepNext/>
      <w:keepLines/>
      <w:spacing w:before="480"/>
      <w:jc w:val="center"/>
    </w:pPr>
    <w:rPr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character" w:customStyle="1" w:styleId="href">
    <w:name w:val="href"/>
    <w:basedOn w:val="DefaultParagraphFont"/>
    <w:uiPriority w:val="99"/>
    <w:rsid w:val="00741ABA"/>
  </w:style>
  <w:style w:type="character" w:styleId="Hyperlink">
    <w:name w:val="Hyperlink"/>
    <w:basedOn w:val="DefaultParagraphFont"/>
    <w:unhideWhenUsed/>
    <w:rsid w:val="008D01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295EEC0E10457DA5ACD55DDA659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78905-84DA-442B-8093-6B9CCA9A94B6}"/>
      </w:docPartPr>
      <w:docPartBody>
        <w:p w:rsidR="003331C5" w:rsidRDefault="00E04EE8" w:rsidP="00E04EE8">
          <w:pPr>
            <w:pStyle w:val="46295EEC0E10457DA5ACD55DDA65957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E8"/>
    <w:rsid w:val="00122FDE"/>
    <w:rsid w:val="001F2070"/>
    <w:rsid w:val="002C1D30"/>
    <w:rsid w:val="003331C5"/>
    <w:rsid w:val="00502EF4"/>
    <w:rsid w:val="00503226"/>
    <w:rsid w:val="005A230A"/>
    <w:rsid w:val="00690C7B"/>
    <w:rsid w:val="007B3EF8"/>
    <w:rsid w:val="009124B2"/>
    <w:rsid w:val="00986969"/>
    <w:rsid w:val="009E7F8E"/>
    <w:rsid w:val="00BD59AE"/>
    <w:rsid w:val="00DA0CD6"/>
    <w:rsid w:val="00E04EE8"/>
    <w:rsid w:val="00E30626"/>
    <w:rsid w:val="00E3524E"/>
    <w:rsid w:val="00E80C1D"/>
    <w:rsid w:val="00E96DFB"/>
    <w:rsid w:val="00EA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4EE8"/>
    <w:rPr>
      <w:color w:val="808080"/>
    </w:rPr>
  </w:style>
  <w:style w:type="paragraph" w:customStyle="1" w:styleId="46295EEC0E10457DA5ACD55DDA65957F">
    <w:name w:val="46295EEC0E10457DA5ACD55DDA65957F"/>
    <w:rsid w:val="00E04EE8"/>
  </w:style>
  <w:style w:type="paragraph" w:customStyle="1" w:styleId="503435B9328E4B86B550AE06BB9A6609">
    <w:name w:val="503435B9328E4B86B550AE06BB9A6609"/>
    <w:rsid w:val="00122FDE"/>
  </w:style>
  <w:style w:type="paragraph" w:customStyle="1" w:styleId="6B199C53E4324888A1E812D6D7772F1F">
    <w:name w:val="6B199C53E4324888A1E812D6D7772F1F"/>
    <w:rsid w:val="00122F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0dca765-3dca-4145-b1f3-ff54745511db" targetNamespace="http://schemas.microsoft.com/office/2006/metadata/properties" ma:root="true" ma:fieldsID="d41af5c836d734370eb92e7ee5f83852" ns2:_="" ns3:_="">
    <xsd:import namespace="996b2e75-67fd-4955-a3b0-5ab9934cb50b"/>
    <xsd:import namespace="00dca765-3dca-4145-b1f3-ff54745511d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ca765-3dca-4145-b1f3-ff54745511d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0dca765-3dca-4145-b1f3-ff54745511db">Documents Proposals Manager (DPM)</DPM_x0020_Author>
    <DPM_x0020_File_x0020_name xmlns="00dca765-3dca-4145-b1f3-ff54745511db">T13-WTSA.16-C-0042!A19!MSW-S</DPM_x0020_File_x0020_name>
    <DPM_x0020_Version xmlns="00dca765-3dca-4145-b1f3-ff54745511db">DPM_v2016.10.17.1_prod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0dca765-3dca-4145-b1f3-ff54745511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00dca765-3dca-4145-b1f3-ff54745511db"/>
    <ds:schemaRef ds:uri="996b2e75-67fd-4955-a3b0-5ab9934cb50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490FBCC-3AB2-4B4E-A7A2-4644B179D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828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International Telecommunication Union (ITU)</Company>
  <LinksUpToDate>false</LinksUpToDate>
  <CharactersWithSpaces>5372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Documents Proposals Manager (DPM)</dc:creator>
  <cp:keywords>DPM_v2016.10.17.1_prod</cp:keywords>
  <dc:description>Template used by DPM and CPI for the WTSA-16</dc:description>
  <cp:lastModifiedBy>Ricardo Sáez Grau</cp:lastModifiedBy>
  <cp:revision>58</cp:revision>
  <cp:lastPrinted>2016-10-19T10:23:00Z</cp:lastPrinted>
  <dcterms:created xsi:type="dcterms:W3CDTF">2016-10-19T10:16:00Z</dcterms:created>
  <dcterms:modified xsi:type="dcterms:W3CDTF">2016-10-19T12:24:00Z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