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447550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447550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447550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447550">
              <w:rPr>
                <w:rFonts w:ascii="Verdana Bold" w:hAnsi="Verdana Bold" w:cs="Traditional Arabic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447550" w:rsidRDefault="0022345D" w:rsidP="005B35B0">
            <w:pPr>
              <w:pStyle w:val="Adress"/>
              <w:framePr w:hSpace="0" w:wrap="auto" w:xAlign="left" w:yAlign="inline"/>
              <w:rPr>
                <w:rtl/>
              </w:rPr>
            </w:pPr>
            <w:r w:rsidRPr="00447550">
              <w:rPr>
                <w:rtl/>
              </w:rPr>
              <w:t>الإضافة</w:t>
            </w:r>
            <w:r w:rsidR="005B35B0">
              <w:rPr>
                <w:rFonts w:hint="eastAsia"/>
                <w:rtl/>
              </w:rPr>
              <w:t> </w:t>
            </w:r>
            <w:r w:rsidRPr="00447550">
              <w:t>19</w:t>
            </w:r>
            <w:r w:rsidRPr="00447550">
              <w:br/>
            </w:r>
            <w:r w:rsidRPr="00447550">
              <w:rPr>
                <w:rtl/>
              </w:rPr>
              <w:t>للوثيقة</w:t>
            </w:r>
            <w:r w:rsidR="005B35B0">
              <w:rPr>
                <w:rFonts w:hint="eastAsia"/>
                <w:rtl/>
              </w:rPr>
              <w:t> </w:t>
            </w:r>
            <w:r w:rsidRPr="00447550">
              <w:t>42-</w:t>
            </w:r>
            <w:r w:rsidR="00447550"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447550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447550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447550">
              <w:rPr>
                <w:rFonts w:eastAsia="SimSun"/>
              </w:rPr>
              <w:t>10</w:t>
            </w:r>
            <w:r w:rsidRPr="00447550">
              <w:rPr>
                <w:rFonts w:eastAsia="SimSun"/>
                <w:rtl/>
              </w:rPr>
              <w:t xml:space="preserve"> أكتوبر </w:t>
            </w:r>
            <w:r w:rsidRPr="00447550">
              <w:rPr>
                <w:rFonts w:eastAsia="SimSun"/>
              </w:rPr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447550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447550" w:rsidRDefault="0022345D" w:rsidP="005B35B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447550">
              <w:rPr>
                <w:rFonts w:eastAsia="SimSun"/>
                <w:rtl/>
              </w:rPr>
              <w:t>الأصل:</w:t>
            </w:r>
            <w:r w:rsidR="005B35B0">
              <w:rPr>
                <w:rFonts w:eastAsia="SimSun" w:hint="eastAsia"/>
                <w:rtl/>
              </w:rPr>
              <w:t> </w:t>
            </w:r>
            <w:r w:rsidRPr="00447550">
              <w:rPr>
                <w:rFonts w:eastAsia="SimSun"/>
                <w:rtl/>
              </w:rPr>
              <w:t>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447550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الاتحاد الإفريقي للاتصالات</w:t>
            </w:r>
          </w:p>
        </w:tc>
      </w:tr>
      <w:tr w:rsidR="0022345D" w:rsidRPr="00447550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447550" w:rsidRDefault="00447550" w:rsidP="005B35B0">
            <w:pPr>
              <w:pStyle w:val="Title1"/>
              <w:spacing w:before="240"/>
              <w:rPr>
                <w:highlight w:val="yellow"/>
                <w:rtl/>
              </w:rPr>
            </w:pPr>
            <w:r w:rsidRPr="00FA178C">
              <w:rPr>
                <w:rFonts w:hint="cs"/>
                <w:rtl/>
              </w:rPr>
              <w:t>مقترح لعدم تغيير التوصيات</w:t>
            </w:r>
            <w:r w:rsidR="005B35B0" w:rsidRPr="00FA178C">
              <w:rPr>
                <w:rFonts w:hint="eastAsia"/>
                <w:rtl/>
              </w:rPr>
              <w:t> </w:t>
            </w:r>
            <w:r w:rsidRPr="00FA178C">
              <w:rPr>
                <w:rStyle w:val="href"/>
              </w:rPr>
              <w:t>ITU</w:t>
            </w:r>
            <w:r w:rsidRPr="00FA178C">
              <w:rPr>
                <w:rStyle w:val="href"/>
              </w:rPr>
              <w:noBreakHyphen/>
              <w:t>T A.1</w:t>
            </w:r>
            <w:r w:rsidRPr="00FA178C">
              <w:rPr>
                <w:rStyle w:val="href"/>
                <w:rFonts w:hint="cs"/>
                <w:rtl/>
              </w:rPr>
              <w:t xml:space="preserve"> و</w:t>
            </w:r>
            <w:r w:rsidRPr="00FA178C">
              <w:rPr>
                <w:rStyle w:val="href"/>
              </w:rPr>
              <w:t>ITU</w:t>
            </w:r>
            <w:r w:rsidRPr="00FA178C">
              <w:rPr>
                <w:rStyle w:val="href"/>
              </w:rPr>
              <w:noBreakHyphen/>
              <w:t>T A.12</w:t>
            </w:r>
            <w:r w:rsidRPr="00FA178C">
              <w:rPr>
                <w:rStyle w:val="href"/>
                <w:rFonts w:hint="cs"/>
                <w:rtl/>
              </w:rPr>
              <w:t xml:space="preserve"> و</w:t>
            </w:r>
            <w:r w:rsidRPr="00FA178C">
              <w:rPr>
                <w:rStyle w:val="href"/>
              </w:rPr>
              <w:t>ITU</w:t>
            </w:r>
            <w:r w:rsidRPr="00FA178C">
              <w:rPr>
                <w:rStyle w:val="href"/>
              </w:rPr>
              <w:noBreakHyphen/>
              <w:t>T A.13</w:t>
            </w:r>
          </w:p>
        </w:tc>
      </w:tr>
      <w:tr w:rsidR="0022345D" w:rsidRPr="00447550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447550" w:rsidRDefault="0022345D" w:rsidP="00EB2C2C">
            <w:pPr>
              <w:rPr>
                <w:lang w:val="fr-CH"/>
              </w:rPr>
            </w:pPr>
          </w:p>
        </w:tc>
      </w:tr>
    </w:tbl>
    <w:p w:rsidR="00EB2C2C" w:rsidRDefault="00EB2C2C" w:rsidP="00EB2C2C"/>
    <w:tbl>
      <w:tblPr>
        <w:tblW w:w="5000" w:type="pct"/>
        <w:jc w:val="right"/>
        <w:tblLook w:val="0000" w:firstRow="0" w:lastRow="0" w:firstColumn="0" w:lastColumn="0" w:noHBand="0" w:noVBand="0"/>
      </w:tblPr>
      <w:tblGrid>
        <w:gridCol w:w="8573"/>
        <w:gridCol w:w="1066"/>
      </w:tblGrid>
      <w:tr w:rsidR="006157A3" w:rsidRPr="00E70E87" w:rsidTr="00541949">
        <w:trPr>
          <w:cantSplit/>
          <w:jc w:val="right"/>
        </w:trPr>
        <w:sdt>
          <w:sdtPr>
            <w:rPr>
              <w:spacing w:val="-4"/>
              <w:rtl/>
            </w:rPr>
            <w:alias w:val="Abstract"/>
            <w:tag w:val="Abstract"/>
            <w:id w:val="-939903723"/>
            <w:placeholder>
              <w:docPart w:val="456CC73F53E643B5956215EB24B5ECF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4447" w:type="pct"/>
              </w:tcPr>
              <w:p w:rsidR="006157A3" w:rsidRPr="00BE2CCA" w:rsidRDefault="00BE2CCA" w:rsidP="00A00CFF">
                <w:pPr>
                  <w:rPr>
                    <w:spacing w:val="-4"/>
                    <w:lang w:val="fr-CH"/>
                  </w:rPr>
                </w:pPr>
                <w:r w:rsidRPr="00BE2CCA">
                  <w:rPr>
                    <w:rFonts w:hint="cs"/>
                    <w:spacing w:val="-4"/>
                    <w:rtl/>
                  </w:rPr>
                  <w:t xml:space="preserve">تقترح الدول الأعضاء الإفريقية على الجمعية العالمية لتقييس الاتصالات لعام </w:t>
                </w:r>
                <w:r w:rsidRPr="00BE2CCA">
                  <w:rPr>
                    <w:spacing w:val="-4"/>
                  </w:rPr>
                  <w:t>2016</w:t>
                </w:r>
                <w:r>
                  <w:rPr>
                    <w:rFonts w:hint="cs"/>
                    <w:spacing w:val="-4"/>
                    <w:rtl/>
                  </w:rPr>
                  <w:t xml:space="preserve"> </w:t>
                </w:r>
                <w:r>
                  <w:rPr>
                    <w:spacing w:val="-4"/>
                  </w:rPr>
                  <w:t>(</w:t>
                </w:r>
                <w:r w:rsidRPr="000A0001">
                  <w:rPr>
                    <w:spacing w:val="-4"/>
                  </w:rPr>
                  <w:t>WTSA-16</w:t>
                </w:r>
                <w:r>
                  <w:rPr>
                    <w:spacing w:val="-4"/>
                  </w:rPr>
                  <w:t>)</w:t>
                </w:r>
                <w:r w:rsidRPr="00BE2CCA">
                  <w:rPr>
                    <w:rFonts w:hint="cs"/>
                    <w:spacing w:val="-4"/>
                    <w:rtl/>
                  </w:rPr>
                  <w:t xml:space="preserve"> ألاّ</w:t>
                </w:r>
                <w:r w:rsidRPr="00BE2CCA">
                  <w:rPr>
                    <w:rFonts w:hint="eastAsia"/>
                    <w:spacing w:val="-4"/>
                    <w:rtl/>
                  </w:rPr>
                  <w:t> </w:t>
                </w:r>
                <w:r w:rsidRPr="00BE2CCA">
                  <w:rPr>
                    <w:rFonts w:hint="cs"/>
                    <w:spacing w:val="-4"/>
                    <w:rtl/>
                  </w:rPr>
                  <w:t>تُدخل أيّ</w:t>
                </w:r>
                <w:r w:rsidRPr="00BE2CCA">
                  <w:rPr>
                    <w:rFonts w:hint="eastAsia"/>
                    <w:spacing w:val="-4"/>
                    <w:rtl/>
                  </w:rPr>
                  <w:t> </w:t>
                </w:r>
                <w:r w:rsidRPr="00BE2CCA">
                  <w:rPr>
                    <w:rFonts w:hint="cs"/>
                    <w:spacing w:val="-4"/>
                    <w:rtl/>
                  </w:rPr>
                  <w:t>تعديل على ال</w:t>
                </w:r>
                <w:r w:rsidRPr="00BE2CCA">
                  <w:rPr>
                    <w:spacing w:val="-4"/>
                    <w:rtl/>
                  </w:rPr>
                  <w:t xml:space="preserve">توصيات </w:t>
                </w:r>
                <w:r w:rsidRPr="00BE2CCA">
                  <w:rPr>
                    <w:rFonts w:hint="cs"/>
                    <w:spacing w:val="-4"/>
                    <w:rtl/>
                  </w:rPr>
                  <w:t>الثلاث التالية من السلسلة</w:t>
                </w:r>
                <w:r w:rsidRPr="00BE2CCA">
                  <w:rPr>
                    <w:rFonts w:hint="eastAsia"/>
                    <w:spacing w:val="-4"/>
                    <w:rtl/>
                  </w:rPr>
                  <w:t> </w:t>
                </w:r>
                <w:r w:rsidRPr="00BE2CCA">
                  <w:rPr>
                    <w:spacing w:val="-4"/>
                  </w:rPr>
                  <w:t>A</w:t>
                </w:r>
                <w:r w:rsidRPr="00BE2CCA">
                  <w:rPr>
                    <w:rFonts w:hint="cs"/>
                    <w:spacing w:val="-4"/>
                    <w:rtl/>
                  </w:rPr>
                  <w:t xml:space="preserve"> لقطاع تقييس الاتصالات: </w:t>
                </w:r>
                <w:r w:rsidRPr="00BE2CCA">
                  <w:rPr>
                    <w:spacing w:val="-4"/>
                  </w:rPr>
                  <w:t>ITU</w:t>
                </w:r>
                <w:r w:rsidR="00A00CFF">
                  <w:rPr>
                    <w:spacing w:val="-4"/>
                  </w:rPr>
                  <w:noBreakHyphen/>
                </w:r>
                <w:r w:rsidRPr="00BE2CCA">
                  <w:rPr>
                    <w:spacing w:val="-4"/>
                  </w:rPr>
                  <w:t>T</w:t>
                </w:r>
                <w:r>
                  <w:rPr>
                    <w:spacing w:val="-4"/>
                  </w:rPr>
                  <w:t> </w:t>
                </w:r>
                <w:r w:rsidRPr="00BE2CCA">
                  <w:rPr>
                    <w:spacing w:val="-4"/>
                  </w:rPr>
                  <w:t>A.1</w:t>
                </w:r>
                <w:r w:rsidRPr="00BE2CCA">
                  <w:rPr>
                    <w:rFonts w:hint="cs"/>
                    <w:spacing w:val="-4"/>
                    <w:rtl/>
                  </w:rPr>
                  <w:t xml:space="preserve"> و</w:t>
                </w:r>
                <w:r w:rsidRPr="00BE2CCA">
                  <w:rPr>
                    <w:spacing w:val="-4"/>
                  </w:rPr>
                  <w:t>ITU</w:t>
                </w:r>
                <w:r w:rsidRPr="00BE2CCA">
                  <w:rPr>
                    <w:spacing w:val="-4"/>
                  </w:rPr>
                  <w:noBreakHyphen/>
                  <w:t>T A.12</w:t>
                </w:r>
                <w:r w:rsidRPr="00BE2CCA">
                  <w:rPr>
                    <w:rFonts w:hint="cs"/>
                    <w:spacing w:val="-4"/>
                    <w:rtl/>
                  </w:rPr>
                  <w:t xml:space="preserve"> و</w:t>
                </w:r>
                <w:r w:rsidRPr="00BE2CCA">
                  <w:rPr>
                    <w:spacing w:val="-4"/>
                  </w:rPr>
                  <w:t>ITU</w:t>
                </w:r>
                <w:r>
                  <w:rPr>
                    <w:spacing w:val="-4"/>
                  </w:rPr>
                  <w:noBreakHyphen/>
                </w:r>
                <w:r w:rsidRPr="00BE2CCA">
                  <w:rPr>
                    <w:spacing w:val="-4"/>
                  </w:rPr>
                  <w:t>T</w:t>
                </w:r>
                <w:r>
                  <w:rPr>
                    <w:spacing w:val="-4"/>
                  </w:rPr>
                  <w:t> </w:t>
                </w:r>
                <w:r w:rsidRPr="00BE2CCA">
                  <w:rPr>
                    <w:spacing w:val="-4"/>
                  </w:rPr>
                  <w:t>A.13</w:t>
                </w:r>
                <w:r w:rsidRPr="00BE2CCA">
                  <w:rPr>
                    <w:rFonts w:hint="cs"/>
                    <w:spacing w:val="-4"/>
                    <w:rtl/>
                  </w:rPr>
                  <w:t xml:space="preserve">، اعتباراً أن بعض المساهمات المقدمة من مناطق أو دول أعضاء أخرى إلى هذه الجمعية تقترح إدخال تعديلات على هذه التوصيات لن تدعم عمل قطاع تقييس الاتصالات، حسبما تراه </w:t>
                </w:r>
                <w:r w:rsidRPr="00BE2CCA">
                  <w:rPr>
                    <w:spacing w:val="-4"/>
                    <w:rtl/>
                  </w:rPr>
                  <w:t>الدول الأعضاء الإفريقية</w:t>
                </w:r>
                <w:r w:rsidRPr="00BE2CCA">
                  <w:rPr>
                    <w:rFonts w:hint="cs"/>
                    <w:spacing w:val="-4"/>
                    <w:rtl/>
                  </w:rPr>
                  <w:t>.</w:t>
                </w:r>
              </w:p>
            </w:tc>
          </w:sdtContent>
        </w:sdt>
        <w:tc>
          <w:tcPr>
            <w:tcW w:w="553" w:type="pct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447550">
              <w:rPr>
                <w:b/>
                <w:bCs/>
              </w:rPr>
              <w:t>:</w:t>
            </w:r>
          </w:p>
        </w:tc>
      </w:tr>
    </w:tbl>
    <w:p w:rsidR="0022345D" w:rsidRPr="00F762D4" w:rsidRDefault="00516795" w:rsidP="00F762D4">
      <w:pPr>
        <w:spacing w:before="240"/>
        <w:rPr>
          <w:spacing w:val="-4"/>
          <w:rtl/>
        </w:rPr>
      </w:pPr>
      <w:r w:rsidRPr="00F762D4">
        <w:rPr>
          <w:rFonts w:hint="cs"/>
          <w:spacing w:val="-4"/>
          <w:rtl/>
        </w:rPr>
        <w:t>استناداً إلى ا</w:t>
      </w:r>
      <w:r w:rsidR="00BD0527" w:rsidRPr="00F762D4">
        <w:rPr>
          <w:rFonts w:hint="cs"/>
          <w:spacing w:val="-4"/>
          <w:rtl/>
        </w:rPr>
        <w:t xml:space="preserve">لأسباب المذكورة أعلاه، </w:t>
      </w:r>
      <w:r w:rsidR="00CA65B1" w:rsidRPr="00F762D4">
        <w:rPr>
          <w:rFonts w:hint="cs"/>
          <w:spacing w:val="-4"/>
          <w:rtl/>
        </w:rPr>
        <w:t>تقترح الدول الأعضاء الإفريقية على الجمعية العالمية لتقييس الاتصالات لعام</w:t>
      </w:r>
      <w:r w:rsidR="00F762D4" w:rsidRPr="00F762D4">
        <w:rPr>
          <w:rFonts w:hint="cs"/>
          <w:spacing w:val="-4"/>
          <w:rtl/>
        </w:rPr>
        <w:t xml:space="preserve"> </w:t>
      </w:r>
      <w:r w:rsidR="00CA65B1" w:rsidRPr="00F762D4">
        <w:rPr>
          <w:spacing w:val="-4"/>
        </w:rPr>
        <w:t>2016</w:t>
      </w:r>
      <w:r w:rsidR="00F762D4" w:rsidRPr="00F762D4">
        <w:rPr>
          <w:rFonts w:hint="cs"/>
          <w:spacing w:val="-4"/>
          <w:rtl/>
        </w:rPr>
        <w:t xml:space="preserve"> </w:t>
      </w:r>
      <w:r w:rsidR="00BE2CCA" w:rsidRPr="00F762D4">
        <w:rPr>
          <w:spacing w:val="-4"/>
        </w:rPr>
        <w:t>(WTSA</w:t>
      </w:r>
      <w:r w:rsidR="00BE2CCA" w:rsidRPr="00F762D4">
        <w:rPr>
          <w:spacing w:val="-4"/>
        </w:rPr>
        <w:noBreakHyphen/>
        <w:t>16)</w:t>
      </w:r>
      <w:r w:rsidR="00CA65B1" w:rsidRPr="00F762D4">
        <w:rPr>
          <w:rFonts w:hint="cs"/>
          <w:spacing w:val="-4"/>
          <w:rtl/>
        </w:rPr>
        <w:t xml:space="preserve"> ألاّ</w:t>
      </w:r>
      <w:r w:rsidR="00BE2CCA" w:rsidRPr="00F762D4">
        <w:rPr>
          <w:rFonts w:hint="eastAsia"/>
          <w:spacing w:val="-4"/>
          <w:rtl/>
        </w:rPr>
        <w:t> </w:t>
      </w:r>
      <w:r w:rsidR="00CA65B1" w:rsidRPr="00F762D4">
        <w:rPr>
          <w:rFonts w:hint="cs"/>
          <w:spacing w:val="-4"/>
          <w:rtl/>
        </w:rPr>
        <w:t>تُدخل أيّ تعديل على ال</w:t>
      </w:r>
      <w:r w:rsidR="00CA65B1" w:rsidRPr="00F762D4">
        <w:rPr>
          <w:spacing w:val="-4"/>
          <w:rtl/>
        </w:rPr>
        <w:t xml:space="preserve">توصيات </w:t>
      </w:r>
      <w:r w:rsidR="00CA65B1" w:rsidRPr="00F762D4">
        <w:rPr>
          <w:rFonts w:hint="cs"/>
          <w:spacing w:val="-4"/>
          <w:rtl/>
        </w:rPr>
        <w:t>الثلاث التالية من السلسلة</w:t>
      </w:r>
      <w:r w:rsidR="00BE2CCA" w:rsidRPr="00F762D4">
        <w:rPr>
          <w:rFonts w:hint="eastAsia"/>
          <w:spacing w:val="-4"/>
          <w:rtl/>
        </w:rPr>
        <w:t> </w:t>
      </w:r>
      <w:r w:rsidR="00CA65B1" w:rsidRPr="00F762D4">
        <w:rPr>
          <w:spacing w:val="-4"/>
        </w:rPr>
        <w:t>A</w:t>
      </w:r>
      <w:r w:rsidR="00CA65B1" w:rsidRPr="00F762D4">
        <w:rPr>
          <w:rFonts w:hint="cs"/>
          <w:spacing w:val="-4"/>
          <w:rtl/>
        </w:rPr>
        <w:t xml:space="preserve"> لقطاع تقييس الاتصالات</w:t>
      </w:r>
      <w:r w:rsidR="00BD0527" w:rsidRPr="00F762D4">
        <w:rPr>
          <w:rFonts w:hint="cs"/>
          <w:spacing w:val="-4"/>
          <w:rtl/>
        </w:rPr>
        <w:t>.</w:t>
      </w:r>
    </w:p>
    <w:p w:rsidR="00C722EB" w:rsidRDefault="00C722EB" w:rsidP="00C722EB">
      <w:pPr>
        <w:rPr>
          <w:rtl/>
        </w:rPr>
      </w:pPr>
      <w:r>
        <w:rPr>
          <w:rtl/>
        </w:rPr>
        <w:br w:type="page"/>
      </w:r>
    </w:p>
    <w:p w:rsidR="00A8101B" w:rsidRDefault="005B35B0">
      <w:pPr>
        <w:pStyle w:val="Proposal"/>
      </w:pPr>
      <w:r>
        <w:rPr>
          <w:u w:val="single"/>
        </w:rPr>
        <w:lastRenderedPageBreak/>
        <w:t>NOC</w:t>
      </w:r>
      <w:r>
        <w:tab/>
        <w:t>AFCP/42A19/1</w:t>
      </w:r>
    </w:p>
    <w:p w:rsidR="00DC4BEA" w:rsidRPr="00516795" w:rsidRDefault="005B35B0" w:rsidP="00516795">
      <w:pPr>
        <w:pStyle w:val="RecNo"/>
        <w:spacing w:before="360"/>
      </w:pPr>
      <w:r w:rsidRPr="00D41AF0">
        <w:rPr>
          <w:rFonts w:hint="cs"/>
          <w:rtl/>
        </w:rPr>
        <w:t>التوصيـة</w:t>
      </w:r>
      <w:r>
        <w:rPr>
          <w:rFonts w:hint="eastAsia"/>
          <w:rtl/>
        </w:rPr>
        <w:t> </w:t>
      </w:r>
      <w:r w:rsidRPr="00D41AF0">
        <w:rPr>
          <w:rStyle w:val="href"/>
          <w:bCs w:val="0"/>
        </w:rPr>
        <w:t>ITU-T A.1</w:t>
      </w:r>
    </w:p>
    <w:p w:rsidR="00DC4BEA" w:rsidRDefault="005B35B0" w:rsidP="008266D8">
      <w:pPr>
        <w:pStyle w:val="Rectitle"/>
      </w:pPr>
      <w:bookmarkStart w:id="0" w:name="_Toc219803577"/>
      <w:bookmarkStart w:id="1" w:name="_Toc349551646"/>
      <w:r>
        <w:rPr>
          <w:rFonts w:hint="cs"/>
          <w:rtl/>
        </w:rPr>
        <w:t>طرائق عمل لجان الدراسات التابعة لقطاع تقييس الاتصالات</w:t>
      </w:r>
      <w:bookmarkEnd w:id="0"/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>للاتحاد الدولي للاتصالات</w:t>
      </w:r>
      <w:bookmarkEnd w:id="1"/>
    </w:p>
    <w:p w:rsidR="00DC4BEA" w:rsidRPr="00005B46" w:rsidRDefault="005B35B0" w:rsidP="002178AC">
      <w:pPr>
        <w:pStyle w:val="Recdate"/>
        <w:rPr>
          <w:rtl/>
        </w:rPr>
      </w:pPr>
      <w:r w:rsidRPr="00005B46">
        <w:rPr>
          <w:rFonts w:hint="cs"/>
          <w:rtl/>
        </w:rPr>
        <w:t>(</w:t>
      </w:r>
      <w:r w:rsidRPr="00005B46">
        <w:t>1996</w:t>
      </w:r>
      <w:r w:rsidRPr="00005B46">
        <w:rPr>
          <w:rFonts w:hint="cs"/>
          <w:rtl/>
        </w:rPr>
        <w:t xml:space="preserve">؛ </w:t>
      </w:r>
      <w:r w:rsidRPr="00D14049">
        <w:t>2000</w:t>
      </w:r>
      <w:r w:rsidRPr="00005B46">
        <w:rPr>
          <w:rFonts w:hint="cs"/>
          <w:rtl/>
        </w:rPr>
        <w:t xml:space="preserve">؛ </w:t>
      </w:r>
      <w:r w:rsidRPr="00005B46">
        <w:t>2004</w:t>
      </w:r>
      <w:r w:rsidRPr="00005B46">
        <w:rPr>
          <w:rFonts w:hint="cs"/>
          <w:rtl/>
        </w:rPr>
        <w:t xml:space="preserve">؛ </w:t>
      </w:r>
      <w:r w:rsidRPr="008266D8">
        <w:rPr>
          <w:rStyle w:val="Recdef"/>
          <w:b w:val="0"/>
          <w:bCs/>
        </w:rPr>
        <w:t>2006</w:t>
      </w:r>
      <w:r w:rsidRPr="008266D8">
        <w:rPr>
          <w:rFonts w:hint="cs"/>
          <w:rtl/>
        </w:rPr>
        <w:t>؛</w:t>
      </w:r>
      <w:r w:rsidRPr="00005B46">
        <w:rPr>
          <w:rFonts w:hint="cs"/>
          <w:rtl/>
        </w:rPr>
        <w:t xml:space="preserve"> </w:t>
      </w:r>
      <w:r w:rsidRPr="00005B46">
        <w:t>2008</w:t>
      </w:r>
      <w:r w:rsidRPr="00005B46">
        <w:rPr>
          <w:rFonts w:hint="cs"/>
          <w:rtl/>
        </w:rPr>
        <w:t xml:space="preserve">؛ </w:t>
      </w:r>
      <w:r w:rsidRPr="00005B46">
        <w:rPr>
          <w:lang w:val="en-US"/>
        </w:rPr>
        <w:t>2012</w:t>
      </w:r>
      <w:r w:rsidRPr="00005B46">
        <w:rPr>
          <w:rFonts w:hint="cs"/>
          <w:rtl/>
        </w:rPr>
        <w:t>)</w:t>
      </w:r>
    </w:p>
    <w:p w:rsidR="00A8101B" w:rsidRPr="00CC2052" w:rsidRDefault="00CC2052" w:rsidP="00BE2CCA">
      <w:pPr>
        <w:pStyle w:val="Reasons"/>
        <w:keepNext/>
        <w:keepLines/>
        <w:rPr>
          <w:b w:val="0"/>
          <w:bCs w:val="0"/>
          <w:rtl/>
          <w:lang w:bidi="ar-EG"/>
        </w:rPr>
      </w:pPr>
      <w:r>
        <w:rPr>
          <w:rFonts w:hint="cs"/>
          <w:rtl/>
          <w:lang w:bidi="ar-EG"/>
        </w:rPr>
        <w:t>الأ</w:t>
      </w:r>
      <w:r w:rsidR="00447550">
        <w:rPr>
          <w:rFonts w:hint="cs"/>
          <w:rtl/>
          <w:lang w:bidi="ar-EG"/>
        </w:rPr>
        <w:t>سباب</w:t>
      </w:r>
      <w:r w:rsidR="004860AB">
        <w:rPr>
          <w:rFonts w:hint="cs"/>
          <w:rtl/>
          <w:lang w:bidi="ar-EG"/>
        </w:rPr>
        <w:t>:</w:t>
      </w:r>
    </w:p>
    <w:p w:rsidR="004860AB" w:rsidRPr="00A86041" w:rsidRDefault="00A86041" w:rsidP="00A00CFF">
      <w:pPr>
        <w:pStyle w:val="Reasons"/>
        <w:keepNext/>
        <w:keepLines/>
        <w:rPr>
          <w:b w:val="0"/>
          <w:bCs w:val="0"/>
          <w:rtl/>
          <w:lang w:bidi="ar-EG"/>
        </w:rPr>
      </w:pPr>
      <w:r w:rsidRPr="00A86041">
        <w:rPr>
          <w:rFonts w:hint="cs"/>
          <w:b w:val="0"/>
          <w:bCs w:val="0"/>
          <w:rtl/>
          <w:lang w:bidi="ar-EG"/>
        </w:rPr>
        <w:t xml:space="preserve">ترى </w:t>
      </w:r>
      <w:r>
        <w:rPr>
          <w:rFonts w:hint="cs"/>
          <w:b w:val="0"/>
          <w:bCs w:val="0"/>
          <w:rtl/>
          <w:lang w:bidi="ar-EG"/>
        </w:rPr>
        <w:t>الدول الأعضاء الإفريقية أن التوصية</w:t>
      </w:r>
      <w:r w:rsidR="00BE2CCA">
        <w:rPr>
          <w:rFonts w:hint="eastAsia"/>
          <w:b w:val="0"/>
          <w:bCs w:val="0"/>
          <w:rtl/>
          <w:lang w:bidi="ar-EG"/>
        </w:rPr>
        <w:t> </w:t>
      </w:r>
      <w:r w:rsidRPr="00A86041">
        <w:rPr>
          <w:b w:val="0"/>
          <w:bCs w:val="0"/>
          <w:lang w:bidi="ar-EG"/>
        </w:rPr>
        <w:t>ITU</w:t>
      </w:r>
      <w:r w:rsidR="00A00CFF">
        <w:rPr>
          <w:b w:val="0"/>
          <w:bCs w:val="0"/>
          <w:lang w:bidi="ar-EG"/>
        </w:rPr>
        <w:noBreakHyphen/>
      </w:r>
      <w:r w:rsidRPr="00A86041">
        <w:rPr>
          <w:b w:val="0"/>
          <w:bCs w:val="0"/>
          <w:lang w:bidi="ar-EG"/>
        </w:rPr>
        <w:t>T</w:t>
      </w:r>
      <w:r w:rsidR="00A00CFF">
        <w:rPr>
          <w:b w:val="0"/>
          <w:bCs w:val="0"/>
          <w:lang w:bidi="ar-EG"/>
        </w:rPr>
        <w:t> </w:t>
      </w:r>
      <w:r w:rsidRPr="00A86041">
        <w:rPr>
          <w:b w:val="0"/>
          <w:bCs w:val="0"/>
          <w:lang w:bidi="ar-EG"/>
        </w:rPr>
        <w:t>A.1</w:t>
      </w:r>
      <w:r w:rsidRPr="00A86041">
        <w:rPr>
          <w:rFonts w:hint="cs"/>
          <w:b w:val="0"/>
          <w:bCs w:val="0"/>
          <w:rtl/>
          <w:lang w:bidi="ar-EG"/>
        </w:rPr>
        <w:t xml:space="preserve"> قد بلغت</w:t>
      </w:r>
      <w:r>
        <w:rPr>
          <w:rFonts w:hint="cs"/>
          <w:b w:val="0"/>
          <w:bCs w:val="0"/>
          <w:rtl/>
          <w:lang w:bidi="ar-EG"/>
        </w:rPr>
        <w:t xml:space="preserve"> مرحلة متقدمة من التوازن خلال الجمعيات السابقة، و</w:t>
      </w:r>
      <w:r w:rsidR="00CA0680">
        <w:rPr>
          <w:rFonts w:hint="cs"/>
          <w:b w:val="0"/>
          <w:bCs w:val="0"/>
          <w:rtl/>
          <w:lang w:bidi="ar-EG"/>
        </w:rPr>
        <w:t xml:space="preserve">ينبغي </w:t>
      </w:r>
      <w:r>
        <w:rPr>
          <w:rFonts w:hint="cs"/>
          <w:b w:val="0"/>
          <w:bCs w:val="0"/>
          <w:rtl/>
          <w:lang w:bidi="ar-EG"/>
        </w:rPr>
        <w:t>بالتالي ألاّ</w:t>
      </w:r>
      <w:r w:rsidR="00BE2CCA">
        <w:rPr>
          <w:rFonts w:hint="eastAsia"/>
          <w:b w:val="0"/>
          <w:bCs w:val="0"/>
          <w:rtl/>
          <w:lang w:bidi="ar-EG"/>
        </w:rPr>
        <w:t> </w:t>
      </w:r>
      <w:r>
        <w:rPr>
          <w:rFonts w:hint="cs"/>
          <w:b w:val="0"/>
          <w:bCs w:val="0"/>
          <w:rtl/>
          <w:lang w:bidi="ar-EG"/>
        </w:rPr>
        <w:t xml:space="preserve">تخضع للمراجعة. </w:t>
      </w:r>
      <w:r w:rsidR="00E734B1">
        <w:rPr>
          <w:rFonts w:hint="cs"/>
          <w:b w:val="0"/>
          <w:bCs w:val="0"/>
          <w:rtl/>
          <w:lang w:bidi="ar-EG"/>
        </w:rPr>
        <w:t>ف</w:t>
      </w:r>
      <w:r w:rsidR="00CA0680">
        <w:rPr>
          <w:rFonts w:hint="cs"/>
          <w:b w:val="0"/>
          <w:bCs w:val="0"/>
          <w:rtl/>
          <w:lang w:bidi="ar-EG"/>
        </w:rPr>
        <w:t>اقتراح</w:t>
      </w:r>
      <w:r w:rsidR="005711CC">
        <w:rPr>
          <w:rFonts w:hint="cs"/>
          <w:b w:val="0"/>
          <w:bCs w:val="0"/>
          <w:rtl/>
          <w:lang w:bidi="ar-EG"/>
        </w:rPr>
        <w:t xml:space="preserve"> إضافة </w:t>
      </w:r>
      <w:r w:rsidR="006C1C7A">
        <w:rPr>
          <w:rFonts w:hint="cs"/>
          <w:b w:val="0"/>
          <w:bCs w:val="0"/>
          <w:rtl/>
          <w:lang w:bidi="ar-EG"/>
        </w:rPr>
        <w:t xml:space="preserve">شرط </w:t>
      </w:r>
      <w:r w:rsidR="00D51CD8">
        <w:rPr>
          <w:rFonts w:hint="cs"/>
          <w:b w:val="0"/>
          <w:bCs w:val="0"/>
          <w:rtl/>
          <w:lang w:bidi="ar-EG"/>
        </w:rPr>
        <w:t xml:space="preserve">إلزامي </w:t>
      </w:r>
      <w:r w:rsidR="006C1C7A">
        <w:rPr>
          <w:rFonts w:hint="cs"/>
          <w:b w:val="0"/>
          <w:bCs w:val="0"/>
          <w:rtl/>
          <w:lang w:bidi="ar-EG"/>
        </w:rPr>
        <w:t xml:space="preserve">في الفقرة </w:t>
      </w:r>
      <w:r w:rsidR="006C1C7A" w:rsidRPr="006C1C7A">
        <w:rPr>
          <w:b w:val="0"/>
          <w:bCs w:val="0"/>
          <w:lang w:bidi="ar-EG"/>
        </w:rPr>
        <w:t>1</w:t>
      </w:r>
      <w:r w:rsidR="006C1C7A">
        <w:rPr>
          <w:rFonts w:hint="cs"/>
          <w:b w:val="0"/>
          <w:bCs w:val="0"/>
          <w:rtl/>
          <w:lang w:bidi="ar-EG"/>
        </w:rPr>
        <w:t>.</w:t>
      </w:r>
      <w:r w:rsidR="006C1C7A" w:rsidRPr="006C1C7A">
        <w:rPr>
          <w:b w:val="0"/>
          <w:bCs w:val="0"/>
          <w:lang w:bidi="ar-EG"/>
        </w:rPr>
        <w:t>4</w:t>
      </w:r>
      <w:r w:rsidR="006C1C7A">
        <w:rPr>
          <w:rFonts w:hint="cs"/>
          <w:b w:val="0"/>
          <w:bCs w:val="0"/>
          <w:rtl/>
          <w:lang w:bidi="ar-EG"/>
        </w:rPr>
        <w:t>.</w:t>
      </w:r>
      <w:r w:rsidR="006C1C7A" w:rsidRPr="006C1C7A">
        <w:rPr>
          <w:b w:val="0"/>
          <w:bCs w:val="0"/>
          <w:lang w:bidi="ar-EG"/>
        </w:rPr>
        <w:t>7</w:t>
      </w:r>
      <w:r w:rsidR="006C1C7A">
        <w:rPr>
          <w:rFonts w:hint="cs"/>
          <w:b w:val="0"/>
          <w:bCs w:val="0"/>
          <w:rtl/>
          <w:lang w:bidi="ar-EG"/>
        </w:rPr>
        <w:t xml:space="preserve"> من التوصية</w:t>
      </w:r>
      <w:r w:rsidR="00BE2CCA">
        <w:rPr>
          <w:rFonts w:hint="eastAsia"/>
          <w:b w:val="0"/>
          <w:bCs w:val="0"/>
          <w:rtl/>
          <w:lang w:bidi="ar-EG"/>
        </w:rPr>
        <w:t> </w:t>
      </w:r>
      <w:r w:rsidR="006C1C7A" w:rsidRPr="006C1C7A">
        <w:rPr>
          <w:b w:val="0"/>
          <w:bCs w:val="0"/>
        </w:rPr>
        <w:t>ITU</w:t>
      </w:r>
      <w:r w:rsidR="00A00CFF">
        <w:rPr>
          <w:b w:val="0"/>
          <w:bCs w:val="0"/>
        </w:rPr>
        <w:noBreakHyphen/>
      </w:r>
      <w:r w:rsidR="006C1C7A" w:rsidRPr="006C1C7A">
        <w:rPr>
          <w:b w:val="0"/>
          <w:bCs w:val="0"/>
        </w:rPr>
        <w:t>T</w:t>
      </w:r>
      <w:r w:rsidR="00A00CFF">
        <w:rPr>
          <w:b w:val="0"/>
          <w:bCs w:val="0"/>
        </w:rPr>
        <w:t> </w:t>
      </w:r>
      <w:r w:rsidR="006C1C7A" w:rsidRPr="006C1C7A">
        <w:rPr>
          <w:b w:val="0"/>
          <w:bCs w:val="0"/>
        </w:rPr>
        <w:t>A.1</w:t>
      </w:r>
      <w:r w:rsidR="006C1C7A" w:rsidRPr="00BE2CCA">
        <w:rPr>
          <w:rFonts w:hint="cs"/>
          <w:b w:val="0"/>
          <w:bCs w:val="0"/>
          <w:rtl/>
        </w:rPr>
        <w:t xml:space="preserve"> </w:t>
      </w:r>
      <w:r w:rsidR="007B2F0B">
        <w:rPr>
          <w:rFonts w:hint="cs"/>
          <w:b w:val="0"/>
          <w:bCs w:val="0"/>
          <w:rtl/>
          <w:lang w:bidi="ar-EG"/>
        </w:rPr>
        <w:t>يقضي بأن الشروع في</w:t>
      </w:r>
      <w:r w:rsidR="00BE2CCA">
        <w:rPr>
          <w:rFonts w:hint="eastAsia"/>
          <w:b w:val="0"/>
          <w:bCs w:val="0"/>
          <w:rtl/>
          <w:lang w:bidi="ar-EG"/>
        </w:rPr>
        <w:t> </w:t>
      </w:r>
      <w:r w:rsidR="007B2F0B">
        <w:rPr>
          <w:rFonts w:hint="cs"/>
          <w:b w:val="0"/>
          <w:bCs w:val="0"/>
          <w:rtl/>
          <w:lang w:bidi="ar-EG"/>
        </w:rPr>
        <w:t xml:space="preserve">بند عمل جديد </w:t>
      </w:r>
      <w:r w:rsidR="00291D13">
        <w:rPr>
          <w:rFonts w:hint="cs"/>
          <w:b w:val="0"/>
          <w:bCs w:val="0"/>
          <w:rtl/>
          <w:lang w:bidi="ar-EG"/>
        </w:rPr>
        <w:t>يستلزم دعم "أربعة كيانات على الأقل (الدول الأعضاء وأعضاء القطاع والمنتسبون إليه والهيئات الأكاديمية</w:t>
      </w:r>
      <w:r w:rsidR="00E734B1">
        <w:rPr>
          <w:rFonts w:hint="cs"/>
          <w:b w:val="0"/>
          <w:bCs w:val="0"/>
          <w:rtl/>
          <w:lang w:bidi="ar-EG"/>
        </w:rPr>
        <w:t xml:space="preserve">) من أربعة بلدان مختلفة من شأنه </w:t>
      </w:r>
      <w:r w:rsidR="00690960">
        <w:rPr>
          <w:rFonts w:hint="cs"/>
          <w:b w:val="0"/>
          <w:bCs w:val="0"/>
          <w:rtl/>
          <w:lang w:bidi="ar-EG"/>
        </w:rPr>
        <w:t xml:space="preserve">أن </w:t>
      </w:r>
      <w:r w:rsidR="00E734B1">
        <w:rPr>
          <w:rFonts w:hint="cs"/>
          <w:b w:val="0"/>
          <w:bCs w:val="0"/>
          <w:rtl/>
          <w:lang w:bidi="ar-EG"/>
        </w:rPr>
        <w:t xml:space="preserve">يثني الأعضاء، خاصةً من البلدان النامية، عن المشاركة و/أو </w:t>
      </w:r>
      <w:r w:rsidR="00690960">
        <w:rPr>
          <w:rFonts w:hint="cs"/>
          <w:b w:val="0"/>
          <w:bCs w:val="0"/>
          <w:rtl/>
          <w:lang w:bidi="ar-EG"/>
        </w:rPr>
        <w:t>اقتراح ب</w:t>
      </w:r>
      <w:r w:rsidR="00BE2CCA">
        <w:rPr>
          <w:rFonts w:hint="cs"/>
          <w:b w:val="0"/>
          <w:bCs w:val="0"/>
          <w:rtl/>
          <w:lang w:bidi="ar-EG"/>
        </w:rPr>
        <w:t>نود عمل يمكن أن تحظى بالموافقة.</w:t>
      </w:r>
    </w:p>
    <w:p w:rsidR="004860AB" w:rsidRPr="00220947" w:rsidRDefault="007A4255" w:rsidP="00A00CFF">
      <w:pPr>
        <w:pStyle w:val="Reasons"/>
        <w:rPr>
          <w:b w:val="0"/>
          <w:bCs w:val="0"/>
          <w:lang w:bidi="ar-EG"/>
        </w:rPr>
      </w:pPr>
      <w:r>
        <w:rPr>
          <w:rFonts w:hint="cs"/>
          <w:b w:val="0"/>
          <w:bCs w:val="0"/>
          <w:rtl/>
          <w:lang w:bidi="ar-EG"/>
        </w:rPr>
        <w:t>وأخذت</w:t>
      </w:r>
      <w:r w:rsidR="00220947" w:rsidRPr="00220947">
        <w:rPr>
          <w:rFonts w:hint="cs"/>
          <w:b w:val="0"/>
          <w:bCs w:val="0"/>
          <w:rtl/>
          <w:lang w:bidi="ar-EG"/>
        </w:rPr>
        <w:t xml:space="preserve"> الدول </w:t>
      </w:r>
      <w:r w:rsidR="00220947">
        <w:rPr>
          <w:rFonts w:hint="cs"/>
          <w:b w:val="0"/>
          <w:bCs w:val="0"/>
          <w:rtl/>
          <w:lang w:bidi="ar-EG"/>
        </w:rPr>
        <w:t xml:space="preserve">الأعضاء الإفريقية كذلك </w:t>
      </w:r>
      <w:r>
        <w:rPr>
          <w:rFonts w:hint="cs"/>
          <w:b w:val="0"/>
          <w:bCs w:val="0"/>
          <w:rtl/>
          <w:lang w:bidi="ar-EG"/>
        </w:rPr>
        <w:t>علماً ب</w:t>
      </w:r>
      <w:r w:rsidR="00220947">
        <w:rPr>
          <w:rFonts w:hint="cs"/>
          <w:b w:val="0"/>
          <w:bCs w:val="0"/>
          <w:rtl/>
          <w:lang w:bidi="ar-EG"/>
        </w:rPr>
        <w:t xml:space="preserve">الإضافة </w:t>
      </w:r>
      <w:r w:rsidR="00220947" w:rsidRPr="00220947">
        <w:rPr>
          <w:b w:val="0"/>
          <w:bCs w:val="0"/>
          <w:lang w:bidi="ar-EG"/>
        </w:rPr>
        <w:t>1</w:t>
      </w:r>
      <w:r w:rsidR="00220947" w:rsidRPr="00220947">
        <w:rPr>
          <w:rFonts w:hint="cs"/>
          <w:b w:val="0"/>
          <w:bCs w:val="0"/>
          <w:rtl/>
          <w:lang w:bidi="ar-EG"/>
        </w:rPr>
        <w:t xml:space="preserve"> للوثيقة </w:t>
      </w:r>
      <w:r w:rsidR="00220947" w:rsidRPr="00220947">
        <w:rPr>
          <w:b w:val="0"/>
          <w:bCs w:val="0"/>
          <w:lang w:bidi="ar-EG"/>
        </w:rPr>
        <w:t>44</w:t>
      </w:r>
      <w:r w:rsidR="00220947" w:rsidRPr="00220947">
        <w:rPr>
          <w:rFonts w:hint="cs"/>
          <w:b w:val="0"/>
          <w:bCs w:val="0"/>
          <w:rtl/>
          <w:lang w:bidi="ar-EG"/>
        </w:rPr>
        <w:t xml:space="preserve"> </w:t>
      </w:r>
      <w:r w:rsidR="001602B2">
        <w:rPr>
          <w:rFonts w:hint="cs"/>
          <w:b w:val="0"/>
          <w:bCs w:val="0"/>
          <w:rtl/>
          <w:lang w:bidi="ar-EG"/>
        </w:rPr>
        <w:t xml:space="preserve">التي </w:t>
      </w:r>
      <w:r w:rsidR="008A410E">
        <w:rPr>
          <w:rFonts w:hint="cs"/>
          <w:b w:val="0"/>
          <w:bCs w:val="0"/>
          <w:rtl/>
          <w:lang w:bidi="ar-EG"/>
        </w:rPr>
        <w:t xml:space="preserve">تعرب فيها </w:t>
      </w:r>
      <w:r w:rsidR="006A456D">
        <w:rPr>
          <w:rFonts w:hint="cs"/>
          <w:b w:val="0"/>
          <w:bCs w:val="0"/>
          <w:rtl/>
          <w:lang w:bidi="ar-EG"/>
        </w:rPr>
        <w:t>جماعة آسيا والمحيط الهادئ للاتصالات</w:t>
      </w:r>
      <w:r w:rsidR="00D93AED">
        <w:rPr>
          <w:rFonts w:hint="cs"/>
          <w:b w:val="0"/>
          <w:bCs w:val="0"/>
          <w:rtl/>
          <w:lang w:bidi="ar-EG"/>
        </w:rPr>
        <w:t xml:space="preserve"> </w:t>
      </w:r>
      <w:r w:rsidR="008A410E">
        <w:rPr>
          <w:rFonts w:hint="cs"/>
          <w:b w:val="0"/>
          <w:bCs w:val="0"/>
          <w:rtl/>
          <w:lang w:bidi="ar-EG"/>
        </w:rPr>
        <w:t>عن</w:t>
      </w:r>
      <w:r w:rsidR="00BE2CCA">
        <w:rPr>
          <w:rFonts w:hint="eastAsia"/>
          <w:b w:val="0"/>
          <w:bCs w:val="0"/>
          <w:rtl/>
          <w:lang w:bidi="ar-EG"/>
        </w:rPr>
        <w:t> </w:t>
      </w:r>
      <w:r w:rsidR="008A410E">
        <w:rPr>
          <w:rFonts w:hint="cs"/>
          <w:b w:val="0"/>
          <w:bCs w:val="0"/>
          <w:rtl/>
          <w:lang w:bidi="ar-EG"/>
        </w:rPr>
        <w:t xml:space="preserve">اعتراضها على </w:t>
      </w:r>
      <w:r w:rsidR="006A456D">
        <w:rPr>
          <w:rFonts w:hint="cs"/>
          <w:b w:val="0"/>
          <w:bCs w:val="0"/>
          <w:rtl/>
          <w:lang w:bidi="ar-EG"/>
        </w:rPr>
        <w:t xml:space="preserve">هذه المراجعة </w:t>
      </w:r>
      <w:r w:rsidR="008A410E">
        <w:rPr>
          <w:rFonts w:hint="cs"/>
          <w:b w:val="0"/>
          <w:bCs w:val="0"/>
          <w:rtl/>
          <w:lang w:bidi="ar-EG"/>
        </w:rPr>
        <w:t xml:space="preserve">لأسباب تراها الدول الأعضاء الإفريقية </w:t>
      </w:r>
      <w:r w:rsidR="00F531ED">
        <w:rPr>
          <w:rFonts w:hint="cs"/>
          <w:b w:val="0"/>
          <w:bCs w:val="0"/>
          <w:rtl/>
          <w:lang w:bidi="ar-EG"/>
        </w:rPr>
        <w:t>مقنعة جداً</w:t>
      </w:r>
      <w:r w:rsidR="00411FB6">
        <w:rPr>
          <w:rFonts w:hint="cs"/>
          <w:b w:val="0"/>
          <w:bCs w:val="0"/>
          <w:rtl/>
          <w:lang w:bidi="ar-EG"/>
        </w:rPr>
        <w:t xml:space="preserve">؛ </w:t>
      </w:r>
      <w:r w:rsidR="00167EB1">
        <w:rPr>
          <w:rFonts w:hint="cs"/>
          <w:b w:val="0"/>
          <w:bCs w:val="0"/>
          <w:rtl/>
          <w:lang w:bidi="ar-EG"/>
        </w:rPr>
        <w:t>وبناءً على ذلك</w:t>
      </w:r>
      <w:r w:rsidR="00411FB6">
        <w:rPr>
          <w:rFonts w:hint="cs"/>
          <w:b w:val="0"/>
          <w:bCs w:val="0"/>
          <w:rtl/>
          <w:lang w:bidi="ar-EG"/>
        </w:rPr>
        <w:t xml:space="preserve">، </w:t>
      </w:r>
      <w:r w:rsidR="00132F07">
        <w:rPr>
          <w:rFonts w:hint="cs"/>
          <w:b w:val="0"/>
          <w:bCs w:val="0"/>
          <w:rtl/>
          <w:lang w:bidi="ar-EG"/>
        </w:rPr>
        <w:t>تؤيد</w:t>
      </w:r>
      <w:r w:rsidR="00E325F6">
        <w:rPr>
          <w:rFonts w:hint="cs"/>
          <w:b w:val="0"/>
          <w:bCs w:val="0"/>
          <w:rtl/>
          <w:lang w:bidi="ar-EG"/>
        </w:rPr>
        <w:t xml:space="preserve"> </w:t>
      </w:r>
      <w:r w:rsidR="00411FB6">
        <w:rPr>
          <w:rFonts w:hint="cs"/>
          <w:b w:val="0"/>
          <w:bCs w:val="0"/>
          <w:rtl/>
          <w:lang w:bidi="ar-EG"/>
        </w:rPr>
        <w:t xml:space="preserve">هذه الدول </w:t>
      </w:r>
      <w:r w:rsidR="002D6115">
        <w:rPr>
          <w:rFonts w:hint="cs"/>
          <w:b w:val="0"/>
          <w:bCs w:val="0"/>
          <w:rtl/>
          <w:lang w:bidi="ar-EG"/>
        </w:rPr>
        <w:t>الم</w:t>
      </w:r>
      <w:r w:rsidR="00411FB6">
        <w:rPr>
          <w:rFonts w:hint="cs"/>
          <w:b w:val="0"/>
          <w:bCs w:val="0"/>
          <w:rtl/>
          <w:lang w:bidi="ar-EG"/>
        </w:rPr>
        <w:t xml:space="preserve">قترح </w:t>
      </w:r>
      <w:r w:rsidR="002D6115">
        <w:rPr>
          <w:rFonts w:hint="cs"/>
          <w:b w:val="0"/>
          <w:bCs w:val="0"/>
          <w:rtl/>
          <w:lang w:bidi="ar-EG"/>
        </w:rPr>
        <w:t>المقدم من جماعة آسيا والمحيط الهادئ للاتصالات</w:t>
      </w:r>
      <w:r w:rsidR="00132F07">
        <w:rPr>
          <w:rFonts w:hint="cs"/>
          <w:b w:val="0"/>
          <w:bCs w:val="0"/>
          <w:rtl/>
          <w:lang w:bidi="ar-EG"/>
        </w:rPr>
        <w:t xml:space="preserve"> الذي يدعو إلى </w:t>
      </w:r>
      <w:r w:rsidR="002F153E">
        <w:rPr>
          <w:rFonts w:hint="cs"/>
          <w:b w:val="0"/>
          <w:bCs w:val="0"/>
          <w:rtl/>
          <w:lang w:bidi="ar-EG"/>
        </w:rPr>
        <w:t>عدم إدخال أي</w:t>
      </w:r>
      <w:r w:rsidR="00132F07">
        <w:rPr>
          <w:rFonts w:hint="cs"/>
          <w:b w:val="0"/>
          <w:bCs w:val="0"/>
          <w:rtl/>
          <w:lang w:bidi="ar-EG"/>
        </w:rPr>
        <w:t>ّ</w:t>
      </w:r>
      <w:r w:rsidR="002F153E">
        <w:rPr>
          <w:rFonts w:hint="cs"/>
          <w:b w:val="0"/>
          <w:bCs w:val="0"/>
          <w:rtl/>
          <w:lang w:bidi="ar-EG"/>
        </w:rPr>
        <w:t xml:space="preserve"> </w:t>
      </w:r>
      <w:r w:rsidR="00195FEA">
        <w:rPr>
          <w:rFonts w:hint="cs"/>
          <w:b w:val="0"/>
          <w:bCs w:val="0"/>
          <w:rtl/>
          <w:lang w:bidi="ar-EG"/>
        </w:rPr>
        <w:t>تعديل</w:t>
      </w:r>
      <w:r w:rsidR="002F153E">
        <w:rPr>
          <w:rFonts w:hint="cs"/>
          <w:b w:val="0"/>
          <w:bCs w:val="0"/>
          <w:rtl/>
          <w:lang w:bidi="ar-EG"/>
        </w:rPr>
        <w:t xml:space="preserve"> على الفقرة</w:t>
      </w:r>
      <w:r w:rsidR="00A00CFF">
        <w:rPr>
          <w:rFonts w:hint="eastAsia"/>
          <w:b w:val="0"/>
          <w:bCs w:val="0"/>
          <w:rtl/>
          <w:lang w:bidi="ar-EG"/>
        </w:rPr>
        <w:t> </w:t>
      </w:r>
      <w:r w:rsidR="002F153E" w:rsidRPr="006C1C7A">
        <w:rPr>
          <w:b w:val="0"/>
          <w:bCs w:val="0"/>
          <w:lang w:bidi="ar-EG"/>
        </w:rPr>
        <w:t>1</w:t>
      </w:r>
      <w:r w:rsidR="002F153E">
        <w:rPr>
          <w:rFonts w:hint="cs"/>
          <w:b w:val="0"/>
          <w:bCs w:val="0"/>
          <w:rtl/>
          <w:lang w:bidi="ar-EG"/>
        </w:rPr>
        <w:t>.</w:t>
      </w:r>
      <w:r w:rsidR="002F153E" w:rsidRPr="006C1C7A">
        <w:rPr>
          <w:b w:val="0"/>
          <w:bCs w:val="0"/>
          <w:lang w:bidi="ar-EG"/>
        </w:rPr>
        <w:t>4</w:t>
      </w:r>
      <w:r w:rsidR="002F153E">
        <w:rPr>
          <w:rFonts w:hint="cs"/>
          <w:b w:val="0"/>
          <w:bCs w:val="0"/>
          <w:rtl/>
          <w:lang w:bidi="ar-EG"/>
        </w:rPr>
        <w:t>.</w:t>
      </w:r>
      <w:r w:rsidR="002F153E" w:rsidRPr="006C1C7A">
        <w:rPr>
          <w:b w:val="0"/>
          <w:bCs w:val="0"/>
          <w:lang w:bidi="ar-EG"/>
        </w:rPr>
        <w:t>7</w:t>
      </w:r>
      <w:r w:rsidR="00BE2CCA">
        <w:rPr>
          <w:rFonts w:hint="cs"/>
          <w:b w:val="0"/>
          <w:bCs w:val="0"/>
          <w:rtl/>
          <w:lang w:bidi="ar-EG"/>
        </w:rPr>
        <w:t>.</w:t>
      </w:r>
    </w:p>
    <w:p w:rsidR="004860AB" w:rsidRDefault="004860AB" w:rsidP="004860AB">
      <w:pPr>
        <w:pStyle w:val="Headingb"/>
        <w:rPr>
          <w:rtl/>
        </w:rPr>
      </w:pPr>
      <w:r>
        <w:rPr>
          <w:rFonts w:hint="cs"/>
          <w:rtl/>
        </w:rPr>
        <w:t>المقترح:</w:t>
      </w:r>
    </w:p>
    <w:p w:rsidR="004860AB" w:rsidRPr="0071046D" w:rsidRDefault="002F153E" w:rsidP="00B246B3">
      <w:pPr>
        <w:rPr>
          <w:spacing w:val="10"/>
          <w:rtl/>
        </w:rPr>
      </w:pPr>
      <w:r w:rsidRPr="0071046D">
        <w:rPr>
          <w:rFonts w:hint="cs"/>
          <w:spacing w:val="10"/>
          <w:rtl/>
          <w:lang w:bidi="ar-EG"/>
        </w:rPr>
        <w:t>تقترح الدول الأعضاء الإفريقية عدم إدخال أي</w:t>
      </w:r>
      <w:r w:rsidR="00132F07" w:rsidRPr="0071046D">
        <w:rPr>
          <w:rFonts w:hint="cs"/>
          <w:spacing w:val="10"/>
          <w:rtl/>
          <w:lang w:bidi="ar-EG"/>
        </w:rPr>
        <w:t>ّ</w:t>
      </w:r>
      <w:r w:rsidRPr="0071046D">
        <w:rPr>
          <w:rFonts w:hint="cs"/>
          <w:spacing w:val="10"/>
          <w:rtl/>
          <w:lang w:bidi="ar-EG"/>
        </w:rPr>
        <w:t xml:space="preserve"> </w:t>
      </w:r>
      <w:r w:rsidR="00195FEA" w:rsidRPr="0071046D">
        <w:rPr>
          <w:rFonts w:hint="cs"/>
          <w:spacing w:val="10"/>
          <w:rtl/>
          <w:lang w:bidi="ar-EG"/>
        </w:rPr>
        <w:t>تعديل</w:t>
      </w:r>
      <w:r w:rsidR="00A00CFF" w:rsidRPr="0071046D">
        <w:rPr>
          <w:rFonts w:hint="eastAsia"/>
          <w:spacing w:val="10"/>
          <w:rtl/>
          <w:lang w:bidi="ar-EG"/>
        </w:rPr>
        <w:t> </w:t>
      </w:r>
      <w:r w:rsidR="00BE2CCA" w:rsidRPr="0071046D">
        <w:rPr>
          <w:spacing w:val="10"/>
          <w:lang w:bidi="ar-EG"/>
        </w:rPr>
        <w:t>(</w:t>
      </w:r>
      <w:r w:rsidR="00BE2CCA" w:rsidRPr="0071046D">
        <w:rPr>
          <w:spacing w:val="10"/>
        </w:rPr>
        <w:t>NOC</w:t>
      </w:r>
      <w:r w:rsidR="00BE2CCA" w:rsidRPr="0071046D">
        <w:rPr>
          <w:spacing w:val="10"/>
          <w:lang w:bidi="ar-EG"/>
        </w:rPr>
        <w:t>)</w:t>
      </w:r>
      <w:r w:rsidRPr="0071046D">
        <w:rPr>
          <w:rFonts w:hint="cs"/>
          <w:spacing w:val="10"/>
          <w:rtl/>
          <w:lang w:bidi="ar-EG"/>
        </w:rPr>
        <w:t xml:space="preserve"> على الفقرة</w:t>
      </w:r>
      <w:r w:rsidR="00BE2CCA" w:rsidRPr="0071046D">
        <w:rPr>
          <w:rFonts w:hint="eastAsia"/>
          <w:spacing w:val="10"/>
          <w:rtl/>
          <w:lang w:bidi="ar-EG"/>
        </w:rPr>
        <w:t> </w:t>
      </w:r>
      <w:r w:rsidRPr="0071046D">
        <w:rPr>
          <w:spacing w:val="10"/>
          <w:lang w:bidi="ar-EG"/>
        </w:rPr>
        <w:t>1</w:t>
      </w:r>
      <w:r w:rsidRPr="0071046D">
        <w:rPr>
          <w:rFonts w:hint="cs"/>
          <w:spacing w:val="10"/>
          <w:rtl/>
          <w:lang w:bidi="ar-EG"/>
        </w:rPr>
        <w:t>.</w:t>
      </w:r>
      <w:r w:rsidRPr="0071046D">
        <w:rPr>
          <w:spacing w:val="10"/>
          <w:lang w:bidi="ar-EG"/>
        </w:rPr>
        <w:t>4</w:t>
      </w:r>
      <w:r w:rsidRPr="0071046D">
        <w:rPr>
          <w:rFonts w:hint="cs"/>
          <w:spacing w:val="10"/>
          <w:rtl/>
          <w:lang w:bidi="ar-EG"/>
        </w:rPr>
        <w:t>.</w:t>
      </w:r>
      <w:r w:rsidRPr="0071046D">
        <w:rPr>
          <w:spacing w:val="10"/>
          <w:lang w:bidi="ar-EG"/>
        </w:rPr>
        <w:t>7</w:t>
      </w:r>
      <w:r w:rsidRPr="0071046D">
        <w:rPr>
          <w:rFonts w:hint="cs"/>
          <w:spacing w:val="10"/>
          <w:rtl/>
          <w:lang w:bidi="ar-EG"/>
        </w:rPr>
        <w:t xml:space="preserve"> </w:t>
      </w:r>
      <w:r w:rsidR="001D2CA8" w:rsidRPr="0071046D">
        <w:rPr>
          <w:rFonts w:hint="cs"/>
          <w:spacing w:val="10"/>
          <w:rtl/>
          <w:lang w:bidi="ar-EG"/>
        </w:rPr>
        <w:t>ولا على الفقرات الأخرى من التوصية</w:t>
      </w:r>
      <w:r w:rsidR="00BE2CCA" w:rsidRPr="0071046D">
        <w:rPr>
          <w:rFonts w:hint="eastAsia"/>
          <w:spacing w:val="10"/>
          <w:rtl/>
          <w:lang w:bidi="ar-EG"/>
        </w:rPr>
        <w:t> </w:t>
      </w:r>
      <w:r w:rsidR="001D2CA8" w:rsidRPr="0071046D">
        <w:rPr>
          <w:spacing w:val="10"/>
        </w:rPr>
        <w:t>ITU</w:t>
      </w:r>
      <w:r w:rsidR="00BE2CCA" w:rsidRPr="0071046D">
        <w:rPr>
          <w:spacing w:val="10"/>
        </w:rPr>
        <w:noBreakHyphen/>
      </w:r>
      <w:r w:rsidR="001D2CA8" w:rsidRPr="0071046D">
        <w:rPr>
          <w:spacing w:val="10"/>
        </w:rPr>
        <w:t>T</w:t>
      </w:r>
      <w:r w:rsidR="00BE2CCA" w:rsidRPr="0071046D">
        <w:rPr>
          <w:spacing w:val="10"/>
        </w:rPr>
        <w:t> </w:t>
      </w:r>
      <w:r w:rsidR="001D2CA8" w:rsidRPr="0071046D">
        <w:rPr>
          <w:spacing w:val="10"/>
        </w:rPr>
        <w:t>A.1</w:t>
      </w:r>
      <w:r w:rsidR="001D2CA8" w:rsidRPr="0071046D">
        <w:rPr>
          <w:rFonts w:hint="cs"/>
          <w:spacing w:val="10"/>
          <w:rtl/>
        </w:rPr>
        <w:t>.</w:t>
      </w:r>
    </w:p>
    <w:p w:rsidR="00B246B3" w:rsidRPr="00BE2CCA" w:rsidRDefault="00B246B3" w:rsidP="00B246B3"/>
    <w:p w:rsidR="00A8101B" w:rsidRDefault="005B35B0">
      <w:pPr>
        <w:pStyle w:val="Proposal"/>
      </w:pPr>
      <w:r>
        <w:rPr>
          <w:u w:val="single"/>
        </w:rPr>
        <w:t>NOC</w:t>
      </w:r>
      <w:r>
        <w:tab/>
        <w:t>AFCP/42A19/2</w:t>
      </w:r>
    </w:p>
    <w:p w:rsidR="00DC4BEA" w:rsidRPr="00876EE7" w:rsidRDefault="005B35B0" w:rsidP="005B35B0">
      <w:pPr>
        <w:pStyle w:val="RecNo"/>
      </w:pPr>
      <w:r w:rsidRPr="00876EE7">
        <w:rPr>
          <w:rFonts w:hint="cs"/>
          <w:rtl/>
        </w:rPr>
        <w:t>التوصية</w:t>
      </w:r>
      <w:r>
        <w:rPr>
          <w:rFonts w:hint="eastAsia"/>
          <w:rtl/>
        </w:rPr>
        <w:t> </w:t>
      </w:r>
      <w:r w:rsidRPr="0018243A">
        <w:t>ITU-T A.12</w:t>
      </w:r>
    </w:p>
    <w:p w:rsidR="00DC4BEA" w:rsidRDefault="005B35B0" w:rsidP="008266D8">
      <w:pPr>
        <w:pStyle w:val="Rectitle"/>
      </w:pPr>
      <w:bookmarkStart w:id="2" w:name="_Toc349551662"/>
      <w:r>
        <w:rPr>
          <w:rFonts w:hint="cs"/>
          <w:rtl/>
        </w:rPr>
        <w:t>تعريف التوصيات الصادرة عن قطاع تقييس الاتصالات وتنسيقها</w:t>
      </w:r>
      <w:bookmarkEnd w:id="2"/>
    </w:p>
    <w:p w:rsidR="00DC4BEA" w:rsidRPr="0071046D" w:rsidRDefault="005B35B0" w:rsidP="002178AC">
      <w:pPr>
        <w:pStyle w:val="Recdate"/>
        <w:rPr>
          <w:bCs/>
          <w:rtl/>
        </w:rPr>
      </w:pPr>
      <w:r w:rsidRPr="00AB3D41">
        <w:rPr>
          <w:rStyle w:val="Recdef"/>
          <w:rFonts w:ascii="Times New Roman"/>
          <w:b w:val="0"/>
          <w:bCs/>
        </w:rPr>
        <w:t>2</w:t>
      </w:r>
      <w:r w:rsidRPr="00AB3D41">
        <w:rPr>
          <w:rFonts w:ascii="Times New Roman"/>
        </w:rPr>
        <w:t>000)</w:t>
      </w:r>
      <w:r w:rsidRPr="00AB3D41">
        <w:rPr>
          <w:rFonts w:ascii="Times New Roman" w:hint="cs"/>
          <w:rtl/>
        </w:rPr>
        <w:t xml:space="preserve">؛ </w:t>
      </w:r>
      <w:r w:rsidRPr="00AB3D41">
        <w:rPr>
          <w:rFonts w:ascii="Times New Roman"/>
        </w:rPr>
        <w:t>2004</w:t>
      </w:r>
      <w:r w:rsidRPr="00AB3D41">
        <w:rPr>
          <w:rFonts w:ascii="Times New Roman" w:hint="cs"/>
          <w:rtl/>
        </w:rPr>
        <w:t xml:space="preserve">؛ </w:t>
      </w:r>
      <w:r w:rsidRPr="00AB3D41">
        <w:rPr>
          <w:rFonts w:ascii="Times New Roman"/>
        </w:rPr>
        <w:t>2008</w:t>
      </w:r>
      <w:r w:rsidRPr="00AB3D41">
        <w:rPr>
          <w:rFonts w:ascii="Times New Roman" w:hint="cs"/>
          <w:rtl/>
        </w:rPr>
        <w:t xml:space="preserve">؛ </w:t>
      </w:r>
      <w:r w:rsidRPr="00AB3D41">
        <w:rPr>
          <w:rFonts w:ascii="Times New Roman"/>
        </w:rPr>
        <w:t>2015</w:t>
      </w:r>
      <w:r w:rsidRPr="00AB3D41">
        <w:rPr>
          <w:rFonts w:ascii="Times New Roman" w:hint="cs"/>
          <w:rtl/>
        </w:rPr>
        <w:t xml:space="preserve">؛ </w:t>
      </w:r>
      <w:r w:rsidRPr="00AB3D41">
        <w:rPr>
          <w:rFonts w:ascii="Times New Roman"/>
        </w:rPr>
        <w:t>2016</w:t>
      </w:r>
      <w:r w:rsidRPr="00AB3D41">
        <w:rPr>
          <w:rFonts w:ascii="Times New Roman" w:hint="cs"/>
          <w:rtl/>
        </w:rPr>
        <w:t>)</w:t>
      </w:r>
      <w:r w:rsidRPr="0071046D">
        <w:rPr>
          <w:rStyle w:val="FootnoteReference"/>
          <w:rFonts w:ascii="Times New Roman italic" w:hAnsi="Times New Roman italic" w:cs="Times New Roman italic"/>
          <w:rtl/>
        </w:rPr>
        <w:footnoteReference w:id="1"/>
      </w:r>
    </w:p>
    <w:p w:rsidR="00A8101B" w:rsidRDefault="00CC2052">
      <w:pPr>
        <w:pStyle w:val="Reasons"/>
        <w:rPr>
          <w:rtl/>
          <w:lang w:bidi="ar-EG"/>
        </w:rPr>
      </w:pPr>
      <w:r>
        <w:rPr>
          <w:rFonts w:hint="cs"/>
          <w:rtl/>
          <w:lang w:bidi="ar-EG"/>
        </w:rPr>
        <w:t>الأ</w:t>
      </w:r>
      <w:r w:rsidR="004860AB">
        <w:rPr>
          <w:rFonts w:hint="cs"/>
          <w:rtl/>
          <w:lang w:bidi="ar-EG"/>
        </w:rPr>
        <w:t>سباب:</w:t>
      </w:r>
    </w:p>
    <w:p w:rsidR="004860AB" w:rsidRPr="001D2CA8" w:rsidRDefault="001D2CA8" w:rsidP="00B16589">
      <w:pPr>
        <w:pStyle w:val="Reasons"/>
        <w:rPr>
          <w:b w:val="0"/>
          <w:bCs w:val="0"/>
          <w:lang w:bidi="ar-EG"/>
        </w:rPr>
      </w:pPr>
      <w:r>
        <w:rPr>
          <w:rFonts w:hint="cs"/>
          <w:b w:val="0"/>
          <w:bCs w:val="0"/>
          <w:rtl/>
          <w:lang w:bidi="ar-EG"/>
        </w:rPr>
        <w:t xml:space="preserve">تقترح </w:t>
      </w:r>
      <w:r w:rsidRPr="001D2CA8">
        <w:rPr>
          <w:rFonts w:hint="cs"/>
          <w:b w:val="0"/>
          <w:bCs w:val="0"/>
          <w:rtl/>
          <w:lang w:bidi="ar-EG"/>
        </w:rPr>
        <w:t>الدول الأعضاء الإفريقية عدم إدخال أي</w:t>
      </w:r>
      <w:r w:rsidR="00AC23CD">
        <w:rPr>
          <w:rFonts w:hint="cs"/>
          <w:b w:val="0"/>
          <w:bCs w:val="0"/>
          <w:rtl/>
          <w:lang w:bidi="ar-EG"/>
        </w:rPr>
        <w:t>ّ</w:t>
      </w:r>
      <w:r w:rsidRPr="001D2CA8">
        <w:rPr>
          <w:rFonts w:hint="cs"/>
          <w:b w:val="0"/>
          <w:bCs w:val="0"/>
          <w:rtl/>
          <w:lang w:bidi="ar-EG"/>
        </w:rPr>
        <w:t xml:space="preserve"> </w:t>
      </w:r>
      <w:r w:rsidR="00195FEA">
        <w:rPr>
          <w:rFonts w:hint="cs"/>
          <w:b w:val="0"/>
          <w:bCs w:val="0"/>
          <w:rtl/>
          <w:lang w:bidi="ar-EG"/>
        </w:rPr>
        <w:t>تعديل على التوصية</w:t>
      </w:r>
      <w:r w:rsidR="00BE2CCA">
        <w:rPr>
          <w:rFonts w:hint="eastAsia"/>
          <w:b w:val="0"/>
          <w:bCs w:val="0"/>
          <w:rtl/>
          <w:lang w:bidi="ar-EG"/>
        </w:rPr>
        <w:t> </w:t>
      </w:r>
      <w:r w:rsidR="00195FEA" w:rsidRPr="00195FEA">
        <w:rPr>
          <w:b w:val="0"/>
          <w:bCs w:val="0"/>
          <w:szCs w:val="22"/>
        </w:rPr>
        <w:t>ITU</w:t>
      </w:r>
      <w:r w:rsidR="00B16589">
        <w:rPr>
          <w:b w:val="0"/>
          <w:bCs w:val="0"/>
          <w:szCs w:val="22"/>
        </w:rPr>
        <w:noBreakHyphen/>
      </w:r>
      <w:r w:rsidR="00195FEA" w:rsidRPr="00195FEA">
        <w:rPr>
          <w:b w:val="0"/>
          <w:bCs w:val="0"/>
          <w:szCs w:val="22"/>
        </w:rPr>
        <w:t>T</w:t>
      </w:r>
      <w:r w:rsidR="00B16589">
        <w:rPr>
          <w:b w:val="0"/>
          <w:bCs w:val="0"/>
          <w:szCs w:val="22"/>
        </w:rPr>
        <w:t> </w:t>
      </w:r>
      <w:r w:rsidR="00195FEA" w:rsidRPr="00195FEA">
        <w:rPr>
          <w:b w:val="0"/>
          <w:bCs w:val="0"/>
          <w:szCs w:val="22"/>
        </w:rPr>
        <w:t>A.12</w:t>
      </w:r>
      <w:r w:rsidR="00195FEA">
        <w:rPr>
          <w:rFonts w:hint="cs"/>
          <w:b w:val="0"/>
          <w:bCs w:val="0"/>
          <w:rtl/>
          <w:lang w:bidi="ar-EG"/>
        </w:rPr>
        <w:t>، لا</w:t>
      </w:r>
      <w:r w:rsidR="00B16589">
        <w:rPr>
          <w:rFonts w:hint="eastAsia"/>
          <w:b w:val="0"/>
          <w:bCs w:val="0"/>
          <w:rtl/>
          <w:lang w:bidi="ar-EG"/>
        </w:rPr>
        <w:t> </w:t>
      </w:r>
      <w:r w:rsidR="00195FEA">
        <w:rPr>
          <w:rFonts w:hint="cs"/>
          <w:b w:val="0"/>
          <w:bCs w:val="0"/>
          <w:rtl/>
          <w:lang w:bidi="ar-EG"/>
        </w:rPr>
        <w:t xml:space="preserve">سيما </w:t>
      </w:r>
      <w:r w:rsidR="001F37C0">
        <w:rPr>
          <w:rFonts w:hint="cs"/>
          <w:b w:val="0"/>
          <w:bCs w:val="0"/>
          <w:rtl/>
          <w:lang w:bidi="ar-EG"/>
        </w:rPr>
        <w:t>فيما يتعلق بتوسيم توصيات قطاع تقييس الاتصالات بعملية الموافقة</w:t>
      </w:r>
      <w:r w:rsidR="00C64A7A">
        <w:rPr>
          <w:rFonts w:hint="cs"/>
          <w:b w:val="0"/>
          <w:bCs w:val="0"/>
          <w:rtl/>
          <w:lang w:bidi="ar-EG"/>
        </w:rPr>
        <w:t xml:space="preserve"> </w:t>
      </w:r>
      <w:r w:rsidR="001F37C0">
        <w:rPr>
          <w:rFonts w:hint="cs"/>
          <w:b w:val="0"/>
          <w:bCs w:val="0"/>
          <w:rtl/>
          <w:lang w:bidi="ar-EG"/>
        </w:rPr>
        <w:t>(عملية الموافقة التقليدية/عملية الموافقة البد</w:t>
      </w:r>
      <w:bookmarkStart w:id="3" w:name="_GoBack"/>
      <w:bookmarkEnd w:id="3"/>
      <w:r w:rsidR="001F37C0">
        <w:rPr>
          <w:rFonts w:hint="cs"/>
          <w:b w:val="0"/>
          <w:bCs w:val="0"/>
          <w:rtl/>
          <w:lang w:bidi="ar-EG"/>
        </w:rPr>
        <w:t>يلة</w:t>
      </w:r>
      <w:r w:rsidR="00EE067E">
        <w:rPr>
          <w:rFonts w:hint="cs"/>
          <w:b w:val="0"/>
          <w:bCs w:val="0"/>
          <w:rtl/>
          <w:lang w:bidi="ar-EG"/>
        </w:rPr>
        <w:t xml:space="preserve"> </w:t>
      </w:r>
      <w:r w:rsidR="00EE067E">
        <w:rPr>
          <w:b w:val="0"/>
          <w:bCs w:val="0"/>
          <w:lang w:bidi="ar-EG"/>
        </w:rPr>
        <w:t>(TAP/AAP)</w:t>
      </w:r>
      <w:r w:rsidR="00C64A7A">
        <w:rPr>
          <w:rFonts w:hint="cs"/>
          <w:b w:val="0"/>
          <w:bCs w:val="0"/>
          <w:rtl/>
          <w:lang w:bidi="ar-EG"/>
        </w:rPr>
        <w:t xml:space="preserve">). وفي </w:t>
      </w:r>
      <w:r w:rsidR="008030F1">
        <w:rPr>
          <w:rFonts w:hint="cs"/>
          <w:b w:val="0"/>
          <w:bCs w:val="0"/>
          <w:rtl/>
          <w:lang w:bidi="ar-EG"/>
        </w:rPr>
        <w:t xml:space="preserve">نهاية الأمر، ستتمتع جميع التوصيات بنفس الوضع القانوني. </w:t>
      </w:r>
      <w:r w:rsidR="00457635">
        <w:rPr>
          <w:rFonts w:hint="cs"/>
          <w:b w:val="0"/>
          <w:bCs w:val="0"/>
          <w:rtl/>
          <w:lang w:bidi="ar-EG"/>
        </w:rPr>
        <w:t xml:space="preserve">وسيسبب ذلك مزيداً من اللبس للمسؤولين عن التنفيذ. </w:t>
      </w:r>
      <w:r w:rsidR="005D5953">
        <w:rPr>
          <w:rFonts w:hint="cs"/>
          <w:b w:val="0"/>
          <w:bCs w:val="0"/>
          <w:rtl/>
          <w:lang w:bidi="ar-EG"/>
        </w:rPr>
        <w:t xml:space="preserve">وينبغي أن يسعى الاتحاد الدولي للاتصالات إلى </w:t>
      </w:r>
      <w:r w:rsidR="009D0045">
        <w:rPr>
          <w:rFonts w:hint="cs"/>
          <w:b w:val="0"/>
          <w:bCs w:val="0"/>
          <w:rtl/>
          <w:lang w:bidi="ar-EG"/>
        </w:rPr>
        <w:t>ترويج</w:t>
      </w:r>
      <w:r w:rsidR="005D5953">
        <w:rPr>
          <w:rFonts w:hint="cs"/>
          <w:b w:val="0"/>
          <w:bCs w:val="0"/>
          <w:rtl/>
          <w:lang w:bidi="ar-EG"/>
        </w:rPr>
        <w:t xml:space="preserve"> توصياته إلى أقصى حد</w:t>
      </w:r>
      <w:r w:rsidR="00C722EB">
        <w:rPr>
          <w:rFonts w:hint="cs"/>
          <w:b w:val="0"/>
          <w:bCs w:val="0"/>
          <w:rtl/>
          <w:lang w:bidi="ar-EG"/>
        </w:rPr>
        <w:t>ٍ</w:t>
      </w:r>
      <w:r w:rsidR="005D5953">
        <w:rPr>
          <w:rFonts w:hint="cs"/>
          <w:b w:val="0"/>
          <w:bCs w:val="0"/>
          <w:rtl/>
          <w:lang w:bidi="ar-EG"/>
        </w:rPr>
        <w:t xml:space="preserve"> ممكن </w:t>
      </w:r>
      <w:r w:rsidR="009D0045">
        <w:rPr>
          <w:rFonts w:hint="cs"/>
          <w:b w:val="0"/>
          <w:bCs w:val="0"/>
          <w:rtl/>
          <w:lang w:bidi="ar-EG"/>
        </w:rPr>
        <w:t xml:space="preserve">لضمان </w:t>
      </w:r>
      <w:r w:rsidR="00D424DE">
        <w:rPr>
          <w:rFonts w:hint="cs"/>
          <w:b w:val="0"/>
          <w:bCs w:val="0"/>
          <w:rtl/>
          <w:lang w:bidi="ar-EG"/>
        </w:rPr>
        <w:t>انتشارها واتساع نطاق تنفيذها في العالم.</w:t>
      </w:r>
    </w:p>
    <w:p w:rsidR="004860AB" w:rsidRPr="00C722EB" w:rsidRDefault="004860AB" w:rsidP="00C722EB">
      <w:pPr>
        <w:rPr>
          <w:lang w:bidi="ar-EG"/>
        </w:rPr>
      </w:pPr>
    </w:p>
    <w:p w:rsidR="00A8101B" w:rsidRDefault="005B35B0">
      <w:pPr>
        <w:pStyle w:val="Proposal"/>
      </w:pPr>
      <w:r>
        <w:rPr>
          <w:u w:val="single"/>
        </w:rPr>
        <w:lastRenderedPageBreak/>
        <w:t>NOC</w:t>
      </w:r>
      <w:r>
        <w:tab/>
        <w:t>AFCP/42A19/3</w:t>
      </w:r>
    </w:p>
    <w:p w:rsidR="00DC4BEA" w:rsidRPr="00876EE7" w:rsidRDefault="005B35B0" w:rsidP="005B35B0">
      <w:pPr>
        <w:pStyle w:val="RecNo"/>
      </w:pPr>
      <w:r w:rsidRPr="00942345">
        <w:rPr>
          <w:rFonts w:hint="cs"/>
          <w:rtl/>
        </w:rPr>
        <w:t>التوصيـة</w:t>
      </w:r>
      <w:r>
        <w:rPr>
          <w:rFonts w:hint="eastAsia"/>
          <w:rtl/>
        </w:rPr>
        <w:t> </w:t>
      </w:r>
      <w:r w:rsidRPr="00942345">
        <w:rPr>
          <w:rStyle w:val="href"/>
          <w:bCs w:val="0"/>
        </w:rPr>
        <w:t>ITU-T A.</w:t>
      </w:r>
      <w:r>
        <w:rPr>
          <w:rStyle w:val="href"/>
          <w:bCs w:val="0"/>
        </w:rPr>
        <w:t>13</w:t>
      </w:r>
    </w:p>
    <w:p w:rsidR="00DC4BEA" w:rsidRDefault="005B35B0" w:rsidP="008266D8">
      <w:pPr>
        <w:pStyle w:val="Rectitle"/>
      </w:pPr>
      <w:bookmarkStart w:id="4" w:name="_Toc101081362"/>
      <w:bookmarkStart w:id="5" w:name="_Toc120354967"/>
      <w:bookmarkStart w:id="6" w:name="_Toc219795226"/>
      <w:bookmarkStart w:id="7" w:name="_Toc219795558"/>
      <w:bookmarkStart w:id="8" w:name="_Toc219803633"/>
      <w:bookmarkStart w:id="9" w:name="_Toc349551664"/>
      <w:r>
        <w:rPr>
          <w:rFonts w:hint="cs"/>
          <w:rtl/>
        </w:rPr>
        <w:t>الإضافات التي تلحق بالتوصيات الصادرة عن قطاع تقييس الاتصالات</w:t>
      </w:r>
      <w:bookmarkEnd w:id="4"/>
      <w:bookmarkEnd w:id="5"/>
      <w:bookmarkEnd w:id="6"/>
      <w:bookmarkEnd w:id="7"/>
      <w:bookmarkEnd w:id="8"/>
      <w:bookmarkEnd w:id="9"/>
    </w:p>
    <w:p w:rsidR="00DC4BEA" w:rsidRPr="00A80C96" w:rsidRDefault="005B35B0" w:rsidP="00B16589">
      <w:pPr>
        <w:pStyle w:val="Recdate"/>
        <w:rPr>
          <w:rtl/>
          <w:lang w:bidi="ar-EG"/>
        </w:rPr>
      </w:pPr>
      <w:r w:rsidRPr="00D6692D">
        <w:rPr>
          <w:rtl/>
          <w:lang w:bidi="ar-EG"/>
        </w:rPr>
        <w:t>(</w:t>
      </w:r>
      <w:r w:rsidRPr="00D6692D">
        <w:rPr>
          <w:lang w:bidi="ar-EG"/>
        </w:rPr>
        <w:t>2000</w:t>
      </w:r>
      <w:r>
        <w:rPr>
          <w:rtl/>
          <w:lang w:bidi="ar-EG"/>
        </w:rPr>
        <w:t>؛</w:t>
      </w:r>
      <w:r w:rsidRPr="00D6692D">
        <w:rPr>
          <w:rtl/>
          <w:lang w:bidi="ar-EG"/>
        </w:rPr>
        <w:t xml:space="preserve"> </w:t>
      </w:r>
      <w:r w:rsidRPr="00D6692D">
        <w:rPr>
          <w:lang w:bidi="ar-EG"/>
        </w:rPr>
        <w:t>200</w:t>
      </w:r>
      <w:r>
        <w:rPr>
          <w:lang w:bidi="ar-EG"/>
        </w:rPr>
        <w:t>7</w:t>
      </w:r>
      <w:r w:rsidRPr="00D6692D">
        <w:rPr>
          <w:rtl/>
          <w:lang w:bidi="ar-EG"/>
        </w:rPr>
        <w:t>)</w:t>
      </w:r>
      <w:r w:rsidR="00B16589">
        <w:rPr>
          <w:rStyle w:val="FootnoteReference"/>
          <w:rtl/>
          <w:lang w:bidi="ar-EG"/>
        </w:rPr>
        <w:footnoteReference w:customMarkFollows="1" w:id="2"/>
        <w:t>1</w:t>
      </w:r>
    </w:p>
    <w:p w:rsidR="004860AB" w:rsidRDefault="00323301" w:rsidP="004860AB">
      <w:pPr>
        <w:pStyle w:val="Reasons"/>
        <w:rPr>
          <w:rtl/>
          <w:lang w:bidi="ar-EG"/>
        </w:rPr>
      </w:pPr>
      <w:r>
        <w:rPr>
          <w:rFonts w:hint="cs"/>
          <w:rtl/>
          <w:lang w:bidi="ar-EG"/>
        </w:rPr>
        <w:t>الأ</w:t>
      </w:r>
      <w:r w:rsidR="004860AB">
        <w:rPr>
          <w:rFonts w:hint="cs"/>
          <w:rtl/>
          <w:lang w:bidi="ar-EG"/>
        </w:rPr>
        <w:t>سباب:</w:t>
      </w:r>
    </w:p>
    <w:p w:rsidR="004860AB" w:rsidRPr="00B16589" w:rsidRDefault="00012356" w:rsidP="00B16589">
      <w:pPr>
        <w:pStyle w:val="Reasons"/>
        <w:rPr>
          <w:b w:val="0"/>
          <w:bCs w:val="0"/>
          <w:rtl/>
          <w:lang w:bidi="ar-EG"/>
        </w:rPr>
      </w:pPr>
      <w:r w:rsidRPr="00B16589">
        <w:rPr>
          <w:rFonts w:hint="cs"/>
          <w:b w:val="0"/>
          <w:bCs w:val="0"/>
          <w:rtl/>
          <w:lang w:bidi="ar-EG"/>
        </w:rPr>
        <w:t>أخذت</w:t>
      </w:r>
      <w:r w:rsidR="00D424DE" w:rsidRPr="00B16589">
        <w:rPr>
          <w:rFonts w:hint="cs"/>
          <w:b w:val="0"/>
          <w:bCs w:val="0"/>
          <w:rtl/>
          <w:lang w:bidi="ar-EG"/>
        </w:rPr>
        <w:t xml:space="preserve"> الدول الأعضاء الإفريقية </w:t>
      </w:r>
      <w:r w:rsidRPr="00B16589">
        <w:rPr>
          <w:rFonts w:hint="cs"/>
          <w:b w:val="0"/>
          <w:bCs w:val="0"/>
          <w:rtl/>
          <w:lang w:bidi="ar-EG"/>
        </w:rPr>
        <w:t>علماً ب</w:t>
      </w:r>
      <w:r w:rsidR="009741FF" w:rsidRPr="00B16589">
        <w:rPr>
          <w:rFonts w:hint="cs"/>
          <w:b w:val="0"/>
          <w:bCs w:val="0"/>
          <w:rtl/>
          <w:lang w:bidi="ar-EG"/>
        </w:rPr>
        <w:t xml:space="preserve">الإضافة </w:t>
      </w:r>
      <w:r w:rsidR="009741FF" w:rsidRPr="00B16589">
        <w:rPr>
          <w:b w:val="0"/>
          <w:bCs w:val="0"/>
          <w:lang w:bidi="ar-EG"/>
        </w:rPr>
        <w:t>20</w:t>
      </w:r>
      <w:r w:rsidR="009741FF" w:rsidRPr="00B16589">
        <w:rPr>
          <w:rFonts w:hint="cs"/>
          <w:b w:val="0"/>
          <w:bCs w:val="0"/>
          <w:rtl/>
          <w:lang w:bidi="ar-EG"/>
        </w:rPr>
        <w:t xml:space="preserve"> للوثيقة </w:t>
      </w:r>
      <w:r w:rsidR="009741FF" w:rsidRPr="00B16589">
        <w:rPr>
          <w:b w:val="0"/>
          <w:bCs w:val="0"/>
          <w:lang w:bidi="ar-EG"/>
        </w:rPr>
        <w:t>46</w:t>
      </w:r>
      <w:r w:rsidR="009741FF" w:rsidRPr="00B16589">
        <w:rPr>
          <w:rFonts w:hint="cs"/>
          <w:b w:val="0"/>
          <w:bCs w:val="0"/>
          <w:rtl/>
          <w:lang w:bidi="ar-EG"/>
        </w:rPr>
        <w:t xml:space="preserve"> </w:t>
      </w:r>
      <w:r w:rsidR="00452504" w:rsidRPr="00B16589">
        <w:rPr>
          <w:rFonts w:hint="cs"/>
          <w:b w:val="0"/>
          <w:bCs w:val="0"/>
          <w:rtl/>
          <w:lang w:bidi="ar-EG"/>
        </w:rPr>
        <w:t>التي قدمتها</w:t>
      </w:r>
      <w:r w:rsidR="00555EC9" w:rsidRPr="00B16589">
        <w:rPr>
          <w:rFonts w:hint="cs"/>
          <w:b w:val="0"/>
          <w:bCs w:val="0"/>
          <w:rtl/>
          <w:lang w:bidi="ar-EG"/>
        </w:rPr>
        <w:t xml:space="preserve"> الدول الأعضاء في لجنة البلدان الأمريكية للاتصالات</w:t>
      </w:r>
      <w:r w:rsidR="00B16589">
        <w:rPr>
          <w:rFonts w:hint="eastAsia"/>
          <w:b w:val="0"/>
          <w:bCs w:val="0"/>
          <w:rtl/>
          <w:lang w:bidi="ar-EG"/>
        </w:rPr>
        <w:t> </w:t>
      </w:r>
      <w:r w:rsidR="00B16589" w:rsidRPr="00B16589">
        <w:rPr>
          <w:b w:val="0"/>
          <w:bCs w:val="0"/>
          <w:lang w:bidi="ar-EG"/>
        </w:rPr>
        <w:t>(CITEL)</w:t>
      </w:r>
      <w:r w:rsidR="00555EC9" w:rsidRPr="00B16589">
        <w:rPr>
          <w:rFonts w:hint="cs"/>
          <w:b w:val="0"/>
          <w:bCs w:val="0"/>
          <w:rtl/>
          <w:lang w:bidi="ar-EG"/>
        </w:rPr>
        <w:t xml:space="preserve"> إلى الجمعية </w:t>
      </w:r>
      <w:r w:rsidRPr="00B16589">
        <w:rPr>
          <w:rFonts w:hint="cs"/>
          <w:b w:val="0"/>
          <w:bCs w:val="0"/>
          <w:rtl/>
          <w:lang w:bidi="ar-EG"/>
        </w:rPr>
        <w:t>فيما يتعلق بالتوصية</w:t>
      </w:r>
      <w:r w:rsidR="00B16589">
        <w:rPr>
          <w:rFonts w:hint="eastAsia"/>
          <w:b w:val="0"/>
          <w:bCs w:val="0"/>
          <w:rtl/>
          <w:lang w:bidi="ar-EG"/>
        </w:rPr>
        <w:t> </w:t>
      </w:r>
      <w:r w:rsidRPr="00B16589">
        <w:rPr>
          <w:b w:val="0"/>
          <w:bCs w:val="0"/>
          <w:lang w:bidi="ar-EG"/>
        </w:rPr>
        <w:t>ITU</w:t>
      </w:r>
      <w:r w:rsidR="00B16589">
        <w:rPr>
          <w:b w:val="0"/>
          <w:bCs w:val="0"/>
          <w:lang w:bidi="ar-EG"/>
        </w:rPr>
        <w:noBreakHyphen/>
      </w:r>
      <w:r w:rsidRPr="00B16589">
        <w:rPr>
          <w:b w:val="0"/>
          <w:bCs w:val="0"/>
          <w:lang w:bidi="ar-EG"/>
        </w:rPr>
        <w:t>T</w:t>
      </w:r>
      <w:r w:rsidR="00B16589">
        <w:rPr>
          <w:b w:val="0"/>
          <w:bCs w:val="0"/>
          <w:lang w:bidi="ar-EG"/>
        </w:rPr>
        <w:t> </w:t>
      </w:r>
      <w:r w:rsidRPr="00B16589">
        <w:rPr>
          <w:b w:val="0"/>
          <w:bCs w:val="0"/>
          <w:lang w:bidi="ar-EG"/>
        </w:rPr>
        <w:t>A.13</w:t>
      </w:r>
      <w:r w:rsidR="00632EEB" w:rsidRPr="00B16589">
        <w:rPr>
          <w:rFonts w:hint="cs"/>
          <w:b w:val="0"/>
          <w:bCs w:val="0"/>
          <w:rtl/>
          <w:lang w:bidi="ar-EG"/>
        </w:rPr>
        <w:t xml:space="preserve">. وتتضمن هذه الإضافة تعديلات هامة </w:t>
      </w:r>
      <w:r w:rsidR="00434A80" w:rsidRPr="00B16589">
        <w:rPr>
          <w:rFonts w:hint="cs"/>
          <w:b w:val="0"/>
          <w:bCs w:val="0"/>
          <w:rtl/>
          <w:lang w:bidi="ar-EG"/>
        </w:rPr>
        <w:t xml:space="preserve">للفقرات </w:t>
      </w:r>
      <w:r w:rsidR="00DD3770" w:rsidRPr="00B16589">
        <w:rPr>
          <w:rFonts w:hint="cs"/>
          <w:b w:val="0"/>
          <w:bCs w:val="0"/>
          <w:rtl/>
          <w:lang w:bidi="ar-EG"/>
        </w:rPr>
        <w:t xml:space="preserve">الحالية </w:t>
      </w:r>
      <w:r w:rsidR="00AB5B3A" w:rsidRPr="00B16589">
        <w:rPr>
          <w:rFonts w:hint="cs"/>
          <w:b w:val="0"/>
          <w:bCs w:val="0"/>
          <w:rtl/>
          <w:lang w:bidi="ar-EG"/>
        </w:rPr>
        <w:t>لمحاولة</w:t>
      </w:r>
      <w:r w:rsidR="00597BF7" w:rsidRPr="00B16589">
        <w:rPr>
          <w:rFonts w:hint="cs"/>
          <w:b w:val="0"/>
          <w:bCs w:val="0"/>
          <w:rtl/>
          <w:lang w:bidi="ar-EG"/>
        </w:rPr>
        <w:t xml:space="preserve"> تحديد أساليب العمل المتبعة في الوثائق غير المعيارية </w:t>
      </w:r>
      <w:r w:rsidR="00032ADF" w:rsidRPr="00B16589">
        <w:rPr>
          <w:rFonts w:hint="cs"/>
          <w:b w:val="0"/>
          <w:bCs w:val="0"/>
          <w:rtl/>
          <w:lang w:bidi="ar-EG"/>
        </w:rPr>
        <w:t xml:space="preserve">من أجل تحسين الكفاءة لصالح الأعضاء كافةً. </w:t>
      </w:r>
    </w:p>
    <w:p w:rsidR="004860AB" w:rsidRPr="00616D27" w:rsidRDefault="00032ADF" w:rsidP="00A00CFF">
      <w:pPr>
        <w:pStyle w:val="Reasons"/>
        <w:rPr>
          <w:b w:val="0"/>
          <w:bCs w:val="0"/>
          <w:i/>
          <w:rtl/>
          <w:lang w:bidi="ar-EG"/>
        </w:rPr>
      </w:pPr>
      <w:r>
        <w:rPr>
          <w:rFonts w:hint="cs"/>
          <w:b w:val="0"/>
          <w:bCs w:val="0"/>
          <w:i/>
          <w:rtl/>
          <w:lang w:bidi="ar-EG"/>
        </w:rPr>
        <w:t xml:space="preserve">بيد </w:t>
      </w:r>
      <w:r w:rsidR="00970BF5">
        <w:rPr>
          <w:rFonts w:hint="cs"/>
          <w:b w:val="0"/>
          <w:bCs w:val="0"/>
          <w:i/>
          <w:rtl/>
          <w:lang w:bidi="ar-EG"/>
        </w:rPr>
        <w:t xml:space="preserve">أن إمعان النظر في التعديلات المقترحة يوحي بأنها </w:t>
      </w:r>
      <w:r w:rsidR="00452504">
        <w:rPr>
          <w:rFonts w:hint="cs"/>
          <w:b w:val="0"/>
          <w:bCs w:val="0"/>
          <w:i/>
          <w:rtl/>
          <w:lang w:bidi="ar-EG"/>
        </w:rPr>
        <w:t xml:space="preserve">في </w:t>
      </w:r>
      <w:r w:rsidR="00FA3D1C">
        <w:rPr>
          <w:rFonts w:hint="cs"/>
          <w:b w:val="0"/>
          <w:bCs w:val="0"/>
          <w:i/>
          <w:rtl/>
          <w:lang w:bidi="ar-EG"/>
        </w:rPr>
        <w:t xml:space="preserve">نهاية </w:t>
      </w:r>
      <w:r w:rsidR="00452504">
        <w:rPr>
          <w:rFonts w:hint="cs"/>
          <w:b w:val="0"/>
          <w:bCs w:val="0"/>
          <w:i/>
          <w:rtl/>
          <w:lang w:bidi="ar-EG"/>
        </w:rPr>
        <w:t xml:space="preserve">الأمر </w:t>
      </w:r>
      <w:r w:rsidR="007F6CBC">
        <w:rPr>
          <w:rFonts w:hint="cs"/>
          <w:b w:val="0"/>
          <w:bCs w:val="0"/>
          <w:i/>
          <w:rtl/>
          <w:lang w:bidi="ar-EG"/>
        </w:rPr>
        <w:t xml:space="preserve">لا تؤيد </w:t>
      </w:r>
      <w:r w:rsidR="00620A9E">
        <w:rPr>
          <w:rFonts w:hint="cs"/>
          <w:b w:val="0"/>
          <w:bCs w:val="0"/>
          <w:i/>
          <w:rtl/>
          <w:lang w:bidi="ar-EG"/>
        </w:rPr>
        <w:t>تشجيع تنفيذ هذه الوثائق سواء</w:t>
      </w:r>
      <w:r w:rsidR="00FA3D1C">
        <w:rPr>
          <w:rFonts w:hint="cs"/>
          <w:b w:val="0"/>
          <w:bCs w:val="0"/>
          <w:i/>
          <w:rtl/>
          <w:lang w:bidi="ar-EG"/>
        </w:rPr>
        <w:t xml:space="preserve"> كانت إضافات أو</w:t>
      </w:r>
      <w:r w:rsidR="00B16589">
        <w:rPr>
          <w:rFonts w:hint="eastAsia"/>
          <w:b w:val="0"/>
          <w:bCs w:val="0"/>
          <w:i/>
          <w:rtl/>
          <w:lang w:bidi="ar-EG"/>
        </w:rPr>
        <w:t> </w:t>
      </w:r>
      <w:r w:rsidR="00FA3D1C">
        <w:rPr>
          <w:rFonts w:hint="cs"/>
          <w:b w:val="0"/>
          <w:bCs w:val="0"/>
          <w:i/>
          <w:rtl/>
          <w:lang w:bidi="ar-EG"/>
        </w:rPr>
        <w:t xml:space="preserve">تقارير أو غير ذلك، </w:t>
      </w:r>
      <w:r w:rsidR="00C327F4">
        <w:rPr>
          <w:rFonts w:hint="cs"/>
          <w:b w:val="0"/>
          <w:bCs w:val="0"/>
          <w:i/>
          <w:rtl/>
          <w:lang w:bidi="ar-EG"/>
        </w:rPr>
        <w:t>لأنها تذك</w:t>
      </w:r>
      <w:r w:rsidR="005D76C3">
        <w:rPr>
          <w:rFonts w:hint="cs"/>
          <w:b w:val="0"/>
          <w:bCs w:val="0"/>
          <w:i/>
          <w:rtl/>
          <w:lang w:bidi="ar-EG"/>
        </w:rPr>
        <w:t>ّ</w:t>
      </w:r>
      <w:r w:rsidR="00C327F4">
        <w:rPr>
          <w:rFonts w:hint="cs"/>
          <w:b w:val="0"/>
          <w:bCs w:val="0"/>
          <w:i/>
          <w:rtl/>
          <w:lang w:bidi="ar-EG"/>
        </w:rPr>
        <w:t xml:space="preserve">ر القارئ </w:t>
      </w:r>
      <w:r w:rsidR="00620A9E">
        <w:rPr>
          <w:rFonts w:hint="cs"/>
          <w:b w:val="0"/>
          <w:bCs w:val="0"/>
          <w:i/>
          <w:rtl/>
          <w:lang w:bidi="ar-EG"/>
        </w:rPr>
        <w:t>دائماً وبشكل صريح</w:t>
      </w:r>
      <w:r w:rsidR="00C327F4">
        <w:rPr>
          <w:rFonts w:hint="cs"/>
          <w:b w:val="0"/>
          <w:bCs w:val="0"/>
          <w:i/>
          <w:rtl/>
          <w:lang w:bidi="ar-EG"/>
        </w:rPr>
        <w:t xml:space="preserve"> </w:t>
      </w:r>
      <w:r w:rsidR="008954C1">
        <w:rPr>
          <w:rFonts w:hint="cs"/>
          <w:b w:val="0"/>
          <w:bCs w:val="0"/>
          <w:i/>
          <w:rtl/>
          <w:lang w:bidi="ar-EG"/>
        </w:rPr>
        <w:t>بأن "</w:t>
      </w:r>
      <w:r w:rsidR="008954C1" w:rsidRPr="00F856CE">
        <w:rPr>
          <w:rFonts w:hint="cs"/>
          <w:i/>
          <w:rtl/>
          <w:lang w:bidi="ar-EG"/>
        </w:rPr>
        <w:t>هذ</w:t>
      </w:r>
      <w:r w:rsidR="00CF347E" w:rsidRPr="00F856CE">
        <w:rPr>
          <w:rFonts w:hint="cs"/>
          <w:i/>
          <w:rtl/>
          <w:lang w:bidi="ar-EG"/>
        </w:rPr>
        <w:t>ا المنشور</w:t>
      </w:r>
      <w:r w:rsidR="00CF347E">
        <w:rPr>
          <w:rFonts w:hint="cs"/>
          <w:b w:val="0"/>
          <w:bCs w:val="0"/>
          <w:i/>
          <w:rtl/>
          <w:lang w:bidi="ar-EG"/>
        </w:rPr>
        <w:t xml:space="preserve"> </w:t>
      </w:r>
      <w:r w:rsidR="00CF347E">
        <w:rPr>
          <w:rFonts w:hint="cs"/>
          <w:b w:val="0"/>
          <w:bCs w:val="0"/>
          <w:iCs/>
          <w:rtl/>
          <w:lang w:bidi="ar-EG"/>
        </w:rPr>
        <w:t>لا ي</w:t>
      </w:r>
      <w:r w:rsidR="008954C1" w:rsidRPr="008C4127">
        <w:rPr>
          <w:rFonts w:hint="cs"/>
          <w:b w:val="0"/>
          <w:bCs w:val="0"/>
          <w:iCs/>
          <w:rtl/>
          <w:lang w:bidi="ar-EG"/>
        </w:rPr>
        <w:t>تضمن أي</w:t>
      </w:r>
      <w:r w:rsidR="005D76C3" w:rsidRPr="008C4127">
        <w:rPr>
          <w:rFonts w:hint="cs"/>
          <w:b w:val="0"/>
          <w:bCs w:val="0"/>
          <w:iCs/>
          <w:rtl/>
          <w:lang w:bidi="ar-EG"/>
        </w:rPr>
        <w:t>ّ أحكا</w:t>
      </w:r>
      <w:r w:rsidR="00CF347E">
        <w:rPr>
          <w:rFonts w:hint="cs"/>
          <w:b w:val="0"/>
          <w:bCs w:val="0"/>
          <w:iCs/>
          <w:rtl/>
          <w:lang w:bidi="ar-EG"/>
        </w:rPr>
        <w:t>م إلزامية ولا ي</w:t>
      </w:r>
      <w:r w:rsidR="008C4127" w:rsidRPr="008C4127">
        <w:rPr>
          <w:rFonts w:hint="cs"/>
          <w:b w:val="0"/>
          <w:bCs w:val="0"/>
          <w:iCs/>
          <w:rtl/>
          <w:lang w:bidi="ar-EG"/>
        </w:rPr>
        <w:t>شكل</w:t>
      </w:r>
      <w:r w:rsidR="005D76C3" w:rsidRPr="008C4127">
        <w:rPr>
          <w:rFonts w:hint="cs"/>
          <w:b w:val="0"/>
          <w:bCs w:val="0"/>
          <w:iCs/>
          <w:rtl/>
          <w:lang w:bidi="ar-EG"/>
        </w:rPr>
        <w:t xml:space="preserve"> جزءاً من</w:t>
      </w:r>
      <w:r w:rsidR="008C4127" w:rsidRPr="008C4127">
        <w:rPr>
          <w:rFonts w:hint="cs"/>
          <w:b w:val="0"/>
          <w:bCs w:val="0"/>
          <w:iCs/>
          <w:rtl/>
          <w:lang w:bidi="ar-EG"/>
        </w:rPr>
        <w:t xml:space="preserve"> أيّ توصية من توصيات قطاع تقييس الاتصالات، إلخ</w:t>
      </w:r>
      <w:r w:rsidR="00F856CE">
        <w:rPr>
          <w:rFonts w:hint="cs"/>
          <w:b w:val="0"/>
          <w:bCs w:val="0"/>
          <w:iCs/>
          <w:rtl/>
          <w:lang w:bidi="ar-EG"/>
        </w:rPr>
        <w:t>.</w:t>
      </w:r>
      <w:r w:rsidR="008C4127">
        <w:rPr>
          <w:rFonts w:hint="cs"/>
          <w:b w:val="0"/>
          <w:bCs w:val="0"/>
          <w:i/>
          <w:rtl/>
          <w:lang w:bidi="ar-EG"/>
        </w:rPr>
        <w:t xml:space="preserve">"، </w:t>
      </w:r>
      <w:r w:rsidR="002A1387">
        <w:rPr>
          <w:rFonts w:hint="cs"/>
          <w:b w:val="0"/>
          <w:bCs w:val="0"/>
          <w:i/>
          <w:rtl/>
          <w:lang w:bidi="ar-EG"/>
        </w:rPr>
        <w:t xml:space="preserve">ما يمثل إشارة سلبية للقارئ، </w:t>
      </w:r>
      <w:r w:rsidR="00B8521D">
        <w:rPr>
          <w:rFonts w:hint="cs"/>
          <w:b w:val="0"/>
          <w:bCs w:val="0"/>
          <w:i/>
          <w:rtl/>
          <w:lang w:bidi="ar-EG"/>
        </w:rPr>
        <w:t xml:space="preserve">في الوقت الذي يسعى فيه قطاع تقييس الاتصالات جاهداً إلى تنفيذ توصياته. </w:t>
      </w:r>
      <w:r w:rsidR="004A5C68">
        <w:rPr>
          <w:rFonts w:hint="cs"/>
          <w:b w:val="0"/>
          <w:bCs w:val="0"/>
          <w:i/>
          <w:rtl/>
          <w:lang w:bidi="ar-EG"/>
        </w:rPr>
        <w:t xml:space="preserve">وبما أن </w:t>
      </w:r>
      <w:r w:rsidR="00795785">
        <w:rPr>
          <w:rFonts w:hint="cs"/>
          <w:b w:val="0"/>
          <w:bCs w:val="0"/>
          <w:i/>
          <w:rtl/>
          <w:lang w:bidi="ar-EG"/>
        </w:rPr>
        <w:t xml:space="preserve">تنفيذ </w:t>
      </w:r>
      <w:r w:rsidR="000A432A">
        <w:rPr>
          <w:rFonts w:hint="cs"/>
          <w:b w:val="0"/>
          <w:bCs w:val="0"/>
          <w:i/>
          <w:rtl/>
          <w:lang w:bidi="ar-EG"/>
        </w:rPr>
        <w:t xml:space="preserve">التوصيات </w:t>
      </w:r>
      <w:r w:rsidR="00285660">
        <w:rPr>
          <w:rFonts w:hint="cs"/>
          <w:b w:val="0"/>
          <w:bCs w:val="0"/>
          <w:i/>
          <w:rtl/>
          <w:lang w:bidi="ar-EG"/>
        </w:rPr>
        <w:t xml:space="preserve">هو أساساً </w:t>
      </w:r>
      <w:r w:rsidR="000A432A">
        <w:rPr>
          <w:rFonts w:hint="cs"/>
          <w:b w:val="0"/>
          <w:bCs w:val="0"/>
          <w:i/>
          <w:rtl/>
          <w:lang w:bidi="ar-EG"/>
        </w:rPr>
        <w:t xml:space="preserve">إجراء </w:t>
      </w:r>
      <w:r w:rsidR="00795785">
        <w:rPr>
          <w:rFonts w:hint="cs"/>
          <w:b w:val="0"/>
          <w:bCs w:val="0"/>
          <w:i/>
          <w:rtl/>
          <w:lang w:bidi="ar-EG"/>
        </w:rPr>
        <w:t xml:space="preserve">طوعي </w:t>
      </w:r>
      <w:r w:rsidR="004A5C68">
        <w:rPr>
          <w:rFonts w:hint="cs"/>
          <w:b w:val="0"/>
          <w:bCs w:val="0"/>
          <w:i/>
          <w:rtl/>
          <w:lang w:bidi="ar-EG"/>
        </w:rPr>
        <w:t xml:space="preserve">ولا يُلتزم به التزاماً تاماً، فإن </w:t>
      </w:r>
      <w:r w:rsidR="0089177E">
        <w:rPr>
          <w:rFonts w:hint="cs"/>
          <w:b w:val="0"/>
          <w:bCs w:val="0"/>
          <w:i/>
          <w:rtl/>
          <w:lang w:bidi="ar-EG"/>
        </w:rPr>
        <w:t xml:space="preserve">ورود هذه الإشارة في نصوص أخرى </w:t>
      </w:r>
      <w:r w:rsidR="004A7441">
        <w:rPr>
          <w:rFonts w:hint="cs"/>
          <w:b w:val="0"/>
          <w:bCs w:val="0"/>
          <w:i/>
          <w:rtl/>
          <w:lang w:bidi="ar-EG"/>
        </w:rPr>
        <w:t xml:space="preserve">سيُنقص كثيراً من مركز المنشورات غير المعيارية لقطاع تقييس الاتصالات. </w:t>
      </w:r>
      <w:r w:rsidR="002A7227">
        <w:rPr>
          <w:rFonts w:hint="cs"/>
          <w:b w:val="0"/>
          <w:bCs w:val="0"/>
          <w:i/>
          <w:rtl/>
          <w:lang w:bidi="ar-EG"/>
        </w:rPr>
        <w:t>وبالتالي</w:t>
      </w:r>
      <w:r w:rsidR="00616D27">
        <w:rPr>
          <w:rFonts w:hint="cs"/>
          <w:b w:val="0"/>
          <w:bCs w:val="0"/>
          <w:i/>
          <w:rtl/>
          <w:lang w:bidi="ar-EG"/>
        </w:rPr>
        <w:t>، فإن ذلك لن</w:t>
      </w:r>
      <w:r w:rsidR="00A00CFF">
        <w:rPr>
          <w:rFonts w:hint="eastAsia"/>
          <w:b w:val="0"/>
          <w:bCs w:val="0"/>
          <w:i/>
          <w:rtl/>
          <w:lang w:bidi="ar-EG"/>
        </w:rPr>
        <w:t> </w:t>
      </w:r>
      <w:r w:rsidR="00254D6D">
        <w:rPr>
          <w:rFonts w:hint="cs"/>
          <w:b w:val="0"/>
          <w:bCs w:val="0"/>
          <w:i/>
          <w:rtl/>
          <w:lang w:bidi="ar-EG"/>
        </w:rPr>
        <w:t>يعود بالفائدة على</w:t>
      </w:r>
      <w:r w:rsidR="00616D27">
        <w:rPr>
          <w:rFonts w:hint="cs"/>
          <w:b w:val="0"/>
          <w:bCs w:val="0"/>
          <w:i/>
          <w:rtl/>
          <w:lang w:bidi="ar-EG"/>
        </w:rPr>
        <w:t xml:space="preserve"> الأعضاء.</w:t>
      </w:r>
    </w:p>
    <w:p w:rsidR="00A23C29" w:rsidRDefault="0065333E" w:rsidP="00A00CFF">
      <w:pPr>
        <w:pStyle w:val="Reasons"/>
        <w:keepNext/>
        <w:keepLines/>
        <w:rPr>
          <w:b w:val="0"/>
          <w:bCs w:val="0"/>
          <w:i/>
          <w:rtl/>
        </w:rPr>
      </w:pPr>
      <w:r w:rsidRPr="0065333E">
        <w:rPr>
          <w:rFonts w:hint="cs"/>
          <w:b w:val="0"/>
          <w:bCs w:val="0"/>
          <w:rtl/>
          <w:lang w:bidi="ar-EG"/>
        </w:rPr>
        <w:t>وإضافة</w:t>
      </w:r>
      <w:r w:rsidR="005547CC">
        <w:rPr>
          <w:rFonts w:hint="cs"/>
          <w:b w:val="0"/>
          <w:bCs w:val="0"/>
          <w:rtl/>
          <w:lang w:bidi="ar-EG"/>
        </w:rPr>
        <w:t>ً</w:t>
      </w:r>
      <w:r w:rsidRPr="0065333E">
        <w:rPr>
          <w:rFonts w:hint="cs"/>
          <w:b w:val="0"/>
          <w:bCs w:val="0"/>
          <w:rtl/>
          <w:lang w:bidi="ar-EG"/>
        </w:rPr>
        <w:t xml:space="preserve"> إلى ذلك</w:t>
      </w:r>
      <w:r w:rsidR="00B16589">
        <w:rPr>
          <w:rFonts w:hint="cs"/>
          <w:b w:val="0"/>
          <w:bCs w:val="0"/>
          <w:rtl/>
          <w:lang w:bidi="ar-EG"/>
        </w:rPr>
        <w:t>،</w:t>
      </w:r>
      <w:r w:rsidRPr="00B16589">
        <w:rPr>
          <w:rFonts w:hint="cs"/>
          <w:b w:val="0"/>
          <w:bCs w:val="0"/>
          <w:rtl/>
          <w:lang w:bidi="ar-EG"/>
        </w:rPr>
        <w:t xml:space="preserve"> </w:t>
      </w:r>
      <w:r w:rsidR="00D522EE">
        <w:rPr>
          <w:rFonts w:hint="cs"/>
          <w:b w:val="0"/>
          <w:bCs w:val="0"/>
          <w:rtl/>
          <w:lang w:bidi="ar-EG"/>
        </w:rPr>
        <w:t>تضع</w:t>
      </w:r>
      <w:r>
        <w:rPr>
          <w:rFonts w:hint="cs"/>
          <w:b w:val="0"/>
          <w:bCs w:val="0"/>
          <w:rtl/>
          <w:lang w:bidi="ar-EG"/>
        </w:rPr>
        <w:t xml:space="preserve"> المقترحات الواردة في الإضافة</w:t>
      </w:r>
      <w:r w:rsidR="00B16589">
        <w:rPr>
          <w:rFonts w:hint="eastAsia"/>
          <w:b w:val="0"/>
          <w:bCs w:val="0"/>
          <w:rtl/>
          <w:lang w:bidi="ar-EG"/>
        </w:rPr>
        <w:t> </w:t>
      </w:r>
      <w:r w:rsidRPr="009741FF">
        <w:rPr>
          <w:b w:val="0"/>
          <w:bCs w:val="0"/>
          <w:iCs/>
          <w:lang w:bidi="ar-EG"/>
        </w:rPr>
        <w:t>20</w:t>
      </w:r>
      <w:r w:rsidRPr="00B16589">
        <w:rPr>
          <w:rFonts w:hint="cs"/>
          <w:b w:val="0"/>
          <w:bCs w:val="0"/>
          <w:i/>
          <w:rtl/>
          <w:lang w:bidi="ar-EG"/>
        </w:rPr>
        <w:t xml:space="preserve"> للوثيقة</w:t>
      </w:r>
      <w:r w:rsidR="00B16589">
        <w:rPr>
          <w:rFonts w:hint="eastAsia"/>
          <w:b w:val="0"/>
          <w:bCs w:val="0"/>
          <w:i/>
          <w:rtl/>
          <w:lang w:bidi="ar-EG"/>
        </w:rPr>
        <w:t> </w:t>
      </w:r>
      <w:r w:rsidRPr="00B16589">
        <w:rPr>
          <w:b w:val="0"/>
          <w:bCs w:val="0"/>
          <w:iCs/>
          <w:lang w:bidi="ar-EG"/>
        </w:rPr>
        <w:t>46</w:t>
      </w:r>
      <w:r w:rsidRPr="00B16589">
        <w:rPr>
          <w:rFonts w:hint="cs"/>
          <w:b w:val="0"/>
          <w:bCs w:val="0"/>
          <w:i/>
          <w:rtl/>
          <w:lang w:bidi="ar-EG"/>
        </w:rPr>
        <w:t xml:space="preserve"> </w:t>
      </w:r>
      <w:r>
        <w:rPr>
          <w:rFonts w:hint="cs"/>
          <w:b w:val="0"/>
          <w:bCs w:val="0"/>
          <w:i/>
          <w:rtl/>
          <w:lang w:bidi="ar-EG"/>
        </w:rPr>
        <w:t xml:space="preserve">مزيداً من الشروط </w:t>
      </w:r>
      <w:r w:rsidR="00D522EE">
        <w:rPr>
          <w:rFonts w:hint="cs"/>
          <w:b w:val="0"/>
          <w:bCs w:val="0"/>
          <w:i/>
          <w:rtl/>
          <w:lang w:bidi="ar-EG"/>
        </w:rPr>
        <w:t>التي تقيد</w:t>
      </w:r>
      <w:r>
        <w:rPr>
          <w:rFonts w:hint="cs"/>
          <w:b w:val="0"/>
          <w:bCs w:val="0"/>
          <w:i/>
          <w:rtl/>
          <w:lang w:bidi="ar-EG"/>
        </w:rPr>
        <w:t xml:space="preserve"> </w:t>
      </w:r>
      <w:r w:rsidR="00D522EE">
        <w:rPr>
          <w:rFonts w:hint="cs"/>
          <w:b w:val="0"/>
          <w:bCs w:val="0"/>
          <w:i/>
          <w:rtl/>
          <w:lang w:bidi="ar-EG"/>
        </w:rPr>
        <w:t>ا</w:t>
      </w:r>
      <w:r w:rsidR="00EC2007">
        <w:rPr>
          <w:rFonts w:hint="cs"/>
          <w:b w:val="0"/>
          <w:bCs w:val="0"/>
          <w:i/>
          <w:rtl/>
          <w:lang w:bidi="ar-EG"/>
        </w:rPr>
        <w:t xml:space="preserve">لشروع في </w:t>
      </w:r>
      <w:r w:rsidR="00D522EE">
        <w:rPr>
          <w:rFonts w:hint="cs"/>
          <w:b w:val="0"/>
          <w:bCs w:val="0"/>
          <w:i/>
          <w:rtl/>
          <w:lang w:bidi="ar-EG"/>
        </w:rPr>
        <w:t>بنود العمل، بما</w:t>
      </w:r>
      <w:r w:rsidR="00B16589">
        <w:rPr>
          <w:rFonts w:hint="eastAsia"/>
          <w:b w:val="0"/>
          <w:bCs w:val="0"/>
          <w:i/>
          <w:rtl/>
          <w:lang w:bidi="ar-EG"/>
        </w:rPr>
        <w:t> </w:t>
      </w:r>
      <w:r w:rsidR="00D522EE">
        <w:rPr>
          <w:rFonts w:hint="cs"/>
          <w:b w:val="0"/>
          <w:bCs w:val="0"/>
          <w:i/>
          <w:rtl/>
          <w:lang w:bidi="ar-EG"/>
        </w:rPr>
        <w:t>في</w:t>
      </w:r>
      <w:r w:rsidR="00B16589">
        <w:rPr>
          <w:rFonts w:hint="eastAsia"/>
          <w:b w:val="0"/>
          <w:bCs w:val="0"/>
          <w:i/>
          <w:rtl/>
          <w:lang w:bidi="ar-EG"/>
        </w:rPr>
        <w:t> </w:t>
      </w:r>
      <w:r w:rsidR="00D522EE">
        <w:rPr>
          <w:rFonts w:hint="cs"/>
          <w:b w:val="0"/>
          <w:bCs w:val="0"/>
          <w:i/>
          <w:rtl/>
          <w:lang w:bidi="ar-EG"/>
        </w:rPr>
        <w:t xml:space="preserve">ذلك </w:t>
      </w:r>
      <w:r w:rsidR="003A0D4A">
        <w:rPr>
          <w:rFonts w:hint="cs"/>
          <w:b w:val="0"/>
          <w:bCs w:val="0"/>
          <w:i/>
          <w:rtl/>
          <w:lang w:bidi="ar-EG"/>
        </w:rPr>
        <w:t xml:space="preserve">الكثير من حالات اللبس في التفسير </w:t>
      </w:r>
      <w:r w:rsidR="00963042">
        <w:rPr>
          <w:rFonts w:hint="cs"/>
          <w:b w:val="0"/>
          <w:bCs w:val="0"/>
          <w:i/>
          <w:rtl/>
          <w:lang w:bidi="ar-EG"/>
        </w:rPr>
        <w:t xml:space="preserve">التي يمكن أن تؤدي إلى </w:t>
      </w:r>
      <w:r w:rsidR="009E32AE">
        <w:rPr>
          <w:rFonts w:hint="cs"/>
          <w:b w:val="0"/>
          <w:bCs w:val="0"/>
          <w:i/>
          <w:rtl/>
        </w:rPr>
        <w:t>اعتماد أو إلغاء</w:t>
      </w:r>
      <w:r w:rsidR="005F7D8A">
        <w:rPr>
          <w:rFonts w:hint="cs"/>
          <w:b w:val="0"/>
          <w:bCs w:val="0"/>
          <w:i/>
          <w:rtl/>
        </w:rPr>
        <w:t xml:space="preserve"> أيّ</w:t>
      </w:r>
      <w:r w:rsidR="00B2492B">
        <w:rPr>
          <w:rFonts w:hint="cs"/>
          <w:b w:val="0"/>
          <w:bCs w:val="0"/>
          <w:i/>
          <w:rtl/>
        </w:rPr>
        <w:t xml:space="preserve"> بند من بنود العمل! </w:t>
      </w:r>
      <w:r w:rsidR="00254D6D">
        <w:rPr>
          <w:rFonts w:hint="cs"/>
          <w:b w:val="0"/>
          <w:bCs w:val="0"/>
          <w:i/>
          <w:rtl/>
        </w:rPr>
        <w:t>ما من شأنه أيضاً ألاّ</w:t>
      </w:r>
      <w:r w:rsidR="00A00CFF">
        <w:rPr>
          <w:rFonts w:hint="eastAsia"/>
          <w:b w:val="0"/>
          <w:bCs w:val="0"/>
          <w:i/>
          <w:rtl/>
        </w:rPr>
        <w:t> </w:t>
      </w:r>
      <w:r w:rsidR="00254D6D">
        <w:rPr>
          <w:rFonts w:hint="cs"/>
          <w:b w:val="0"/>
          <w:bCs w:val="0"/>
          <w:i/>
          <w:rtl/>
        </w:rPr>
        <w:t>يعود بالفائدة على الأعضاء.</w:t>
      </w:r>
    </w:p>
    <w:p w:rsidR="00A23C29" w:rsidRDefault="00FB1ADA" w:rsidP="00A00CFF">
      <w:pPr>
        <w:pStyle w:val="Reasons"/>
        <w:keepNext/>
        <w:keepLines/>
        <w:rPr>
          <w:b w:val="0"/>
          <w:bCs w:val="0"/>
          <w:i/>
          <w:rtl/>
          <w:lang w:bidi="ar-EG"/>
        </w:rPr>
      </w:pPr>
      <w:r>
        <w:rPr>
          <w:rFonts w:hint="cs"/>
          <w:b w:val="0"/>
          <w:bCs w:val="0"/>
          <w:i/>
          <w:rtl/>
        </w:rPr>
        <w:t xml:space="preserve">وخلاصة القول إن تنظيم و/أو ترشيد </w:t>
      </w:r>
      <w:r w:rsidR="001B3D47">
        <w:rPr>
          <w:rFonts w:hint="cs"/>
          <w:b w:val="0"/>
          <w:bCs w:val="0"/>
          <w:i/>
          <w:rtl/>
        </w:rPr>
        <w:t xml:space="preserve">أساليب العمل </w:t>
      </w:r>
      <w:r w:rsidR="008D7FE3">
        <w:rPr>
          <w:rFonts w:hint="cs"/>
          <w:b w:val="0"/>
          <w:bCs w:val="0"/>
          <w:i/>
          <w:rtl/>
        </w:rPr>
        <w:t xml:space="preserve">يبدو </w:t>
      </w:r>
      <w:r w:rsidR="00772D87">
        <w:rPr>
          <w:rFonts w:hint="cs"/>
          <w:b w:val="0"/>
          <w:bCs w:val="0"/>
          <w:i/>
          <w:rtl/>
        </w:rPr>
        <w:t xml:space="preserve">أمراً </w:t>
      </w:r>
      <w:r w:rsidR="00D05FEB">
        <w:rPr>
          <w:rFonts w:hint="cs"/>
          <w:b w:val="0"/>
          <w:bCs w:val="0"/>
          <w:i/>
          <w:rtl/>
        </w:rPr>
        <w:t>مرغوباً فيه</w:t>
      </w:r>
      <w:r w:rsidR="00772D87">
        <w:rPr>
          <w:rFonts w:hint="cs"/>
          <w:b w:val="0"/>
          <w:bCs w:val="0"/>
          <w:i/>
          <w:rtl/>
        </w:rPr>
        <w:t xml:space="preserve"> ولكن الطريقة </w:t>
      </w:r>
      <w:r w:rsidR="00D05FEB">
        <w:rPr>
          <w:rFonts w:hint="cs"/>
          <w:b w:val="0"/>
          <w:bCs w:val="0"/>
          <w:i/>
          <w:rtl/>
        </w:rPr>
        <w:t xml:space="preserve">المقترحة في </w:t>
      </w:r>
      <w:r w:rsidR="00D05FEB">
        <w:rPr>
          <w:rFonts w:hint="cs"/>
          <w:b w:val="0"/>
          <w:bCs w:val="0"/>
          <w:rtl/>
          <w:lang w:bidi="ar-EG"/>
        </w:rPr>
        <w:t>الإضافة</w:t>
      </w:r>
      <w:r w:rsidR="00A00CFF">
        <w:rPr>
          <w:rFonts w:hint="eastAsia"/>
          <w:b w:val="0"/>
          <w:bCs w:val="0"/>
          <w:i/>
          <w:rtl/>
          <w:lang w:bidi="ar-EG"/>
        </w:rPr>
        <w:t> </w:t>
      </w:r>
      <w:r w:rsidR="00D05FEB" w:rsidRPr="00A00CFF">
        <w:rPr>
          <w:b w:val="0"/>
          <w:bCs w:val="0"/>
          <w:iCs/>
          <w:lang w:bidi="ar-EG"/>
        </w:rPr>
        <w:t>20</w:t>
      </w:r>
      <w:r w:rsidR="00D05FEB" w:rsidRPr="00A00CFF">
        <w:rPr>
          <w:rFonts w:hint="cs"/>
          <w:b w:val="0"/>
          <w:bCs w:val="0"/>
          <w:i/>
          <w:rtl/>
          <w:lang w:bidi="ar-EG"/>
        </w:rPr>
        <w:t xml:space="preserve"> </w:t>
      </w:r>
      <w:r w:rsidR="00D05FEB" w:rsidRPr="009741FF">
        <w:rPr>
          <w:rFonts w:hint="cs"/>
          <w:b w:val="0"/>
          <w:bCs w:val="0"/>
          <w:i/>
          <w:rtl/>
          <w:lang w:bidi="ar-EG"/>
        </w:rPr>
        <w:t>للوثيقة</w:t>
      </w:r>
      <w:r w:rsidR="00A00CFF">
        <w:rPr>
          <w:rFonts w:hint="eastAsia"/>
          <w:b w:val="0"/>
          <w:bCs w:val="0"/>
          <w:i/>
          <w:rtl/>
          <w:lang w:bidi="ar-EG"/>
        </w:rPr>
        <w:t> </w:t>
      </w:r>
      <w:r w:rsidR="00D05FEB" w:rsidRPr="00A00CFF">
        <w:rPr>
          <w:b w:val="0"/>
          <w:bCs w:val="0"/>
          <w:iCs/>
          <w:lang w:bidi="ar-EG"/>
        </w:rPr>
        <w:t>46</w:t>
      </w:r>
      <w:r w:rsidR="00D05FEB" w:rsidRPr="00A00CFF">
        <w:rPr>
          <w:rFonts w:hint="cs"/>
          <w:b w:val="0"/>
          <w:bCs w:val="0"/>
          <w:i/>
          <w:rtl/>
          <w:lang w:bidi="ar-EG"/>
        </w:rPr>
        <w:t xml:space="preserve"> </w:t>
      </w:r>
      <w:r w:rsidR="00FA2B98">
        <w:rPr>
          <w:rFonts w:hint="cs"/>
          <w:b w:val="0"/>
          <w:bCs w:val="0"/>
          <w:i/>
          <w:rtl/>
          <w:lang w:bidi="ar-EG"/>
        </w:rPr>
        <w:t>ليست</w:t>
      </w:r>
      <w:r w:rsidR="00A00CFF">
        <w:rPr>
          <w:rFonts w:hint="eastAsia"/>
          <w:b w:val="0"/>
          <w:bCs w:val="0"/>
          <w:i/>
          <w:rtl/>
          <w:lang w:bidi="ar-EG"/>
        </w:rPr>
        <w:t> </w:t>
      </w:r>
      <w:r w:rsidR="00D05FEB">
        <w:rPr>
          <w:rFonts w:hint="cs"/>
          <w:b w:val="0"/>
          <w:bCs w:val="0"/>
          <w:i/>
          <w:rtl/>
          <w:lang w:bidi="ar-EG"/>
        </w:rPr>
        <w:t xml:space="preserve">ملائمة </w:t>
      </w:r>
      <w:r w:rsidR="006A2839">
        <w:rPr>
          <w:rFonts w:hint="cs"/>
          <w:b w:val="0"/>
          <w:bCs w:val="0"/>
          <w:i/>
          <w:rtl/>
          <w:lang w:bidi="ar-EG"/>
        </w:rPr>
        <w:t>إطلاقاً لعمل قطاع تقييس الاتصالات.</w:t>
      </w:r>
    </w:p>
    <w:p w:rsidR="006A2839" w:rsidRPr="00A00CFF" w:rsidRDefault="006A2839" w:rsidP="00A00CFF">
      <w:pPr>
        <w:pStyle w:val="Reasons"/>
        <w:rPr>
          <w:b w:val="0"/>
          <w:bCs w:val="0"/>
          <w:rtl/>
          <w:lang w:bidi="ar-EG"/>
        </w:rPr>
      </w:pPr>
      <w:r w:rsidRPr="00A00CFF">
        <w:rPr>
          <w:rFonts w:hint="cs"/>
          <w:b w:val="0"/>
          <w:bCs w:val="0"/>
          <w:rtl/>
          <w:lang w:bidi="ar-EG"/>
        </w:rPr>
        <w:t xml:space="preserve">وبناءً على ذلك، فإن المقترح المشترك للدول الأعضاء الإفريقية هو </w:t>
      </w:r>
      <w:r w:rsidR="004A3EA4" w:rsidRPr="00A00CFF">
        <w:rPr>
          <w:rFonts w:hint="cs"/>
          <w:b w:val="0"/>
          <w:bCs w:val="0"/>
          <w:rtl/>
          <w:lang w:bidi="ar-EG"/>
        </w:rPr>
        <w:t>عدم إدخال أي</w:t>
      </w:r>
      <w:r w:rsidR="005930BD" w:rsidRPr="00A00CFF">
        <w:rPr>
          <w:rFonts w:hint="cs"/>
          <w:b w:val="0"/>
          <w:bCs w:val="0"/>
          <w:rtl/>
          <w:lang w:bidi="ar-EG"/>
        </w:rPr>
        <w:t>ّ</w:t>
      </w:r>
      <w:r w:rsidR="004A3EA4" w:rsidRPr="00A00CFF">
        <w:rPr>
          <w:rFonts w:hint="cs"/>
          <w:b w:val="0"/>
          <w:bCs w:val="0"/>
          <w:rtl/>
          <w:lang w:bidi="ar-EG"/>
        </w:rPr>
        <w:t xml:space="preserve"> تعديل</w:t>
      </w:r>
      <w:r w:rsidRPr="00A00CFF">
        <w:rPr>
          <w:rFonts w:hint="cs"/>
          <w:b w:val="0"/>
          <w:bCs w:val="0"/>
          <w:rtl/>
          <w:lang w:bidi="ar-EG"/>
        </w:rPr>
        <w:t xml:space="preserve"> </w:t>
      </w:r>
      <w:r w:rsidR="00223680" w:rsidRPr="00A00CFF">
        <w:rPr>
          <w:rFonts w:hint="cs"/>
          <w:b w:val="0"/>
          <w:bCs w:val="0"/>
          <w:rtl/>
        </w:rPr>
        <w:t xml:space="preserve">على </w:t>
      </w:r>
      <w:r w:rsidR="00223680" w:rsidRPr="00A00CFF">
        <w:rPr>
          <w:rFonts w:hint="cs"/>
          <w:b w:val="0"/>
          <w:bCs w:val="0"/>
          <w:rtl/>
          <w:lang w:bidi="ar-EG"/>
        </w:rPr>
        <w:t>التوصية</w:t>
      </w:r>
      <w:r w:rsidR="00A00CFF">
        <w:rPr>
          <w:rFonts w:hint="eastAsia"/>
          <w:b w:val="0"/>
          <w:bCs w:val="0"/>
          <w:rtl/>
          <w:lang w:bidi="ar-EG"/>
        </w:rPr>
        <w:t> </w:t>
      </w:r>
      <w:r w:rsidR="00223680" w:rsidRPr="00A00CFF">
        <w:rPr>
          <w:b w:val="0"/>
          <w:bCs w:val="0"/>
          <w:lang w:val="fr-CH" w:bidi="ar-EG"/>
        </w:rPr>
        <w:t>IT</w:t>
      </w:r>
      <w:r w:rsidR="00A00CFF">
        <w:rPr>
          <w:b w:val="0"/>
          <w:bCs w:val="0"/>
          <w:lang w:val="fr-CH" w:bidi="ar-EG"/>
        </w:rPr>
        <w:t>U</w:t>
      </w:r>
      <w:r w:rsidR="00223680" w:rsidRPr="00A00CFF">
        <w:rPr>
          <w:b w:val="0"/>
          <w:bCs w:val="0"/>
          <w:lang w:val="fr-CH" w:bidi="ar-EG"/>
        </w:rPr>
        <w:t>-T</w:t>
      </w:r>
      <w:r w:rsidR="00A00CFF">
        <w:rPr>
          <w:b w:val="0"/>
          <w:bCs w:val="0"/>
          <w:lang w:val="fr-CH" w:bidi="ar-EG"/>
        </w:rPr>
        <w:t> </w:t>
      </w:r>
      <w:r w:rsidR="00223680" w:rsidRPr="00A00CFF">
        <w:rPr>
          <w:b w:val="0"/>
          <w:bCs w:val="0"/>
          <w:lang w:val="fr-CH" w:bidi="ar-EG"/>
        </w:rPr>
        <w:t>A.13</w:t>
      </w:r>
      <w:r w:rsidR="00A00CFF">
        <w:rPr>
          <w:rFonts w:hint="cs"/>
          <w:b w:val="0"/>
          <w:bCs w:val="0"/>
          <w:rtl/>
          <w:lang w:val="fr-CH" w:bidi="ar-EG"/>
        </w:rPr>
        <w:t>.</w:t>
      </w:r>
    </w:p>
    <w:p w:rsidR="00A23C29" w:rsidRPr="00A23C29" w:rsidRDefault="00C722EB" w:rsidP="00C722EB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A23C29" w:rsidRPr="00A23C29">
      <w:headerReference w:type="default" r:id="rId12"/>
      <w:footerReference w:type="default" r:id="rId13"/>
      <w:footerReference w:type="first" r:id="rId14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420" w:rsidRDefault="00530420" w:rsidP="00E07379">
      <w:pPr>
        <w:spacing w:before="0" w:line="240" w:lineRule="auto"/>
      </w:pPr>
      <w:r>
        <w:separator/>
      </w:r>
    </w:p>
  </w:endnote>
  <w:endnote w:type="continuationSeparator" w:id="0">
    <w:p w:rsidR="00530420" w:rsidRDefault="00530420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447550" w:rsidRDefault="00E07379" w:rsidP="00182280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447550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A00CFF">
      <w:rPr>
        <w:rFonts w:cs="Times New Roman"/>
        <w:noProof/>
        <w:sz w:val="16"/>
        <w:szCs w:val="16"/>
        <w:lang w:val="fr-CH"/>
      </w:rPr>
      <w:t>P:\ARA\ITU-T\CONF-T\WTSA16\000\042ADD19A.docx</w:t>
    </w:r>
    <w:r w:rsidRPr="00E07379">
      <w:rPr>
        <w:rFonts w:cs="Times New Roman"/>
        <w:sz w:val="16"/>
        <w:szCs w:val="16"/>
      </w:rPr>
      <w:fldChar w:fldCharType="end"/>
    </w:r>
    <w:r w:rsidR="00182280">
      <w:rPr>
        <w:rFonts w:cs="Times New Roman"/>
        <w:sz w:val="16"/>
        <w:szCs w:val="16"/>
        <w:lang w:val="fr-CH"/>
      </w:rPr>
      <w:t>   </w:t>
    </w:r>
    <w:r w:rsidR="00447550" w:rsidRPr="00447550">
      <w:rPr>
        <w:rFonts w:cs="Times New Roman"/>
        <w:sz w:val="16"/>
        <w:szCs w:val="16"/>
        <w:lang w:val="fr-CH"/>
      </w:rPr>
      <w:t>(</w:t>
    </w:r>
    <w:r w:rsidR="00447550">
      <w:rPr>
        <w:rFonts w:cs="Times New Roman"/>
        <w:sz w:val="16"/>
        <w:szCs w:val="16"/>
        <w:lang w:val="fr-CH"/>
      </w:rPr>
      <w:t>406794</w:t>
    </w:r>
    <w:r w:rsidR="00447550" w:rsidRPr="00447550">
      <w:rPr>
        <w:rFonts w:cs="Times New Roman"/>
        <w:sz w:val="16"/>
        <w:szCs w:val="16"/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447550" w:rsidRDefault="0022345D" w:rsidP="00182280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447550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182280">
      <w:rPr>
        <w:noProof/>
        <w:szCs w:val="12"/>
        <w:lang w:val="fr-CH"/>
      </w:rPr>
      <w:t>P:\ARA\ITU-T\CONF-T\WTSA16\000\042ADD19A.docx</w:t>
    </w:r>
    <w:r w:rsidRPr="0022345D">
      <w:rPr>
        <w:szCs w:val="12"/>
      </w:rPr>
      <w:fldChar w:fldCharType="end"/>
    </w:r>
    <w:r w:rsidR="00182280">
      <w:rPr>
        <w:rFonts w:hint="cs"/>
        <w:szCs w:val="12"/>
        <w:rtl/>
        <w:lang w:val="fr-CH"/>
      </w:rPr>
      <w:t> </w:t>
    </w:r>
    <w:r w:rsidR="00182280">
      <w:rPr>
        <w:rFonts w:hint="eastAsia"/>
        <w:szCs w:val="12"/>
        <w:rtl/>
        <w:lang w:val="fr-CH"/>
      </w:rPr>
      <w:t>   </w:t>
    </w:r>
    <w:r w:rsidR="00447550" w:rsidRPr="00447550">
      <w:rPr>
        <w:szCs w:val="12"/>
        <w:lang w:val="fr-CH"/>
      </w:rPr>
      <w:t>(406794)</w:t>
    </w:r>
  </w:p>
  <w:p w:rsidR="00E07379" w:rsidRPr="00447550" w:rsidRDefault="00E07379" w:rsidP="00E07379">
    <w:pPr>
      <w:spacing w:before="0"/>
      <w:rPr>
        <w:rFonts w:hint="cs"/>
        <w:sz w:val="2"/>
        <w:szCs w:val="2"/>
        <w:lang w:val="fr-CH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420" w:rsidRDefault="00530420" w:rsidP="00E07379">
      <w:pPr>
        <w:spacing w:before="0" w:line="240" w:lineRule="auto"/>
      </w:pPr>
      <w:r>
        <w:separator/>
      </w:r>
    </w:p>
  </w:footnote>
  <w:footnote w:type="continuationSeparator" w:id="0">
    <w:p w:rsidR="00530420" w:rsidRDefault="00530420" w:rsidP="00E07379">
      <w:pPr>
        <w:spacing w:before="0" w:line="240" w:lineRule="auto"/>
      </w:pPr>
      <w:r>
        <w:continuationSeparator/>
      </w:r>
    </w:p>
  </w:footnote>
  <w:footnote w:id="1">
    <w:p w:rsidR="0018243A" w:rsidRPr="00A23C29" w:rsidRDefault="005B35B0" w:rsidP="00F856CE">
      <w:pPr>
        <w:pStyle w:val="FootnoteText"/>
      </w:pPr>
      <w:r w:rsidRPr="00A23C29">
        <w:rPr>
          <w:rStyle w:val="FootnoteReference"/>
          <w:rFonts w:cs="Traditional Arabic"/>
          <w:position w:val="0"/>
        </w:rPr>
        <w:footnoteRef/>
      </w:r>
      <w:r w:rsidRPr="00A23C29">
        <w:tab/>
      </w:r>
      <w:r w:rsidRPr="00A23C29">
        <w:rPr>
          <w:rtl/>
        </w:rPr>
        <w:t xml:space="preserve">يشمل هذا المنشور </w:t>
      </w:r>
      <w:r w:rsidRPr="005930BD">
        <w:rPr>
          <w:rtl/>
        </w:rPr>
        <w:t>التوصية</w:t>
      </w:r>
      <w:r w:rsidR="00F856CE">
        <w:rPr>
          <w:rFonts w:hint="cs"/>
          <w:rtl/>
        </w:rPr>
        <w:t xml:space="preserve"> </w:t>
      </w:r>
      <w:r w:rsidRPr="005930BD">
        <w:t>ITU-T A.12</w:t>
      </w:r>
      <w:r w:rsidR="00F856CE">
        <w:rPr>
          <w:rFonts w:hint="cs"/>
          <w:rtl/>
        </w:rPr>
        <w:t xml:space="preserve"> </w:t>
      </w:r>
      <w:r w:rsidRPr="005930BD">
        <w:t>(2008)</w:t>
      </w:r>
      <w:r w:rsidR="007611D7" w:rsidRPr="005930BD">
        <w:rPr>
          <w:rFonts w:hint="cs"/>
          <w:rtl/>
        </w:rPr>
        <w:t xml:space="preserve"> </w:t>
      </w:r>
      <w:r w:rsidRPr="005930BD">
        <w:rPr>
          <w:rtl/>
        </w:rPr>
        <w:t xml:space="preserve">ويتضمن التصويب </w:t>
      </w:r>
      <w:r w:rsidR="00A23C29" w:rsidRPr="005930BD">
        <w:t>1</w:t>
      </w:r>
      <w:r w:rsidRPr="005930BD">
        <w:rPr>
          <w:rtl/>
        </w:rPr>
        <w:t xml:space="preserve"> </w:t>
      </w:r>
      <w:r w:rsidR="00A23C29" w:rsidRPr="005930BD">
        <w:t>(2015)</w:t>
      </w:r>
      <w:r w:rsidRPr="005930BD">
        <w:rPr>
          <w:rtl/>
        </w:rPr>
        <w:t xml:space="preserve"> والتصويب</w:t>
      </w:r>
      <w:r w:rsidR="00A00CFF">
        <w:rPr>
          <w:rFonts w:hint="cs"/>
          <w:rtl/>
        </w:rPr>
        <w:t> </w:t>
      </w:r>
      <w:r w:rsidR="00A23C29" w:rsidRPr="005930BD">
        <w:t>2</w:t>
      </w:r>
      <w:r w:rsidRPr="005930BD">
        <w:rPr>
          <w:rtl/>
        </w:rPr>
        <w:t xml:space="preserve"> </w:t>
      </w:r>
      <w:r w:rsidR="00A23C29" w:rsidRPr="005930BD">
        <w:t>(2016)</w:t>
      </w:r>
      <w:r w:rsidRPr="005930BD">
        <w:rPr>
          <w:rtl/>
        </w:rPr>
        <w:t xml:space="preserve"> لهذه التوصية.</w:t>
      </w:r>
    </w:p>
  </w:footnote>
  <w:footnote w:id="2">
    <w:p w:rsidR="00B16589" w:rsidRDefault="00B16589" w:rsidP="00B16589">
      <w:pPr>
        <w:pStyle w:val="FootnoteText"/>
      </w:pPr>
      <w:r>
        <w:rPr>
          <w:rStyle w:val="FootnoteReference"/>
          <w:rtl/>
        </w:rPr>
        <w:t>1</w:t>
      </w:r>
      <w:r>
        <w:tab/>
      </w:r>
      <w:r w:rsidRPr="00A23C29">
        <w:rPr>
          <w:rFonts w:hint="cs"/>
          <w:rtl/>
        </w:rPr>
        <w:t>يتضمن هذا المنشور صيغة التوصية</w:t>
      </w:r>
      <w:r>
        <w:rPr>
          <w:rFonts w:hint="eastAsia"/>
          <w:rtl/>
        </w:rPr>
        <w:t> </w:t>
      </w:r>
      <w:r w:rsidRPr="00A23C29">
        <w:t>ITU-T A.13</w:t>
      </w:r>
      <w:r w:rsidRPr="00A23C29">
        <w:rPr>
          <w:rFonts w:hint="cs"/>
          <w:rtl/>
        </w:rPr>
        <w:t xml:space="preserve"> التي اعتمدت عام </w:t>
      </w:r>
      <w:r w:rsidRPr="00A23C29">
        <w:t>2000</w:t>
      </w:r>
      <w:r w:rsidRPr="00A23C29">
        <w:rPr>
          <w:rFonts w:hint="cs"/>
          <w:rtl/>
        </w:rPr>
        <w:t xml:space="preserve"> والتعديل </w:t>
      </w:r>
      <w:r w:rsidRPr="00A23C29">
        <w:t>1</w:t>
      </w:r>
      <w:r w:rsidRPr="00A23C29">
        <w:rPr>
          <w:rFonts w:hint="cs"/>
          <w:rtl/>
        </w:rPr>
        <w:t xml:space="preserve"> لها </w:t>
      </w:r>
      <w:r w:rsidRPr="00A23C29">
        <w:t>(2007)</w:t>
      </w:r>
      <w:r w:rsidRPr="00A23C29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182280">
      <w:rPr>
        <w:rStyle w:val="PageNumber"/>
        <w:noProof/>
        <w:sz w:val="18"/>
        <w:szCs w:val="18"/>
      </w:rPr>
      <w:t>3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WTSA16/42(Add.19)-A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356"/>
    <w:rsid w:val="000124CC"/>
    <w:rsid w:val="00012D20"/>
    <w:rsid w:val="00032ADF"/>
    <w:rsid w:val="00046444"/>
    <w:rsid w:val="0006023B"/>
    <w:rsid w:val="00085B74"/>
    <w:rsid w:val="0008638B"/>
    <w:rsid w:val="00090574"/>
    <w:rsid w:val="00092FC2"/>
    <w:rsid w:val="000A1677"/>
    <w:rsid w:val="000A432A"/>
    <w:rsid w:val="000B407F"/>
    <w:rsid w:val="000C4306"/>
    <w:rsid w:val="000F0B1C"/>
    <w:rsid w:val="000F1D42"/>
    <w:rsid w:val="000F4D07"/>
    <w:rsid w:val="000F7FF2"/>
    <w:rsid w:val="00102A03"/>
    <w:rsid w:val="001040A3"/>
    <w:rsid w:val="00132F07"/>
    <w:rsid w:val="001602B2"/>
    <w:rsid w:val="00160FAF"/>
    <w:rsid w:val="00167EB1"/>
    <w:rsid w:val="00173915"/>
    <w:rsid w:val="00182280"/>
    <w:rsid w:val="00195FEA"/>
    <w:rsid w:val="001B3D47"/>
    <w:rsid w:val="001D2CA8"/>
    <w:rsid w:val="001E1D01"/>
    <w:rsid w:val="001F37C0"/>
    <w:rsid w:val="00220947"/>
    <w:rsid w:val="0022345D"/>
    <w:rsid w:val="00223680"/>
    <w:rsid w:val="00225854"/>
    <w:rsid w:val="0023283D"/>
    <w:rsid w:val="00252E0C"/>
    <w:rsid w:val="00254D6D"/>
    <w:rsid w:val="00276881"/>
    <w:rsid w:val="00285660"/>
    <w:rsid w:val="00291D13"/>
    <w:rsid w:val="002978F4"/>
    <w:rsid w:val="002A1387"/>
    <w:rsid w:val="002A7227"/>
    <w:rsid w:val="002B028D"/>
    <w:rsid w:val="002B435E"/>
    <w:rsid w:val="002C4DAE"/>
    <w:rsid w:val="002D6115"/>
    <w:rsid w:val="002E6541"/>
    <w:rsid w:val="002F153E"/>
    <w:rsid w:val="002F5560"/>
    <w:rsid w:val="0030486B"/>
    <w:rsid w:val="00314456"/>
    <w:rsid w:val="0031464D"/>
    <w:rsid w:val="003231B9"/>
    <w:rsid w:val="00323301"/>
    <w:rsid w:val="003275AC"/>
    <w:rsid w:val="00333D29"/>
    <w:rsid w:val="003409F4"/>
    <w:rsid w:val="00357185"/>
    <w:rsid w:val="003A0D4A"/>
    <w:rsid w:val="003C475F"/>
    <w:rsid w:val="003E4132"/>
    <w:rsid w:val="003F678F"/>
    <w:rsid w:val="00411FB6"/>
    <w:rsid w:val="0042686F"/>
    <w:rsid w:val="00434A80"/>
    <w:rsid w:val="004367CE"/>
    <w:rsid w:val="0043783A"/>
    <w:rsid w:val="00443869"/>
    <w:rsid w:val="00447550"/>
    <w:rsid w:val="00452504"/>
    <w:rsid w:val="00457635"/>
    <w:rsid w:val="004712C6"/>
    <w:rsid w:val="004860AB"/>
    <w:rsid w:val="00497703"/>
    <w:rsid w:val="004A3EA4"/>
    <w:rsid w:val="004A5C68"/>
    <w:rsid w:val="004A7441"/>
    <w:rsid w:val="004B735C"/>
    <w:rsid w:val="004C34A0"/>
    <w:rsid w:val="004F0F06"/>
    <w:rsid w:val="00501E0E"/>
    <w:rsid w:val="00516795"/>
    <w:rsid w:val="005204D7"/>
    <w:rsid w:val="005258EB"/>
    <w:rsid w:val="00530420"/>
    <w:rsid w:val="00541949"/>
    <w:rsid w:val="00552BC5"/>
    <w:rsid w:val="005547CC"/>
    <w:rsid w:val="0055516A"/>
    <w:rsid w:val="00555EC9"/>
    <w:rsid w:val="0056374C"/>
    <w:rsid w:val="0056614F"/>
    <w:rsid w:val="005711CC"/>
    <w:rsid w:val="0057656F"/>
    <w:rsid w:val="00576731"/>
    <w:rsid w:val="0059112A"/>
    <w:rsid w:val="0059285F"/>
    <w:rsid w:val="005930BD"/>
    <w:rsid w:val="00597BF7"/>
    <w:rsid w:val="00597CAD"/>
    <w:rsid w:val="005A24B1"/>
    <w:rsid w:val="005B35B0"/>
    <w:rsid w:val="005B7B8A"/>
    <w:rsid w:val="005D5953"/>
    <w:rsid w:val="005D6476"/>
    <w:rsid w:val="005D6C0D"/>
    <w:rsid w:val="005D76C3"/>
    <w:rsid w:val="005E5283"/>
    <w:rsid w:val="005E58F5"/>
    <w:rsid w:val="005F6D75"/>
    <w:rsid w:val="005F7D8A"/>
    <w:rsid w:val="00606660"/>
    <w:rsid w:val="006157A3"/>
    <w:rsid w:val="00616D27"/>
    <w:rsid w:val="00620A9E"/>
    <w:rsid w:val="00620E60"/>
    <w:rsid w:val="00632EEB"/>
    <w:rsid w:val="0063315A"/>
    <w:rsid w:val="0065333E"/>
    <w:rsid w:val="0065591D"/>
    <w:rsid w:val="00662C5A"/>
    <w:rsid w:val="00670AF5"/>
    <w:rsid w:val="00690960"/>
    <w:rsid w:val="006A2839"/>
    <w:rsid w:val="006A456D"/>
    <w:rsid w:val="006C1556"/>
    <w:rsid w:val="006C1C7A"/>
    <w:rsid w:val="006F267F"/>
    <w:rsid w:val="006F63F7"/>
    <w:rsid w:val="006F6F03"/>
    <w:rsid w:val="00706D7A"/>
    <w:rsid w:val="0071046D"/>
    <w:rsid w:val="00726AEC"/>
    <w:rsid w:val="007530CA"/>
    <w:rsid w:val="007611D7"/>
    <w:rsid w:val="00767FB2"/>
    <w:rsid w:val="00772D87"/>
    <w:rsid w:val="0079553D"/>
    <w:rsid w:val="00795785"/>
    <w:rsid w:val="007A4255"/>
    <w:rsid w:val="007B01CC"/>
    <w:rsid w:val="007B2F0B"/>
    <w:rsid w:val="007F552C"/>
    <w:rsid w:val="007F6238"/>
    <w:rsid w:val="007F646C"/>
    <w:rsid w:val="007F6CBC"/>
    <w:rsid w:val="00801FCD"/>
    <w:rsid w:val="008030F1"/>
    <w:rsid w:val="00803D7E"/>
    <w:rsid w:val="00803F08"/>
    <w:rsid w:val="00805088"/>
    <w:rsid w:val="008235CD"/>
    <w:rsid w:val="00823A07"/>
    <w:rsid w:val="00823E48"/>
    <w:rsid w:val="00835FEC"/>
    <w:rsid w:val="008513CB"/>
    <w:rsid w:val="00857EDD"/>
    <w:rsid w:val="00874D9C"/>
    <w:rsid w:val="0089177E"/>
    <w:rsid w:val="008954C1"/>
    <w:rsid w:val="008A1810"/>
    <w:rsid w:val="008A410E"/>
    <w:rsid w:val="008C4127"/>
    <w:rsid w:val="008D7FE3"/>
    <w:rsid w:val="00917694"/>
    <w:rsid w:val="009263CD"/>
    <w:rsid w:val="00930E6D"/>
    <w:rsid w:val="00963042"/>
    <w:rsid w:val="00970BF5"/>
    <w:rsid w:val="00972CA2"/>
    <w:rsid w:val="009741FF"/>
    <w:rsid w:val="00982B28"/>
    <w:rsid w:val="00984EA5"/>
    <w:rsid w:val="00992593"/>
    <w:rsid w:val="00993C65"/>
    <w:rsid w:val="009964A0"/>
    <w:rsid w:val="009A5188"/>
    <w:rsid w:val="009C17E1"/>
    <w:rsid w:val="009C35ED"/>
    <w:rsid w:val="009D0045"/>
    <w:rsid w:val="009E32AE"/>
    <w:rsid w:val="009F1C12"/>
    <w:rsid w:val="00A00CFF"/>
    <w:rsid w:val="00A23C29"/>
    <w:rsid w:val="00A25A43"/>
    <w:rsid w:val="00A3295B"/>
    <w:rsid w:val="00A42AE5"/>
    <w:rsid w:val="00A52B61"/>
    <w:rsid w:val="00A64820"/>
    <w:rsid w:val="00A71DD6"/>
    <w:rsid w:val="00A72033"/>
    <w:rsid w:val="00A723C7"/>
    <w:rsid w:val="00A80E11"/>
    <w:rsid w:val="00A8101B"/>
    <w:rsid w:val="00A86041"/>
    <w:rsid w:val="00A97F94"/>
    <w:rsid w:val="00AB1309"/>
    <w:rsid w:val="00AB3D41"/>
    <w:rsid w:val="00AB3E05"/>
    <w:rsid w:val="00AB5B3A"/>
    <w:rsid w:val="00AC23CD"/>
    <w:rsid w:val="00AC2C52"/>
    <w:rsid w:val="00AD1503"/>
    <w:rsid w:val="00AE7244"/>
    <w:rsid w:val="00AF3FEE"/>
    <w:rsid w:val="00B02F46"/>
    <w:rsid w:val="00B16589"/>
    <w:rsid w:val="00B2000C"/>
    <w:rsid w:val="00B20ADE"/>
    <w:rsid w:val="00B246B3"/>
    <w:rsid w:val="00B2492B"/>
    <w:rsid w:val="00B34C6E"/>
    <w:rsid w:val="00B57116"/>
    <w:rsid w:val="00B66B9A"/>
    <w:rsid w:val="00B82089"/>
    <w:rsid w:val="00B8521D"/>
    <w:rsid w:val="00B970AE"/>
    <w:rsid w:val="00BA1427"/>
    <w:rsid w:val="00BA239B"/>
    <w:rsid w:val="00BD0527"/>
    <w:rsid w:val="00BE2CCA"/>
    <w:rsid w:val="00BE49D0"/>
    <w:rsid w:val="00BF2C38"/>
    <w:rsid w:val="00C23331"/>
    <w:rsid w:val="00C265DA"/>
    <w:rsid w:val="00C27DF1"/>
    <w:rsid w:val="00C327F4"/>
    <w:rsid w:val="00C33BB6"/>
    <w:rsid w:val="00C442F2"/>
    <w:rsid w:val="00C64A7A"/>
    <w:rsid w:val="00C674FE"/>
    <w:rsid w:val="00C722EB"/>
    <w:rsid w:val="00C7297D"/>
    <w:rsid w:val="00C75633"/>
    <w:rsid w:val="00C8242E"/>
    <w:rsid w:val="00C82615"/>
    <w:rsid w:val="00C867DB"/>
    <w:rsid w:val="00CA0680"/>
    <w:rsid w:val="00CA2A38"/>
    <w:rsid w:val="00CA50FF"/>
    <w:rsid w:val="00CA65B1"/>
    <w:rsid w:val="00CB33A8"/>
    <w:rsid w:val="00CC2052"/>
    <w:rsid w:val="00CC3CD2"/>
    <w:rsid w:val="00CC43BE"/>
    <w:rsid w:val="00CD123C"/>
    <w:rsid w:val="00CD2085"/>
    <w:rsid w:val="00CE2EE1"/>
    <w:rsid w:val="00CF347E"/>
    <w:rsid w:val="00CF3FFD"/>
    <w:rsid w:val="00D0494C"/>
    <w:rsid w:val="00D05FEB"/>
    <w:rsid w:val="00D1195B"/>
    <w:rsid w:val="00D14BEB"/>
    <w:rsid w:val="00D21C89"/>
    <w:rsid w:val="00D36FAB"/>
    <w:rsid w:val="00D424DE"/>
    <w:rsid w:val="00D45542"/>
    <w:rsid w:val="00D473D9"/>
    <w:rsid w:val="00D51CD8"/>
    <w:rsid w:val="00D522EE"/>
    <w:rsid w:val="00D77D0F"/>
    <w:rsid w:val="00D93AED"/>
    <w:rsid w:val="00DA1CF0"/>
    <w:rsid w:val="00DB2271"/>
    <w:rsid w:val="00DB5659"/>
    <w:rsid w:val="00DC24B4"/>
    <w:rsid w:val="00DD26E5"/>
    <w:rsid w:val="00DD3770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32189"/>
    <w:rsid w:val="00E325F6"/>
    <w:rsid w:val="00E45211"/>
    <w:rsid w:val="00E734B1"/>
    <w:rsid w:val="00E7380C"/>
    <w:rsid w:val="00E74BE7"/>
    <w:rsid w:val="00E86CC9"/>
    <w:rsid w:val="00E96624"/>
    <w:rsid w:val="00EB2C2C"/>
    <w:rsid w:val="00EC2007"/>
    <w:rsid w:val="00EE067E"/>
    <w:rsid w:val="00F126F1"/>
    <w:rsid w:val="00F2106A"/>
    <w:rsid w:val="00F36D8B"/>
    <w:rsid w:val="00F401D0"/>
    <w:rsid w:val="00F45F2B"/>
    <w:rsid w:val="00F531ED"/>
    <w:rsid w:val="00F57AE4"/>
    <w:rsid w:val="00F67150"/>
    <w:rsid w:val="00F762D4"/>
    <w:rsid w:val="00F84366"/>
    <w:rsid w:val="00F85089"/>
    <w:rsid w:val="00F85564"/>
    <w:rsid w:val="00F856CE"/>
    <w:rsid w:val="00F86CFA"/>
    <w:rsid w:val="00F879A4"/>
    <w:rsid w:val="00F9312A"/>
    <w:rsid w:val="00FA178C"/>
    <w:rsid w:val="00FA2B98"/>
    <w:rsid w:val="00FA3D1C"/>
    <w:rsid w:val="00FB1ADA"/>
    <w:rsid w:val="00FC3453"/>
    <w:rsid w:val="00FD58BD"/>
    <w:rsid w:val="00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7F6238"/>
    <w:rPr>
      <w:rFonts w:ascii="Times New Roman" w:hAnsi="Times New Roman" w:cs="Times New Roman"/>
      <w:b w:val="0"/>
      <w:bCs w:val="0"/>
      <w:i w:val="0"/>
      <w:iCs w:val="0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F6238"/>
    <w:pPr>
      <w:spacing w:before="240"/>
      <w:jc w:val="left"/>
    </w:pPr>
    <w:rPr>
      <w:rFonts w:ascii="Times New Roman Bold" w:hAnsi="Times New Roman Bold"/>
      <w:b/>
      <w:bCs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7F6238"/>
    <w:pPr>
      <w:spacing w:before="180"/>
    </w:p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7F6238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bCs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7F6238"/>
    <w:rPr>
      <w:rFonts w:ascii="Times New Roman" w:hAnsi="Times New Roman" w:cs="Times New Roman"/>
      <w:b w:val="0"/>
      <w:bCs w:val="0"/>
      <w:i w:val="0"/>
      <w:iCs w:val="0"/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F6238"/>
    <w:pPr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7F6238"/>
    <w:rPr>
      <w:iCs w:val="0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DC4BEA"/>
  </w:style>
  <w:style w:type="character" w:customStyle="1" w:styleId="Recdef">
    <w:name w:val="Rec_def"/>
    <w:rsid w:val="00DC4BEA"/>
    <w:rPr>
      <w:b/>
    </w:rPr>
  </w:style>
  <w:style w:type="paragraph" w:customStyle="1" w:styleId="Recdate">
    <w:name w:val="Rec_date"/>
    <w:basedOn w:val="Normal"/>
    <w:next w:val="Normal"/>
    <w:rsid w:val="002178AC"/>
    <w:pPr>
      <w:keepNext/>
      <w:keepLines/>
      <w:tabs>
        <w:tab w:val="clear" w:pos="1134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 italic" w:hAnsi="Times New Roman italic"/>
      <w:i/>
      <w:i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6CC73F53E643B5956215EB24B5E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74087-EB70-408D-8E22-C7803FC4DF36}"/>
      </w:docPartPr>
      <w:docPartBody>
        <w:p w:rsidR="00EC2D0A" w:rsidRDefault="00607E6F" w:rsidP="00607E6F">
          <w:pPr>
            <w:pStyle w:val="456CC73F53E643B5956215EB24B5ECFA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6F"/>
    <w:rsid w:val="003A0EA4"/>
    <w:rsid w:val="00571E4A"/>
    <w:rsid w:val="00607E6F"/>
    <w:rsid w:val="007C4934"/>
    <w:rsid w:val="00820FC4"/>
    <w:rsid w:val="00A45CF0"/>
    <w:rsid w:val="00AA1FC3"/>
    <w:rsid w:val="00B93E8B"/>
    <w:rsid w:val="00C86757"/>
    <w:rsid w:val="00D21850"/>
    <w:rsid w:val="00D94A21"/>
    <w:rsid w:val="00DB71BC"/>
    <w:rsid w:val="00E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E6F"/>
    <w:rPr>
      <w:color w:val="808080"/>
    </w:rPr>
  </w:style>
  <w:style w:type="paragraph" w:customStyle="1" w:styleId="456CC73F53E643B5956215EB24B5ECFA">
    <w:name w:val="456CC73F53E643B5956215EB24B5ECFA"/>
    <w:rsid w:val="00607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6a75aea-81a4-4dc5-9885-ae28c646c5fb">Documents Proposals Manager (DPM)</DPM_x0020_Author>
    <DPM_x0020_File_x0020_name xmlns="86a75aea-81a4-4dc5-9885-ae28c646c5fb">T13-WTSA.16-C-0042!A19!MSW-A</DPM_x0020_File_x0020_name>
    <DPM_x0020_Version xmlns="86a75aea-81a4-4dc5-9885-ae28c646c5fb">DPM_v2016.10.12.1_prod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6a75aea-81a4-4dc5-9885-ae28c646c5fb" targetNamespace="http://schemas.microsoft.com/office/2006/metadata/properties" ma:root="true" ma:fieldsID="d41af5c836d734370eb92e7ee5f83852" ns2:_="" ns3:_="">
    <xsd:import namespace="996b2e75-67fd-4955-a3b0-5ab9934cb50b"/>
    <xsd:import namespace="86a75aea-81a4-4dc5-9885-ae28c646c5f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75aea-81a4-4dc5-9885-ae28c646c5f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www.w3.org/XML/1998/namespace"/>
    <ds:schemaRef ds:uri="86a75aea-81a4-4dc5-9885-ae28c646c5fb"/>
    <ds:schemaRef ds:uri="http://schemas.microsoft.com/office/2006/documentManagement/types"/>
    <ds:schemaRef ds:uri="http://purl.org/dc/dcmitype/"/>
    <ds:schemaRef ds:uri="996b2e75-67fd-4955-a3b0-5ab9934cb50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6a75aea-81a4-4dc5-9885-ae28c646c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3F763-A762-4D96-B3FC-547966A4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T13-WTSA.16-C-0042!A19!MSW-A</vt:lpstr>
      <vt:lpstr>T13-WTSA.16-C-0042!A19!MSW-A</vt:lpstr>
    </vt:vector>
  </TitlesOfParts>
  <Company>International Telecommunication Union (ITU)</Company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T13-WTSA.16-C-0042!A19!MSW-A</dc:title>
  <dc:subject>World Telecommunication Standardization Assembly</dc:subject>
  <dc:creator>Documents Proposals Manager (DPM)</dc:creator>
  <cp:keywords>DPM_v2016.10.12.1_prod</cp:keywords>
  <dc:description>Template used by DPM and CPI for the WTSA-16</dc:description>
  <cp:lastModifiedBy>Awad, Samy</cp:lastModifiedBy>
  <cp:revision>17</cp:revision>
  <cp:lastPrinted>2016-10-19T07:48:00Z</cp:lastPrinted>
  <dcterms:created xsi:type="dcterms:W3CDTF">2016-10-19T09:28:00Z</dcterms:created>
  <dcterms:modified xsi:type="dcterms:W3CDTF">2016-10-19T13:48:00Z</dcterms:modified>
  <cp:category>Conference document</cp:category>
</cp:coreProperties>
</file>