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D96326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D96326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D96326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D96326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D96326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D96326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D9632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C26BA2" w:rsidP="00D96326">
            <w:pPr>
              <w:spacing w:before="0"/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C26BA2" w:rsidP="00D96326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18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42</w:t>
            </w:r>
            <w:r w:rsidRPr="00D6112A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D96326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D96326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10 octobre 2016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D96326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D96326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D9632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RPr="00A00D52" w:rsidTr="00530525">
        <w:trPr>
          <w:cantSplit/>
        </w:trPr>
        <w:tc>
          <w:tcPr>
            <w:tcW w:w="9811" w:type="dxa"/>
            <w:gridSpan w:val="4"/>
          </w:tcPr>
          <w:p w:rsidR="00595780" w:rsidRPr="00B567C6" w:rsidRDefault="00C26BA2" w:rsidP="00D96326">
            <w:pPr>
              <w:pStyle w:val="Source"/>
              <w:rPr>
                <w:lang w:val="fr-CH"/>
              </w:rPr>
            </w:pPr>
            <w:r w:rsidRPr="00B567C6">
              <w:rPr>
                <w:lang w:val="fr-CH"/>
              </w:rPr>
              <w:t>Administrations des pays membres de l</w:t>
            </w:r>
            <w:r w:rsidR="00421A76">
              <w:rPr>
                <w:lang w:val="fr-CH"/>
              </w:rPr>
              <w:t>'</w:t>
            </w:r>
            <w:r w:rsidRPr="00B567C6">
              <w:rPr>
                <w:lang w:val="fr-CH"/>
              </w:rPr>
              <w:t>Union africaine des télécommunications</w:t>
            </w:r>
          </w:p>
        </w:tc>
      </w:tr>
      <w:tr w:rsidR="00595780" w:rsidRPr="00A00D52" w:rsidTr="00530525">
        <w:trPr>
          <w:cantSplit/>
        </w:trPr>
        <w:tc>
          <w:tcPr>
            <w:tcW w:w="9811" w:type="dxa"/>
            <w:gridSpan w:val="4"/>
          </w:tcPr>
          <w:p w:rsidR="00595780" w:rsidRPr="00F93A4F" w:rsidRDefault="004A6EFC" w:rsidP="00D96326">
            <w:pPr>
              <w:pStyle w:val="Title1"/>
              <w:rPr>
                <w:lang w:val="fr-CH"/>
              </w:rPr>
            </w:pPr>
            <w:r>
              <w:rPr>
                <w:lang w:val="fr-CH"/>
              </w:rPr>
              <w:t>projet de nouvelle ré</w:t>
            </w:r>
            <w:r w:rsidR="00F93A4F" w:rsidRPr="00F93A4F">
              <w:rPr>
                <w:lang w:val="fr-CH"/>
              </w:rPr>
              <w:t xml:space="preserve">solution </w:t>
            </w:r>
            <w:r w:rsidR="00C26BA2" w:rsidRPr="00F93A4F">
              <w:rPr>
                <w:lang w:val="fr-CH"/>
              </w:rPr>
              <w:t xml:space="preserve">[AFCP-7] </w:t>
            </w:r>
            <w:r w:rsidR="00F93A4F">
              <w:rPr>
                <w:lang w:val="fr-CH"/>
              </w:rPr>
              <w:t>–</w:t>
            </w:r>
            <w:r w:rsidR="00C26BA2" w:rsidRPr="00F93A4F">
              <w:rPr>
                <w:lang w:val="fr-CH"/>
              </w:rPr>
              <w:t xml:space="preserve"> </w:t>
            </w:r>
            <w:r>
              <w:rPr>
                <w:lang w:val="fr-CH"/>
              </w:rPr>
              <w:t>promouvoir</w:t>
            </w:r>
            <w:r w:rsidR="00F93A4F"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</w:r>
            <w:r w:rsidR="00F93A4F">
              <w:rPr>
                <w:lang w:val="fr-CH"/>
              </w:rPr>
              <w:t>les services financiers sur mobile</w:t>
            </w:r>
          </w:p>
        </w:tc>
      </w:tr>
      <w:tr w:rsidR="00595780" w:rsidRPr="00A00D52" w:rsidTr="00530525">
        <w:trPr>
          <w:cantSplit/>
        </w:trPr>
        <w:tc>
          <w:tcPr>
            <w:tcW w:w="9811" w:type="dxa"/>
            <w:gridSpan w:val="4"/>
          </w:tcPr>
          <w:p w:rsidR="00595780" w:rsidRPr="00F93A4F" w:rsidRDefault="00595780" w:rsidP="00A00D52">
            <w:pPr>
              <w:pStyle w:val="Title2"/>
              <w:spacing w:before="360"/>
              <w:rPr>
                <w:lang w:val="fr-CH"/>
              </w:rPr>
            </w:pPr>
          </w:p>
        </w:tc>
      </w:tr>
    </w:tbl>
    <w:p w:rsidR="00E11197" w:rsidRPr="00F93A4F" w:rsidRDefault="00E11197" w:rsidP="00D96326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A00D52" w:rsidTr="00B567C6">
        <w:trPr>
          <w:cantSplit/>
        </w:trPr>
        <w:tc>
          <w:tcPr>
            <w:tcW w:w="1912" w:type="dxa"/>
          </w:tcPr>
          <w:p w:rsidR="00E11197" w:rsidRPr="00426748" w:rsidRDefault="00E11197" w:rsidP="00D96326">
            <w:r>
              <w:rPr>
                <w:b/>
                <w:bCs/>
              </w:rPr>
              <w:t>Résumé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rPr>
              <w:rFonts w:eastAsia="Times New Roman"/>
              <w:lang w:val="fr-CH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899" w:type="dxa"/>
              </w:tcPr>
              <w:p w:rsidR="00E11197" w:rsidRPr="00382791" w:rsidRDefault="00382791" w:rsidP="00904CE7">
                <w:pPr>
                  <w:rPr>
                    <w:color w:val="000000" w:themeColor="text1"/>
                    <w:lang w:val="fr-CH"/>
                  </w:rPr>
                </w:pPr>
                <w:r w:rsidRPr="00382791">
                  <w:rPr>
                    <w:rFonts w:eastAsia="Times New Roman"/>
                    <w:lang w:val="fr-CH"/>
                  </w:rPr>
                  <w:t xml:space="preserve">Le présent projet de Résolution tient compte des </w:t>
                </w:r>
                <w:r w:rsidR="00FC5492">
                  <w:rPr>
                    <w:rFonts w:eastAsia="Times New Roman"/>
                    <w:lang w:val="fr-CH"/>
                  </w:rPr>
                  <w:t>innovations</w:t>
                </w:r>
                <w:r w:rsidRPr="00382791">
                  <w:rPr>
                    <w:rFonts w:eastAsia="Times New Roman"/>
                    <w:lang w:val="fr-CH"/>
                  </w:rPr>
                  <w:t xml:space="preserve"> récentes dans le domaine des paiements et de la fourniture de services financiers sur mobile qu</w:t>
                </w:r>
                <w:r w:rsidR="00FC5492">
                  <w:rPr>
                    <w:rFonts w:eastAsia="Times New Roman"/>
                    <w:lang w:val="fr-CH"/>
                  </w:rPr>
                  <w:t>i</w:t>
                </w:r>
                <w:r w:rsidRPr="00382791">
                  <w:rPr>
                    <w:rFonts w:eastAsia="Times New Roman"/>
                    <w:lang w:val="fr-CH"/>
                  </w:rPr>
                  <w:t xml:space="preserve"> </w:t>
                </w:r>
                <w:r w:rsidR="00FC5492">
                  <w:rPr>
                    <w:rFonts w:eastAsia="Times New Roman"/>
                    <w:lang w:val="fr-CH"/>
                  </w:rPr>
                  <w:t>se font jour tant</w:t>
                </w:r>
                <w:r w:rsidRPr="00382791">
                  <w:rPr>
                    <w:rFonts w:eastAsia="Times New Roman"/>
                    <w:lang w:val="fr-CH"/>
                  </w:rPr>
                  <w:t xml:space="preserve"> dans les pays développés </w:t>
                </w:r>
                <w:r w:rsidR="00FC5492">
                  <w:rPr>
                    <w:rFonts w:eastAsia="Times New Roman"/>
                    <w:lang w:val="fr-CH"/>
                  </w:rPr>
                  <w:t>que dans les</w:t>
                </w:r>
                <w:r w:rsidRPr="00382791">
                  <w:rPr>
                    <w:rFonts w:eastAsia="Times New Roman"/>
                    <w:lang w:val="fr-CH"/>
                  </w:rPr>
                  <w:t xml:space="preserve"> pays en développement. Elle invite les commissions d</w:t>
                </w:r>
                <w:r w:rsidR="00421A76">
                  <w:rPr>
                    <w:rFonts w:eastAsia="Times New Roman"/>
                    <w:lang w:val="fr-CH"/>
                  </w:rPr>
                  <w:t>'</w:t>
                </w:r>
                <w:r w:rsidRPr="00382791">
                  <w:rPr>
                    <w:rFonts w:eastAsia="Times New Roman"/>
                    <w:lang w:val="fr-CH"/>
                  </w:rPr>
                  <w:t>études concernées de l</w:t>
                </w:r>
                <w:r w:rsidR="00421A76">
                  <w:rPr>
                    <w:rFonts w:eastAsia="Times New Roman"/>
                    <w:lang w:val="fr-CH"/>
                  </w:rPr>
                  <w:t>'</w:t>
                </w:r>
                <w:r w:rsidRPr="00382791">
                  <w:rPr>
                    <w:rFonts w:eastAsia="Times New Roman"/>
                    <w:lang w:val="fr-CH"/>
                  </w:rPr>
                  <w:t>UIT</w:t>
                </w:r>
                <w:r w:rsidR="00904CE7">
                  <w:rPr>
                    <w:rFonts w:eastAsia="Times New Roman"/>
                    <w:lang w:val="fr-CH"/>
                  </w:rPr>
                  <w:noBreakHyphen/>
                </w:r>
                <w:r w:rsidRPr="00382791">
                  <w:rPr>
                    <w:rFonts w:eastAsia="Times New Roman"/>
                    <w:lang w:val="fr-CH"/>
                  </w:rPr>
                  <w:t xml:space="preserve">T </w:t>
                </w:r>
                <w:r w:rsidR="00FC5492">
                  <w:rPr>
                    <w:rFonts w:eastAsia="Times New Roman"/>
                    <w:lang w:val="fr-CH"/>
                  </w:rPr>
                  <w:t xml:space="preserve">à mener des études et à </w:t>
                </w:r>
                <w:r w:rsidRPr="00382791">
                  <w:rPr>
                    <w:rFonts w:eastAsia="Times New Roman"/>
                    <w:lang w:val="fr-CH"/>
                  </w:rPr>
                  <w:t>coordonn</w:t>
                </w:r>
                <w:r w:rsidR="00FC5492">
                  <w:rPr>
                    <w:rFonts w:eastAsia="Times New Roman"/>
                    <w:lang w:val="fr-CH"/>
                  </w:rPr>
                  <w:t>er</w:t>
                </w:r>
                <w:r w:rsidRPr="00382791">
                  <w:rPr>
                    <w:rFonts w:eastAsia="Times New Roman"/>
                    <w:lang w:val="fr-CH"/>
                  </w:rPr>
                  <w:t xml:space="preserve"> leurs activités en </w:t>
                </w:r>
                <w:r w:rsidR="00FC5492">
                  <w:rPr>
                    <w:rFonts w:eastAsia="Times New Roman"/>
                    <w:lang w:val="fr-CH"/>
                  </w:rPr>
                  <w:t>vue de l'élaboration</w:t>
                </w:r>
                <w:r w:rsidRPr="00382791">
                  <w:rPr>
                    <w:rFonts w:eastAsia="Times New Roman"/>
                    <w:lang w:val="fr-CH"/>
                  </w:rPr>
                  <w:t xml:space="preserve"> de nouvelles Recommandations relatives aux transactions financières sur mobile et aux services financiers numériques.</w:t>
                </w:r>
                <w:r w:rsidR="00B567C6" w:rsidRPr="00382791">
                  <w:rPr>
                    <w:rFonts w:eastAsia="Times New Roman"/>
                    <w:lang w:val="fr-CH"/>
                  </w:rPr>
                  <w:t xml:space="preserve"> </w:t>
                </w:r>
              </w:p>
            </w:tc>
          </w:sdtContent>
        </w:sdt>
      </w:tr>
    </w:tbl>
    <w:p w:rsidR="00B567C6" w:rsidRPr="004A6EFC" w:rsidRDefault="00B567C6" w:rsidP="00D96326">
      <w:pPr>
        <w:pStyle w:val="Heading1"/>
        <w:rPr>
          <w:lang w:val="fr-CH"/>
        </w:rPr>
      </w:pPr>
      <w:r w:rsidRPr="004A6EFC">
        <w:rPr>
          <w:lang w:val="fr-CH"/>
        </w:rPr>
        <w:t>1</w:t>
      </w:r>
      <w:r w:rsidRPr="004A6EFC">
        <w:rPr>
          <w:lang w:val="fr-CH"/>
        </w:rPr>
        <w:tab/>
        <w:t xml:space="preserve">Introduction </w:t>
      </w:r>
    </w:p>
    <w:p w:rsidR="00382791" w:rsidRPr="00B567C6" w:rsidRDefault="00382791" w:rsidP="00FC5492">
      <w:pPr>
        <w:rPr>
          <w:lang w:val="fr-CH"/>
        </w:rPr>
      </w:pPr>
      <w:r w:rsidRPr="00382791">
        <w:rPr>
          <w:lang w:val="fr-CH" w:eastAsia="fr-FR"/>
        </w:rPr>
        <w:t xml:space="preserve">Les transactions financières sur mobile sont en passe de devenir un des principaux </w:t>
      </w:r>
      <w:r w:rsidR="00FC5492">
        <w:rPr>
          <w:lang w:val="fr-CH" w:eastAsia="fr-FR"/>
        </w:rPr>
        <w:t xml:space="preserve">leviers </w:t>
      </w:r>
      <w:r w:rsidRPr="00382791">
        <w:rPr>
          <w:lang w:val="fr-CH" w:eastAsia="fr-FR"/>
        </w:rPr>
        <w:t xml:space="preserve">du secteur des télécommunications/TIC </w:t>
      </w:r>
      <w:r w:rsidR="00FC5492">
        <w:rPr>
          <w:lang w:val="fr-CH" w:eastAsia="fr-FR"/>
        </w:rPr>
        <w:t>en faveur du</w:t>
      </w:r>
      <w:r>
        <w:rPr>
          <w:lang w:val="fr-CH" w:eastAsia="fr-FR"/>
        </w:rPr>
        <w:t xml:space="preserve"> développement socio-économique des pays. </w:t>
      </w:r>
      <w:r w:rsidRPr="00382791">
        <w:rPr>
          <w:lang w:val="fr-CH" w:eastAsia="fr-FR"/>
        </w:rPr>
        <w:t>L</w:t>
      </w:r>
      <w:r w:rsidR="00421A76">
        <w:rPr>
          <w:lang w:val="fr-CH" w:eastAsia="fr-FR"/>
        </w:rPr>
        <w:t>'</w:t>
      </w:r>
      <w:r w:rsidRPr="00382791">
        <w:rPr>
          <w:lang w:val="fr-CH" w:eastAsia="fr-FR"/>
        </w:rPr>
        <w:t>utilisation des téléphones mobiles pour les services financiers</w:t>
      </w:r>
      <w:r>
        <w:rPr>
          <w:lang w:val="fr-CH" w:eastAsia="fr-FR"/>
        </w:rPr>
        <w:t xml:space="preserve"> ouvre de</w:t>
      </w:r>
      <w:r w:rsidR="00FC5492">
        <w:rPr>
          <w:lang w:val="fr-CH" w:eastAsia="fr-FR"/>
        </w:rPr>
        <w:t>s</w:t>
      </w:r>
      <w:r>
        <w:rPr>
          <w:lang w:val="fr-CH" w:eastAsia="fr-FR"/>
        </w:rPr>
        <w:t xml:space="preserve"> perspectives </w:t>
      </w:r>
      <w:r w:rsidR="00FC5492">
        <w:rPr>
          <w:lang w:val="fr-CH" w:eastAsia="fr-FR"/>
        </w:rPr>
        <w:t xml:space="preserve">sans précédent pour stimuler la </w:t>
      </w:r>
      <w:r>
        <w:rPr>
          <w:lang w:val="fr-CH" w:eastAsia="fr-FR"/>
        </w:rPr>
        <w:t xml:space="preserve">croissance et </w:t>
      </w:r>
      <w:r w:rsidR="00FC5492">
        <w:rPr>
          <w:lang w:val="fr-CH" w:eastAsia="fr-FR"/>
        </w:rPr>
        <w:t xml:space="preserve">le </w:t>
      </w:r>
      <w:r>
        <w:rPr>
          <w:lang w:val="fr-CH" w:eastAsia="fr-FR"/>
        </w:rPr>
        <w:t xml:space="preserve">développement. </w:t>
      </w:r>
      <w:r w:rsidRPr="00382791">
        <w:rPr>
          <w:lang w:val="fr-CH" w:eastAsia="fr-FR"/>
        </w:rPr>
        <w:t>Les services financiers sur mobile peuvent en effet</w:t>
      </w:r>
      <w:r>
        <w:rPr>
          <w:lang w:val="fr-CH" w:eastAsia="fr-FR"/>
        </w:rPr>
        <w:t xml:space="preserve"> apporter des avantages considérables au secteur des télécommunications/TIC et </w:t>
      </w:r>
      <w:r w:rsidR="00FC5492">
        <w:rPr>
          <w:lang w:val="fr-CH" w:eastAsia="fr-FR"/>
        </w:rPr>
        <w:t>pour l'</w:t>
      </w:r>
      <w:r>
        <w:rPr>
          <w:lang w:val="fr-CH" w:eastAsia="fr-FR"/>
        </w:rPr>
        <w:t xml:space="preserve">inclusion financière. </w:t>
      </w:r>
      <w:r w:rsidRPr="00382791">
        <w:rPr>
          <w:lang w:val="fr-CH" w:eastAsia="fr-FR"/>
        </w:rPr>
        <w:t>Pour pouvoir utiliser largement les applications</w:t>
      </w:r>
      <w:r>
        <w:rPr>
          <w:lang w:val="fr-CH" w:eastAsia="fr-FR"/>
        </w:rPr>
        <w:t xml:space="preserve"> des services financiers sur mobile il faudra mettre en place un système de normes </w:t>
      </w:r>
      <w:r w:rsidR="00FC5492">
        <w:rPr>
          <w:lang w:val="fr-CH" w:eastAsia="fr-FR"/>
        </w:rPr>
        <w:t>applicables</w:t>
      </w:r>
      <w:r>
        <w:rPr>
          <w:lang w:val="fr-CH" w:eastAsia="fr-FR"/>
        </w:rPr>
        <w:t xml:space="preserve"> qui n</w:t>
      </w:r>
      <w:r w:rsidR="00FC5492">
        <w:rPr>
          <w:lang w:val="fr-CH" w:eastAsia="fr-FR"/>
        </w:rPr>
        <w:t>e sont pas encore en place</w:t>
      </w:r>
      <w:r w:rsidR="004C6A0E">
        <w:rPr>
          <w:lang w:val="fr-CH" w:eastAsia="fr-FR"/>
        </w:rPr>
        <w:t>.</w:t>
      </w:r>
    </w:p>
    <w:p w:rsidR="00B567C6" w:rsidRPr="004A6EFC" w:rsidRDefault="00B567C6" w:rsidP="00D96326">
      <w:pPr>
        <w:pStyle w:val="Heading1"/>
        <w:rPr>
          <w:lang w:val="fr-CH"/>
        </w:rPr>
      </w:pPr>
      <w:r w:rsidRPr="004A6EFC">
        <w:rPr>
          <w:lang w:val="fr-CH"/>
        </w:rPr>
        <w:t>2</w:t>
      </w:r>
      <w:r w:rsidRPr="004A6EFC">
        <w:rPr>
          <w:lang w:val="fr-CH"/>
        </w:rPr>
        <w:tab/>
        <w:t>Propos</w:t>
      </w:r>
      <w:r w:rsidR="00382791" w:rsidRPr="004A6EFC">
        <w:rPr>
          <w:lang w:val="fr-CH"/>
        </w:rPr>
        <w:t>ition</w:t>
      </w:r>
    </w:p>
    <w:p w:rsidR="00F776DF" w:rsidRPr="004659AB" w:rsidRDefault="00382791" w:rsidP="00A00D52">
      <w:pPr>
        <w:rPr>
          <w:lang w:val="fr-CH" w:eastAsia="fr-FR"/>
        </w:rPr>
      </w:pPr>
      <w:r w:rsidRPr="004659AB">
        <w:rPr>
          <w:lang w:val="fr-CH" w:eastAsia="fr-FR"/>
        </w:rPr>
        <w:t>En conséquence, les pays membres de l</w:t>
      </w:r>
      <w:r w:rsidR="00421A76">
        <w:rPr>
          <w:lang w:val="fr-CH" w:eastAsia="fr-FR"/>
        </w:rPr>
        <w:t>'</w:t>
      </w:r>
      <w:r w:rsidRPr="004659AB">
        <w:rPr>
          <w:lang w:val="fr-CH" w:eastAsia="fr-FR"/>
        </w:rPr>
        <w:t xml:space="preserve">UAT proposent un projet de nouvelle Résolution </w:t>
      </w:r>
      <w:r w:rsidR="00FC5492">
        <w:rPr>
          <w:lang w:val="fr-CH" w:eastAsia="fr-FR"/>
        </w:rPr>
        <w:t>invitant</w:t>
      </w:r>
      <w:r w:rsidRPr="004659AB">
        <w:rPr>
          <w:lang w:val="fr-CH" w:eastAsia="fr-FR"/>
        </w:rPr>
        <w:t xml:space="preserve"> l</w:t>
      </w:r>
      <w:r w:rsidR="00421A76">
        <w:rPr>
          <w:lang w:val="fr-CH" w:eastAsia="fr-FR"/>
        </w:rPr>
        <w:t>'</w:t>
      </w:r>
      <w:r w:rsidRPr="004659AB">
        <w:rPr>
          <w:lang w:val="fr-CH" w:eastAsia="fr-FR"/>
        </w:rPr>
        <w:t>UIT</w:t>
      </w:r>
      <w:r w:rsidR="00904CE7">
        <w:rPr>
          <w:lang w:val="fr-CH" w:eastAsia="fr-FR"/>
        </w:rPr>
        <w:noBreakHyphen/>
      </w:r>
      <w:r w:rsidRPr="004659AB">
        <w:rPr>
          <w:lang w:val="fr-CH" w:eastAsia="fr-FR"/>
        </w:rPr>
        <w:t>T</w:t>
      </w:r>
      <w:r w:rsidR="00FC5492">
        <w:rPr>
          <w:lang w:val="fr-CH" w:eastAsia="fr-FR"/>
        </w:rPr>
        <w:t xml:space="preserve"> à continuer</w:t>
      </w:r>
      <w:r w:rsidR="004659AB" w:rsidRPr="004659AB">
        <w:rPr>
          <w:lang w:val="fr-CH" w:eastAsia="fr-FR"/>
        </w:rPr>
        <w:t xml:space="preserve"> d</w:t>
      </w:r>
      <w:r w:rsidR="00421A76">
        <w:rPr>
          <w:lang w:val="fr-CH" w:eastAsia="fr-FR"/>
        </w:rPr>
        <w:t>'</w:t>
      </w:r>
      <w:r w:rsidR="004659AB" w:rsidRPr="004659AB">
        <w:rPr>
          <w:lang w:val="fr-CH" w:eastAsia="fr-FR"/>
        </w:rPr>
        <w:t>élaborer les Recommandations nécessaires sur la qualité de service et qualité d</w:t>
      </w:r>
      <w:r w:rsidR="00421A76">
        <w:rPr>
          <w:lang w:val="fr-CH" w:eastAsia="fr-FR"/>
        </w:rPr>
        <w:t>'</w:t>
      </w:r>
      <w:r w:rsidR="004659AB" w:rsidRPr="004659AB">
        <w:rPr>
          <w:lang w:val="fr-CH" w:eastAsia="fr-FR"/>
        </w:rPr>
        <w:t xml:space="preserve">expérience pour les applications et services multimédias </w:t>
      </w:r>
      <w:r w:rsidR="00FC5492">
        <w:rPr>
          <w:lang w:val="fr-CH" w:eastAsia="fr-FR"/>
        </w:rPr>
        <w:t>et à apporter</w:t>
      </w:r>
      <w:r w:rsidR="004659AB" w:rsidRPr="004659AB">
        <w:rPr>
          <w:lang w:val="fr-CH" w:eastAsia="fr-FR"/>
        </w:rPr>
        <w:t xml:space="preserve"> tout l</w:t>
      </w:r>
      <w:r w:rsidR="00421A76">
        <w:rPr>
          <w:lang w:val="fr-CH" w:eastAsia="fr-FR"/>
        </w:rPr>
        <w:t>'</w:t>
      </w:r>
      <w:r w:rsidR="004659AB" w:rsidRPr="004659AB">
        <w:rPr>
          <w:lang w:val="fr-CH" w:eastAsia="fr-FR"/>
        </w:rPr>
        <w:t>appui et toute l</w:t>
      </w:r>
      <w:r w:rsidR="00421A76">
        <w:rPr>
          <w:lang w:val="fr-CH" w:eastAsia="fr-FR"/>
        </w:rPr>
        <w:t>'</w:t>
      </w:r>
      <w:r w:rsidR="004659AB" w:rsidRPr="004659AB">
        <w:rPr>
          <w:lang w:val="fr-CH" w:eastAsia="fr-FR"/>
        </w:rPr>
        <w:t xml:space="preserve">assistance nécessaire pour mener ses études, </w:t>
      </w:r>
      <w:r w:rsidR="00FC5492">
        <w:rPr>
          <w:lang w:val="fr-CH" w:eastAsia="fr-FR"/>
        </w:rPr>
        <w:t xml:space="preserve">à </w:t>
      </w:r>
      <w:r w:rsidR="004659AB" w:rsidRPr="004659AB">
        <w:rPr>
          <w:lang w:val="fr-CH" w:eastAsia="fr-FR"/>
        </w:rPr>
        <w:t xml:space="preserve">organiser des ateliers et </w:t>
      </w:r>
      <w:r w:rsidR="00FC5492">
        <w:rPr>
          <w:lang w:val="fr-CH" w:eastAsia="fr-FR"/>
        </w:rPr>
        <w:t xml:space="preserve">à </w:t>
      </w:r>
      <w:r w:rsidR="004659AB" w:rsidRPr="004659AB">
        <w:rPr>
          <w:lang w:val="fr-CH" w:eastAsia="fr-FR"/>
        </w:rPr>
        <w:t>contribuer à l</w:t>
      </w:r>
      <w:r w:rsidR="00421A76">
        <w:rPr>
          <w:lang w:val="fr-CH" w:eastAsia="fr-FR"/>
        </w:rPr>
        <w:t>'</w:t>
      </w:r>
      <w:r w:rsidR="004659AB" w:rsidRPr="004659AB">
        <w:rPr>
          <w:lang w:val="fr-CH" w:eastAsia="fr-FR"/>
        </w:rPr>
        <w:t>élaboration de Recommandations qui donnent des orientations aux régulateurs</w:t>
      </w:r>
      <w:r w:rsidR="004659AB">
        <w:rPr>
          <w:lang w:val="fr-CH" w:eastAsia="fr-FR"/>
        </w:rPr>
        <w:t xml:space="preserve"> en ce qui concerne les stratégies à mettre en place pour contrôler et </w:t>
      </w:r>
      <w:r w:rsidR="00FC5492">
        <w:rPr>
          <w:lang w:val="fr-CH" w:eastAsia="fr-FR"/>
        </w:rPr>
        <w:t>améliorer</w:t>
      </w:r>
      <w:r w:rsidR="004659AB">
        <w:rPr>
          <w:lang w:val="fr-CH" w:eastAsia="fr-FR"/>
        </w:rPr>
        <w:t xml:space="preserve"> la qualité de service et la qualité d</w:t>
      </w:r>
      <w:r w:rsidR="00421A76">
        <w:rPr>
          <w:lang w:val="fr-CH" w:eastAsia="fr-FR"/>
        </w:rPr>
        <w:t>'</w:t>
      </w:r>
      <w:r w:rsidR="004659AB">
        <w:rPr>
          <w:lang w:val="fr-CH" w:eastAsia="fr-FR"/>
        </w:rPr>
        <w:t xml:space="preserve">expérience </w:t>
      </w:r>
      <w:r w:rsidR="00FC5492">
        <w:rPr>
          <w:lang w:val="fr-CH" w:eastAsia="fr-FR"/>
        </w:rPr>
        <w:t>en ce qui concerne les</w:t>
      </w:r>
      <w:r w:rsidR="004659AB">
        <w:rPr>
          <w:lang w:val="fr-CH" w:eastAsia="fr-FR"/>
        </w:rPr>
        <w:t xml:space="preserve"> services de télécommunication.</w:t>
      </w:r>
      <w:r w:rsidR="00F776DF" w:rsidRPr="004659AB">
        <w:rPr>
          <w:lang w:val="fr-CH"/>
        </w:rPr>
        <w:br w:type="page"/>
      </w:r>
    </w:p>
    <w:p w:rsidR="00C13C17" w:rsidRPr="00B567C6" w:rsidRDefault="00824C45" w:rsidP="00D96326">
      <w:pPr>
        <w:pStyle w:val="Proposal"/>
        <w:rPr>
          <w:lang w:val="fr-CH"/>
        </w:rPr>
      </w:pPr>
      <w:r w:rsidRPr="00B567C6">
        <w:rPr>
          <w:lang w:val="fr-CH"/>
        </w:rPr>
        <w:lastRenderedPageBreak/>
        <w:t>ADD</w:t>
      </w:r>
      <w:r w:rsidRPr="00B567C6">
        <w:rPr>
          <w:lang w:val="fr-CH"/>
        </w:rPr>
        <w:tab/>
        <w:t>AFCP/42A18/1</w:t>
      </w:r>
    </w:p>
    <w:p w:rsidR="00C13C17" w:rsidRPr="00B567C6" w:rsidRDefault="00F071CC" w:rsidP="00D96326">
      <w:pPr>
        <w:pStyle w:val="ResNo"/>
        <w:rPr>
          <w:lang w:val="fr-CH"/>
        </w:rPr>
      </w:pPr>
      <w:r>
        <w:rPr>
          <w:lang w:val="fr-CH"/>
        </w:rPr>
        <w:t>PROJET DE NOUVELLE Ré</w:t>
      </w:r>
      <w:r w:rsidR="00824C45" w:rsidRPr="00B567C6">
        <w:rPr>
          <w:lang w:val="fr-CH"/>
        </w:rPr>
        <w:t>SOLUTION [AFCP-7]</w:t>
      </w:r>
    </w:p>
    <w:p w:rsidR="00C13C17" w:rsidRPr="00C840C5" w:rsidRDefault="00F071CC" w:rsidP="00F071CC">
      <w:pPr>
        <w:pStyle w:val="Restitle"/>
        <w:rPr>
          <w:lang w:val="fr-CH"/>
        </w:rPr>
      </w:pPr>
      <w:r>
        <w:rPr>
          <w:rFonts w:ascii="Times New Roman Bold" w:cs="Times New Roman Bold"/>
          <w:lang w:val="fr-CH"/>
        </w:rPr>
        <w:t>Promouvoir</w:t>
      </w:r>
      <w:r w:rsidR="004659AB">
        <w:rPr>
          <w:rFonts w:ascii="Times New Roman Bold" w:cs="Times New Roman Bold"/>
          <w:lang w:val="fr-CH"/>
        </w:rPr>
        <w:t xml:space="preserve"> les services financiers sur mobile </w:t>
      </w:r>
    </w:p>
    <w:p w:rsidR="00C13C17" w:rsidRDefault="00C840C5" w:rsidP="00D96326">
      <w:pPr>
        <w:pStyle w:val="Resref"/>
      </w:pPr>
      <w:r>
        <w:t>(Hammamet, 2016)</w:t>
      </w:r>
    </w:p>
    <w:p w:rsidR="00C840C5" w:rsidRPr="00D00F86" w:rsidRDefault="00C840C5" w:rsidP="00D96326">
      <w:pPr>
        <w:pStyle w:val="Normalaftertitle"/>
        <w:rPr>
          <w:lang w:val="fr-CH"/>
        </w:rPr>
      </w:pPr>
      <w:r w:rsidRPr="00D00F86">
        <w:rPr>
          <w:lang w:val="fr-CH"/>
        </w:rPr>
        <w:t>L</w:t>
      </w:r>
      <w:r w:rsidR="00421A76">
        <w:rPr>
          <w:lang w:val="fr-CH"/>
        </w:rPr>
        <w:t>'</w:t>
      </w:r>
      <w:r w:rsidRPr="00D00F86">
        <w:rPr>
          <w:lang w:val="fr-CH"/>
        </w:rPr>
        <w:t>Assemblée mondiale de normalisation des télécommunications (</w:t>
      </w:r>
      <w:r>
        <w:rPr>
          <w:lang w:val="fr-CH"/>
        </w:rPr>
        <w:t>Hammamet</w:t>
      </w:r>
      <w:r w:rsidRPr="00D00F86">
        <w:rPr>
          <w:lang w:val="fr-CH"/>
        </w:rPr>
        <w:t>, 201</w:t>
      </w:r>
      <w:r>
        <w:rPr>
          <w:lang w:val="fr-CH"/>
        </w:rPr>
        <w:t>6</w:t>
      </w:r>
      <w:r w:rsidRPr="00D00F86">
        <w:rPr>
          <w:lang w:val="fr-CH"/>
        </w:rPr>
        <w:t>),</w:t>
      </w:r>
    </w:p>
    <w:p w:rsidR="00B567C6" w:rsidRPr="004A6EFC" w:rsidRDefault="00C840C5" w:rsidP="00D96326">
      <w:pPr>
        <w:pStyle w:val="Call"/>
        <w:rPr>
          <w:lang w:val="fr-CH"/>
        </w:rPr>
      </w:pPr>
      <w:r w:rsidRPr="004A6EFC">
        <w:rPr>
          <w:lang w:val="fr-CH"/>
        </w:rPr>
        <w:t>reconnaissant</w:t>
      </w:r>
    </w:p>
    <w:p w:rsidR="00C840C5" w:rsidRPr="004659AB" w:rsidRDefault="00C840C5" w:rsidP="00904CE7">
      <w:pPr>
        <w:rPr>
          <w:lang w:val="fr-CH"/>
        </w:rPr>
      </w:pPr>
      <w:r w:rsidRPr="004659AB">
        <w:rPr>
          <w:i/>
          <w:iCs/>
          <w:lang w:val="fr-CH"/>
        </w:rPr>
        <w:t>a)</w:t>
      </w:r>
      <w:r w:rsidRPr="004659AB">
        <w:rPr>
          <w:lang w:val="fr-CH"/>
        </w:rPr>
        <w:tab/>
      </w:r>
      <w:r w:rsidR="004659AB" w:rsidRPr="004659AB">
        <w:rPr>
          <w:lang w:val="fr-CH"/>
        </w:rPr>
        <w:t>que le Groupe de la normalisation des télécommunications (GCNT) du Secteur de la normalisation des télécommunications de l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>UIT (UIT</w:t>
      </w:r>
      <w:r w:rsidR="00904CE7">
        <w:rPr>
          <w:lang w:val="fr-CH"/>
        </w:rPr>
        <w:noBreakHyphen/>
      </w:r>
      <w:r w:rsidR="004659AB" w:rsidRPr="004659AB">
        <w:rPr>
          <w:lang w:val="fr-CH"/>
        </w:rPr>
        <w:t xml:space="preserve">T) a créé, à </w:t>
      </w:r>
      <w:r w:rsidR="004659AB">
        <w:rPr>
          <w:lang w:val="fr-CH"/>
        </w:rPr>
        <w:t>la réunion qu</w:t>
      </w:r>
      <w:r w:rsidR="00421A76">
        <w:rPr>
          <w:lang w:val="fr-CH"/>
        </w:rPr>
        <w:t>'</w:t>
      </w:r>
      <w:r w:rsidR="004659AB">
        <w:rPr>
          <w:lang w:val="fr-CH"/>
        </w:rPr>
        <w:t xml:space="preserve">il a tenue à Genève du 17 au 20 juin 2014, le </w:t>
      </w:r>
      <w:r w:rsidR="004659AB" w:rsidRPr="004659AB">
        <w:rPr>
          <w:lang w:val="fr-CH"/>
        </w:rPr>
        <w:t>Groupe spécialisé de l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>UIT</w:t>
      </w:r>
      <w:r w:rsidR="00904CE7">
        <w:rPr>
          <w:lang w:val="fr-CH"/>
        </w:rPr>
        <w:noBreakHyphen/>
      </w:r>
      <w:r w:rsidR="004659AB" w:rsidRPr="004659AB">
        <w:rPr>
          <w:lang w:val="fr-CH"/>
        </w:rPr>
        <w:t>T sur les services financiers numériques</w:t>
      </w:r>
      <w:r w:rsidR="004659AB">
        <w:rPr>
          <w:lang w:val="fr-CH"/>
        </w:rPr>
        <w:t xml:space="preserve"> </w:t>
      </w:r>
      <w:r w:rsidR="00F071CC">
        <w:rPr>
          <w:lang w:val="fr-CH"/>
        </w:rPr>
        <w:t>(FG</w:t>
      </w:r>
      <w:r w:rsidR="00F071CC">
        <w:rPr>
          <w:lang w:val="fr-CH"/>
        </w:rPr>
        <w:noBreakHyphen/>
        <w:t xml:space="preserve">DFS) </w:t>
      </w:r>
      <w:r w:rsidR="004659AB">
        <w:rPr>
          <w:lang w:val="fr-CH"/>
        </w:rPr>
        <w:t xml:space="preserve">dont le mandat </w:t>
      </w:r>
      <w:r w:rsidR="00F071CC">
        <w:rPr>
          <w:lang w:val="fr-CH"/>
        </w:rPr>
        <w:t>porte essentiellement</w:t>
      </w:r>
      <w:r w:rsidR="004659AB">
        <w:rPr>
          <w:lang w:val="fr-CH"/>
        </w:rPr>
        <w:t xml:space="preserve"> sur les innovations dans le domaine des paiements et de la fourniture de services financiers</w:t>
      </w:r>
      <w:r w:rsidR="00F071CC">
        <w:rPr>
          <w:lang w:val="fr-CH"/>
        </w:rPr>
        <w:t xml:space="preserve"> au moyen de</w:t>
      </w:r>
      <w:r w:rsidR="004659AB">
        <w:rPr>
          <w:lang w:val="fr-CH"/>
        </w:rPr>
        <w:t xml:space="preserve"> technologies mobiles </w:t>
      </w:r>
      <w:r w:rsidR="002260A6">
        <w:rPr>
          <w:lang w:val="fr-CH"/>
        </w:rPr>
        <w:t xml:space="preserve">qui se font jour, </w:t>
      </w:r>
      <w:r w:rsidR="004659AB">
        <w:rPr>
          <w:lang w:val="fr-CH"/>
        </w:rPr>
        <w:t>tant dans les pays développés que dans les pays en développement</w:t>
      </w:r>
      <w:r w:rsidRPr="004659AB">
        <w:rPr>
          <w:lang w:val="fr-CH"/>
        </w:rPr>
        <w:t>;</w:t>
      </w:r>
    </w:p>
    <w:p w:rsidR="00C840C5" w:rsidRPr="004659AB" w:rsidRDefault="00C840C5" w:rsidP="00904CE7">
      <w:pPr>
        <w:rPr>
          <w:lang w:val="fr-CH"/>
        </w:rPr>
      </w:pPr>
      <w:r w:rsidRPr="004659AB">
        <w:rPr>
          <w:i/>
          <w:iCs/>
          <w:lang w:val="fr-CH"/>
        </w:rPr>
        <w:t>b)</w:t>
      </w:r>
      <w:r w:rsidRPr="004659AB">
        <w:rPr>
          <w:lang w:val="fr-CH"/>
        </w:rPr>
        <w:tab/>
      </w:r>
      <w:r w:rsidR="004659AB" w:rsidRPr="004659AB">
        <w:rPr>
          <w:lang w:val="fr-CH"/>
        </w:rPr>
        <w:t>que la Commission d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>études 3 de l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>UIT</w:t>
      </w:r>
      <w:r w:rsidR="00904CE7">
        <w:rPr>
          <w:lang w:val="fr-CH"/>
        </w:rPr>
        <w:noBreakHyphen/>
      </w:r>
      <w:r w:rsidR="004659AB" w:rsidRPr="004659AB">
        <w:rPr>
          <w:lang w:val="fr-CH"/>
        </w:rPr>
        <w:t xml:space="preserve">T a participé </w:t>
      </w:r>
      <w:r w:rsidR="0003015D">
        <w:rPr>
          <w:lang w:val="fr-CH"/>
        </w:rPr>
        <w:t>à l'étude des</w:t>
      </w:r>
      <w:r w:rsidR="004659AB" w:rsidRPr="004659AB">
        <w:rPr>
          <w:lang w:val="fr-CH"/>
        </w:rPr>
        <w:t xml:space="preserve"> services financiers sur mobile</w:t>
      </w:r>
      <w:r w:rsidR="004659AB">
        <w:rPr>
          <w:lang w:val="fr-CH"/>
        </w:rPr>
        <w:t xml:space="preserve">, </w:t>
      </w:r>
      <w:r w:rsidR="0003015D">
        <w:rPr>
          <w:lang w:val="fr-CH"/>
        </w:rPr>
        <w:t>dans le cadre</w:t>
      </w:r>
      <w:r w:rsidR="004659AB">
        <w:rPr>
          <w:lang w:val="fr-CH"/>
        </w:rPr>
        <w:t xml:space="preserve"> de son Groupe du Rapporteur, dans le but d</w:t>
      </w:r>
      <w:r w:rsidR="00421A76">
        <w:rPr>
          <w:lang w:val="fr-CH"/>
        </w:rPr>
        <w:t>'</w:t>
      </w:r>
      <w:r w:rsidR="004659AB">
        <w:rPr>
          <w:lang w:val="fr-CH"/>
        </w:rPr>
        <w:t>élaborer des normes en la matière, en collaboration avec les organisations de normalisation co</w:t>
      </w:r>
      <w:r w:rsidR="0003015D">
        <w:rPr>
          <w:lang w:val="fr-CH"/>
        </w:rPr>
        <w:t>ncernées</w:t>
      </w:r>
      <w:r w:rsidRPr="004659AB">
        <w:rPr>
          <w:lang w:val="fr-CH"/>
        </w:rPr>
        <w:t>,</w:t>
      </w:r>
    </w:p>
    <w:p w:rsidR="00C840C5" w:rsidRPr="004A6EFC" w:rsidRDefault="00C840C5" w:rsidP="00D96326">
      <w:pPr>
        <w:pStyle w:val="Call"/>
        <w:rPr>
          <w:lang w:val="fr-CH"/>
        </w:rPr>
      </w:pPr>
      <w:r w:rsidRPr="004A6EFC">
        <w:rPr>
          <w:lang w:val="fr-CH"/>
        </w:rPr>
        <w:t>consid</w:t>
      </w:r>
      <w:r w:rsidR="002D3D19" w:rsidRPr="004A6EFC">
        <w:rPr>
          <w:lang w:val="fr-CH"/>
        </w:rPr>
        <w:t>érant</w:t>
      </w:r>
    </w:p>
    <w:p w:rsidR="00C840C5" w:rsidRPr="004659AB" w:rsidRDefault="00C840C5" w:rsidP="0003015D">
      <w:pPr>
        <w:rPr>
          <w:lang w:val="fr-CH"/>
        </w:rPr>
      </w:pPr>
      <w:r w:rsidRPr="004659AB">
        <w:rPr>
          <w:i/>
          <w:iCs/>
          <w:lang w:val="fr-CH"/>
        </w:rPr>
        <w:t>a)</w:t>
      </w:r>
      <w:r w:rsidRPr="004659AB">
        <w:rPr>
          <w:lang w:val="fr-CH"/>
        </w:rPr>
        <w:tab/>
      </w:r>
      <w:r w:rsidR="004659AB" w:rsidRPr="004659AB">
        <w:rPr>
          <w:lang w:val="fr-CH"/>
        </w:rPr>
        <w:t>que l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 xml:space="preserve">utilisation des téléphones mobiles pour les services financiers numériques ouvre des perspectives </w:t>
      </w:r>
      <w:r w:rsidR="0003015D">
        <w:rPr>
          <w:lang w:val="fr-CH"/>
        </w:rPr>
        <w:t>sans précédent pour stimuler la croissance et l</w:t>
      </w:r>
      <w:r w:rsidR="004659AB">
        <w:rPr>
          <w:lang w:val="fr-CH"/>
        </w:rPr>
        <w:t>e développement</w:t>
      </w:r>
      <w:r w:rsidRPr="004659AB">
        <w:rPr>
          <w:lang w:val="fr-CH"/>
        </w:rPr>
        <w:t>;</w:t>
      </w:r>
    </w:p>
    <w:p w:rsidR="00C840C5" w:rsidRPr="004659AB" w:rsidRDefault="00C840C5" w:rsidP="0003015D">
      <w:pPr>
        <w:rPr>
          <w:lang w:val="fr-CH"/>
        </w:rPr>
      </w:pPr>
      <w:r w:rsidRPr="004659AB">
        <w:rPr>
          <w:i/>
          <w:iCs/>
          <w:lang w:val="fr-CH"/>
        </w:rPr>
        <w:t>b)</w:t>
      </w:r>
      <w:r w:rsidRPr="004659AB">
        <w:rPr>
          <w:lang w:val="fr-CH"/>
        </w:rPr>
        <w:tab/>
      </w:r>
      <w:r w:rsidR="004659AB" w:rsidRPr="004659AB">
        <w:rPr>
          <w:lang w:val="fr-CH"/>
        </w:rPr>
        <w:t xml:space="preserve">que les services financiers sur mobile </w:t>
      </w:r>
      <w:r w:rsidR="004659AB">
        <w:rPr>
          <w:lang w:val="fr-CH"/>
        </w:rPr>
        <w:t xml:space="preserve">peuvent apporter </w:t>
      </w:r>
      <w:r w:rsidR="0003015D">
        <w:rPr>
          <w:lang w:val="fr-CH"/>
        </w:rPr>
        <w:t xml:space="preserve">de nombreux avantages </w:t>
      </w:r>
      <w:r w:rsidR="004659AB">
        <w:rPr>
          <w:lang w:val="fr-CH"/>
        </w:rPr>
        <w:t xml:space="preserve">au secteur des télécommunications/TIC </w:t>
      </w:r>
      <w:r w:rsidR="0003015D">
        <w:rPr>
          <w:lang w:val="fr-CH"/>
        </w:rPr>
        <w:t>et pour</w:t>
      </w:r>
      <w:r w:rsidR="004659AB">
        <w:rPr>
          <w:lang w:val="fr-CH"/>
        </w:rPr>
        <w:t xml:space="preserve"> l</w:t>
      </w:r>
      <w:r w:rsidR="00421A76">
        <w:rPr>
          <w:lang w:val="fr-CH"/>
        </w:rPr>
        <w:t>'</w:t>
      </w:r>
      <w:r w:rsidR="004659AB">
        <w:rPr>
          <w:lang w:val="fr-CH"/>
        </w:rPr>
        <w:t>inclusion financière</w:t>
      </w:r>
      <w:r w:rsidRPr="004659AB">
        <w:rPr>
          <w:lang w:val="fr-CH"/>
        </w:rPr>
        <w:t>;</w:t>
      </w:r>
    </w:p>
    <w:p w:rsidR="00C840C5" w:rsidRPr="004659AB" w:rsidRDefault="00C840C5" w:rsidP="00A00D52">
      <w:pPr>
        <w:rPr>
          <w:rFonts w:eastAsia="Times New Roman"/>
          <w:lang w:val="fr-CH"/>
        </w:rPr>
      </w:pPr>
      <w:r w:rsidRPr="004659AB">
        <w:rPr>
          <w:rFonts w:eastAsia="Times New Roman"/>
          <w:i/>
          <w:iCs/>
          <w:lang w:val="fr-CH"/>
        </w:rPr>
        <w:t>c)</w:t>
      </w:r>
      <w:r w:rsidRPr="004659AB">
        <w:rPr>
          <w:rFonts w:eastAsia="Times New Roman"/>
          <w:lang w:val="fr-CH"/>
        </w:rPr>
        <w:tab/>
      </w:r>
      <w:r w:rsidR="004659AB" w:rsidRPr="004659AB">
        <w:rPr>
          <w:rFonts w:eastAsia="Times New Roman"/>
          <w:lang w:val="fr-CH"/>
        </w:rPr>
        <w:t>qu</w:t>
      </w:r>
      <w:r w:rsidR="00421A76">
        <w:rPr>
          <w:rFonts w:eastAsia="Times New Roman"/>
          <w:lang w:val="fr-CH"/>
        </w:rPr>
        <w:t>'</w:t>
      </w:r>
      <w:r w:rsidR="0003015D">
        <w:rPr>
          <w:rFonts w:eastAsia="Times New Roman"/>
          <w:lang w:val="fr-CH"/>
        </w:rPr>
        <w:t>une utilisation général</w:t>
      </w:r>
      <w:r w:rsidR="00A00D52">
        <w:rPr>
          <w:rFonts w:eastAsia="Times New Roman"/>
          <w:lang w:val="fr-CH"/>
        </w:rPr>
        <w:t>e</w:t>
      </w:r>
      <w:r w:rsidR="0003015D">
        <w:rPr>
          <w:rFonts w:eastAsia="Times New Roman"/>
          <w:lang w:val="fr-CH"/>
        </w:rPr>
        <w:t xml:space="preserve"> des applications des services financiers sur mobile nécessitera </w:t>
      </w:r>
      <w:r w:rsidR="004659AB" w:rsidRPr="004659AB">
        <w:rPr>
          <w:rFonts w:eastAsia="Times New Roman"/>
          <w:lang w:val="fr-CH"/>
        </w:rPr>
        <w:t xml:space="preserve">un système de normes </w:t>
      </w:r>
      <w:r w:rsidR="0003015D">
        <w:rPr>
          <w:rFonts w:eastAsia="Times New Roman"/>
          <w:lang w:val="fr-CH"/>
        </w:rPr>
        <w:t>applicables</w:t>
      </w:r>
      <w:r w:rsidR="004659AB" w:rsidRPr="004659AB">
        <w:rPr>
          <w:rFonts w:eastAsia="Times New Roman"/>
          <w:lang w:val="fr-CH"/>
        </w:rPr>
        <w:t xml:space="preserve"> </w:t>
      </w:r>
      <w:r w:rsidR="004659AB">
        <w:rPr>
          <w:rFonts w:eastAsia="Times New Roman"/>
          <w:lang w:val="fr-CH"/>
        </w:rPr>
        <w:t>qui n</w:t>
      </w:r>
      <w:r w:rsidR="0003015D">
        <w:rPr>
          <w:rFonts w:eastAsia="Times New Roman"/>
          <w:lang w:val="fr-CH"/>
        </w:rPr>
        <w:t>e sont pas</w:t>
      </w:r>
      <w:r w:rsidR="004659AB">
        <w:rPr>
          <w:rFonts w:eastAsia="Times New Roman"/>
          <w:lang w:val="fr-CH"/>
        </w:rPr>
        <w:t xml:space="preserve"> encore </w:t>
      </w:r>
      <w:r w:rsidR="0003015D">
        <w:rPr>
          <w:rFonts w:eastAsia="Times New Roman"/>
          <w:lang w:val="fr-CH"/>
        </w:rPr>
        <w:t>en place</w:t>
      </w:r>
      <w:r w:rsidRPr="004659AB">
        <w:rPr>
          <w:lang w:val="fr-CH"/>
        </w:rPr>
        <w:t>,</w:t>
      </w:r>
      <w:r w:rsidRPr="004659AB">
        <w:rPr>
          <w:rFonts w:eastAsia="Times New Roman"/>
          <w:lang w:val="fr-CH"/>
        </w:rPr>
        <w:t xml:space="preserve"> </w:t>
      </w:r>
    </w:p>
    <w:p w:rsidR="00B567C6" w:rsidRPr="004A6EFC" w:rsidRDefault="002D3D19" w:rsidP="00D96326">
      <w:pPr>
        <w:pStyle w:val="Call"/>
        <w:rPr>
          <w:lang w:val="fr-CH"/>
        </w:rPr>
      </w:pPr>
      <w:r w:rsidRPr="004A6EFC">
        <w:rPr>
          <w:lang w:val="fr-CH"/>
        </w:rPr>
        <w:t>notant</w:t>
      </w:r>
    </w:p>
    <w:p w:rsidR="002D3D19" w:rsidRPr="004659AB" w:rsidRDefault="002D3D19" w:rsidP="00904CE7">
      <w:pPr>
        <w:rPr>
          <w:lang w:val="fr-CH"/>
        </w:rPr>
      </w:pPr>
      <w:r w:rsidRPr="004659AB">
        <w:rPr>
          <w:i/>
          <w:iCs/>
          <w:lang w:val="fr-CH"/>
        </w:rPr>
        <w:t>a)</w:t>
      </w:r>
      <w:r w:rsidRPr="004659AB">
        <w:rPr>
          <w:lang w:val="fr-CH"/>
        </w:rPr>
        <w:tab/>
      </w:r>
      <w:r w:rsidR="004659AB" w:rsidRPr="004659AB">
        <w:rPr>
          <w:lang w:val="fr-CH"/>
        </w:rPr>
        <w:t>que l</w:t>
      </w:r>
      <w:r w:rsidR="00421A76">
        <w:rPr>
          <w:lang w:val="fr-CH"/>
        </w:rPr>
        <w:t>'</w:t>
      </w:r>
      <w:r w:rsidR="004659AB" w:rsidRPr="004659AB">
        <w:rPr>
          <w:lang w:val="fr-CH"/>
        </w:rPr>
        <w:t>UIT</w:t>
      </w:r>
      <w:r w:rsidR="00904CE7">
        <w:rPr>
          <w:lang w:val="fr-CH"/>
        </w:rPr>
        <w:noBreakHyphen/>
      </w:r>
      <w:r w:rsidR="004659AB" w:rsidRPr="004659AB">
        <w:rPr>
          <w:lang w:val="fr-CH"/>
        </w:rPr>
        <w:t xml:space="preserve">T devrait jouer un rôle de premier plan </w:t>
      </w:r>
      <w:r w:rsidR="0003015D">
        <w:rPr>
          <w:lang w:val="fr-CH"/>
        </w:rPr>
        <w:t>dans</w:t>
      </w:r>
      <w:r w:rsidR="004659AB" w:rsidRPr="004659AB">
        <w:rPr>
          <w:lang w:val="fr-CH"/>
        </w:rPr>
        <w:t xml:space="preserve"> la mise en place </w:t>
      </w:r>
      <w:r w:rsidR="00AA7A17">
        <w:rPr>
          <w:lang w:val="fr-CH"/>
        </w:rPr>
        <w:t>du</w:t>
      </w:r>
      <w:r w:rsidR="004659AB" w:rsidRPr="004659AB">
        <w:rPr>
          <w:lang w:val="fr-CH"/>
        </w:rPr>
        <w:t xml:space="preserve"> système</w:t>
      </w:r>
      <w:r w:rsidR="00AA7A17">
        <w:rPr>
          <w:lang w:val="fr-CH"/>
        </w:rPr>
        <w:t xml:space="preserve"> de normes </w:t>
      </w:r>
      <w:r w:rsidR="0003015D">
        <w:rPr>
          <w:lang w:val="fr-CH"/>
        </w:rPr>
        <w:t>applicables relatives aux</w:t>
      </w:r>
      <w:r w:rsidR="00AA7A17">
        <w:rPr>
          <w:lang w:val="fr-CH"/>
        </w:rPr>
        <w:t xml:space="preserve"> services financiers sur mobile</w:t>
      </w:r>
      <w:r w:rsidRPr="004659AB">
        <w:rPr>
          <w:lang w:val="fr-CH"/>
        </w:rPr>
        <w:t>;</w:t>
      </w:r>
    </w:p>
    <w:p w:rsidR="00C840C5" w:rsidRPr="00AA7A17" w:rsidRDefault="002D3D19" w:rsidP="00904CE7">
      <w:pPr>
        <w:rPr>
          <w:lang w:val="fr-CH"/>
        </w:rPr>
      </w:pPr>
      <w:r w:rsidRPr="00AA7A17">
        <w:rPr>
          <w:i/>
          <w:iCs/>
          <w:lang w:val="fr-CH"/>
        </w:rPr>
        <w:t>b)</w:t>
      </w:r>
      <w:r w:rsidRPr="00AA7A17">
        <w:rPr>
          <w:lang w:val="fr-CH"/>
        </w:rPr>
        <w:tab/>
      </w:r>
      <w:r w:rsidR="00AA7A17" w:rsidRPr="00AA7A17">
        <w:rPr>
          <w:lang w:val="fr-CH"/>
        </w:rPr>
        <w:t xml:space="preserve">que le Groupe </w:t>
      </w:r>
      <w:r w:rsidR="00A50B31">
        <w:rPr>
          <w:lang w:val="fr-CH"/>
        </w:rPr>
        <w:t>FG</w:t>
      </w:r>
      <w:r w:rsidR="00A50B31">
        <w:rPr>
          <w:lang w:val="fr-CH"/>
        </w:rPr>
        <w:noBreakHyphen/>
        <w:t xml:space="preserve">DFS </w:t>
      </w:r>
      <w:r w:rsidR="00AA7A17" w:rsidRPr="00AA7A17">
        <w:rPr>
          <w:lang w:val="fr-CH"/>
        </w:rPr>
        <w:t>de l</w:t>
      </w:r>
      <w:r w:rsidR="00421A76">
        <w:rPr>
          <w:lang w:val="fr-CH"/>
        </w:rPr>
        <w:t>'</w:t>
      </w:r>
      <w:r w:rsidR="00AA7A17" w:rsidRPr="00AA7A17">
        <w:rPr>
          <w:lang w:val="fr-CH"/>
        </w:rPr>
        <w:t>UIT</w:t>
      </w:r>
      <w:r w:rsidR="00904CE7">
        <w:rPr>
          <w:lang w:val="fr-CH"/>
        </w:rPr>
        <w:noBreakHyphen/>
      </w:r>
      <w:r w:rsidR="00AA7A17" w:rsidRPr="00AA7A17">
        <w:rPr>
          <w:lang w:val="fr-CH"/>
        </w:rPr>
        <w:t xml:space="preserve">T </w:t>
      </w:r>
      <w:r w:rsidR="00A50B31">
        <w:rPr>
          <w:lang w:val="fr-CH"/>
        </w:rPr>
        <w:t xml:space="preserve">établira </w:t>
      </w:r>
      <w:r w:rsidR="00AA7A17">
        <w:rPr>
          <w:lang w:val="fr-CH"/>
        </w:rPr>
        <w:t xml:space="preserve">une feuille de route </w:t>
      </w:r>
      <w:r w:rsidR="00A50B31">
        <w:rPr>
          <w:lang w:val="fr-CH"/>
        </w:rPr>
        <w:t>sur</w:t>
      </w:r>
      <w:r w:rsidR="00AA7A17">
        <w:rPr>
          <w:lang w:val="fr-CH"/>
        </w:rPr>
        <w:t xml:space="preserve"> la normalisation</w:t>
      </w:r>
      <w:r w:rsidR="00A50B31">
        <w:rPr>
          <w:lang w:val="fr-CH"/>
        </w:rPr>
        <w:t xml:space="preserve"> des</w:t>
      </w:r>
      <w:r w:rsidR="00AA7A17">
        <w:rPr>
          <w:lang w:val="fr-CH"/>
        </w:rPr>
        <w:t xml:space="preserve"> services financiers numériques </w:t>
      </w:r>
      <w:r w:rsidR="00A50B31">
        <w:rPr>
          <w:lang w:val="fr-CH"/>
        </w:rPr>
        <w:t>afin d'en garantir l'</w:t>
      </w:r>
      <w:r w:rsidR="00AA7A17">
        <w:rPr>
          <w:lang w:val="fr-CH"/>
        </w:rPr>
        <w:t>interopérab</w:t>
      </w:r>
      <w:r w:rsidR="00A50B31">
        <w:rPr>
          <w:lang w:val="fr-CH"/>
        </w:rPr>
        <w:t>ilité</w:t>
      </w:r>
      <w:r w:rsidR="00AA7A17">
        <w:rPr>
          <w:lang w:val="fr-CH"/>
        </w:rPr>
        <w:t xml:space="preserve">, </w:t>
      </w:r>
      <w:r w:rsidR="00A50B31">
        <w:rPr>
          <w:lang w:val="fr-CH"/>
        </w:rPr>
        <w:t>collaborera étroitement</w:t>
      </w:r>
      <w:r w:rsidR="00AA7A17">
        <w:rPr>
          <w:lang w:val="fr-CH"/>
        </w:rPr>
        <w:t xml:space="preserve"> avec les commissions d</w:t>
      </w:r>
      <w:r w:rsidR="00421A76">
        <w:rPr>
          <w:lang w:val="fr-CH"/>
        </w:rPr>
        <w:t>'</w:t>
      </w:r>
      <w:r w:rsidR="00AA7A17">
        <w:rPr>
          <w:lang w:val="fr-CH"/>
        </w:rPr>
        <w:t xml:space="preserve">études </w:t>
      </w:r>
      <w:r w:rsidR="00A50B31">
        <w:rPr>
          <w:lang w:val="fr-CH"/>
        </w:rPr>
        <w:t>du Secteur du développement des télécommunications de l'UIT (</w:t>
      </w:r>
      <w:r w:rsidR="00AA7A17">
        <w:rPr>
          <w:lang w:val="fr-CH"/>
        </w:rPr>
        <w:t>UIT</w:t>
      </w:r>
      <w:r w:rsidR="00904CE7">
        <w:rPr>
          <w:lang w:val="fr-CH"/>
        </w:rPr>
        <w:noBreakHyphen/>
      </w:r>
      <w:r w:rsidR="00AA7A17">
        <w:rPr>
          <w:lang w:val="fr-CH"/>
        </w:rPr>
        <w:t>D</w:t>
      </w:r>
      <w:r w:rsidR="00A50B31">
        <w:rPr>
          <w:lang w:val="fr-CH"/>
        </w:rPr>
        <w:t>)</w:t>
      </w:r>
      <w:r w:rsidR="00AA7A17">
        <w:rPr>
          <w:lang w:val="fr-CH"/>
        </w:rPr>
        <w:t xml:space="preserve"> et invitera également les parties qui ne sont pas membres de l</w:t>
      </w:r>
      <w:r w:rsidR="00421A76">
        <w:rPr>
          <w:lang w:val="fr-CH"/>
        </w:rPr>
        <w:t>'</w:t>
      </w:r>
      <w:r w:rsidR="00AA7A17">
        <w:rPr>
          <w:lang w:val="fr-CH"/>
        </w:rPr>
        <w:t>UIT</w:t>
      </w:r>
      <w:r w:rsidR="00904CE7">
        <w:rPr>
          <w:lang w:val="fr-CH"/>
        </w:rPr>
        <w:noBreakHyphen/>
      </w:r>
      <w:r w:rsidR="00AA7A17">
        <w:rPr>
          <w:lang w:val="fr-CH"/>
        </w:rPr>
        <w:t xml:space="preserve">T </w:t>
      </w:r>
      <w:r w:rsidR="002D0D1C">
        <w:rPr>
          <w:lang w:val="fr-CH"/>
        </w:rPr>
        <w:t>à</w:t>
      </w:r>
      <w:r w:rsidR="00A50B31">
        <w:rPr>
          <w:lang w:val="fr-CH"/>
        </w:rPr>
        <w:t xml:space="preserve"> participer à s</w:t>
      </w:r>
      <w:r w:rsidR="00AA7A17">
        <w:rPr>
          <w:lang w:val="fr-CH"/>
        </w:rPr>
        <w:t>es travaux</w:t>
      </w:r>
      <w:r w:rsidRPr="00AA7A17">
        <w:rPr>
          <w:lang w:val="fr-CH"/>
        </w:rPr>
        <w:t>,</w:t>
      </w:r>
    </w:p>
    <w:p w:rsidR="002D3D19" w:rsidRPr="002D3D19" w:rsidRDefault="002D3D19" w:rsidP="00D96326">
      <w:pPr>
        <w:pStyle w:val="Call"/>
        <w:rPr>
          <w:lang w:val="fr-CH"/>
        </w:rPr>
      </w:pPr>
      <w:r w:rsidRPr="002D3D19">
        <w:rPr>
          <w:lang w:val="fr-CH"/>
        </w:rPr>
        <w:t>décide de charger la Commission d</w:t>
      </w:r>
      <w:r w:rsidR="00421A76">
        <w:rPr>
          <w:lang w:val="fr-CH"/>
        </w:rPr>
        <w:t>'</w:t>
      </w:r>
      <w:r w:rsidRPr="002D3D19">
        <w:rPr>
          <w:lang w:val="fr-CH"/>
        </w:rPr>
        <w:t>études 3 de l</w:t>
      </w:r>
      <w:r w:rsidR="00421A76">
        <w:rPr>
          <w:lang w:val="fr-CH"/>
        </w:rPr>
        <w:t>'</w:t>
      </w:r>
      <w:r w:rsidR="00F03EB9">
        <w:rPr>
          <w:lang w:val="fr-CH"/>
        </w:rPr>
        <w:t>UIT</w:t>
      </w:r>
      <w:r w:rsidR="00F03EB9">
        <w:rPr>
          <w:lang w:val="fr-CH"/>
        </w:rPr>
        <w:noBreakHyphen/>
      </w:r>
      <w:r w:rsidRPr="002D3D19">
        <w:rPr>
          <w:lang w:val="fr-CH"/>
        </w:rPr>
        <w:t>T</w:t>
      </w:r>
    </w:p>
    <w:p w:rsidR="002D3D19" w:rsidRPr="002D3D19" w:rsidRDefault="002D3D19" w:rsidP="00805961">
      <w:pPr>
        <w:rPr>
          <w:lang w:val="fr-CH"/>
        </w:rPr>
      </w:pPr>
      <w:r w:rsidRPr="002D3D19">
        <w:rPr>
          <w:lang w:val="fr-CH"/>
        </w:rPr>
        <w:t>1</w:t>
      </w:r>
      <w:r w:rsidRPr="002D3D19">
        <w:rPr>
          <w:lang w:val="fr-CH"/>
        </w:rPr>
        <w:tab/>
        <w:t>de mettre en place les structures nécessaires</w:t>
      </w:r>
      <w:r w:rsidR="00805961">
        <w:rPr>
          <w:lang w:val="fr-CH"/>
        </w:rPr>
        <w:t>,</w:t>
      </w:r>
      <w:r w:rsidRPr="002D3D19">
        <w:rPr>
          <w:lang w:val="fr-CH"/>
        </w:rPr>
        <w:t xml:space="preserve"> au sein de la Commission d</w:t>
      </w:r>
      <w:r w:rsidR="00421A76">
        <w:rPr>
          <w:lang w:val="fr-CH"/>
        </w:rPr>
        <w:t>'</w:t>
      </w:r>
      <w:r w:rsidRPr="002D3D19">
        <w:rPr>
          <w:lang w:val="fr-CH"/>
        </w:rPr>
        <w:t>études 3, en vue d</w:t>
      </w:r>
      <w:r w:rsidR="00421A76">
        <w:rPr>
          <w:lang w:val="fr-CH"/>
        </w:rPr>
        <w:t>'</w:t>
      </w:r>
      <w:r w:rsidRPr="002D3D19">
        <w:rPr>
          <w:lang w:val="fr-CH"/>
        </w:rPr>
        <w:t>intensifier et d</w:t>
      </w:r>
      <w:r w:rsidR="00421A76">
        <w:rPr>
          <w:lang w:val="fr-CH"/>
        </w:rPr>
        <w:t>'</w:t>
      </w:r>
      <w:r w:rsidRPr="002D3D19">
        <w:rPr>
          <w:lang w:val="fr-CH"/>
        </w:rPr>
        <w:t>accélérer les travaux sur</w:t>
      </w:r>
      <w:r w:rsidR="00AA7A17">
        <w:rPr>
          <w:lang w:val="fr-CH"/>
        </w:rPr>
        <w:t xml:space="preserve"> les services financiers sur mobile</w:t>
      </w:r>
      <w:r w:rsidR="00805961">
        <w:rPr>
          <w:lang w:val="fr-CH"/>
        </w:rPr>
        <w:t>, à partir de</w:t>
      </w:r>
      <w:r w:rsidR="00AA7A17">
        <w:rPr>
          <w:lang w:val="fr-CH"/>
        </w:rPr>
        <w:t xml:space="preserve"> la</w:t>
      </w:r>
      <w:r w:rsidRPr="002D3D19">
        <w:rPr>
          <w:lang w:val="fr-CH"/>
        </w:rPr>
        <w:t xml:space="preserve"> première réunion que tiendra cette commission pendant la prochaine période d</w:t>
      </w:r>
      <w:r w:rsidR="00421A76">
        <w:rPr>
          <w:lang w:val="fr-CH"/>
        </w:rPr>
        <w:t>'</w:t>
      </w:r>
      <w:r w:rsidRPr="002D3D19">
        <w:rPr>
          <w:lang w:val="fr-CH"/>
        </w:rPr>
        <w:t>études;</w:t>
      </w:r>
    </w:p>
    <w:p w:rsidR="002D3D19" w:rsidRPr="00AA7A17" w:rsidRDefault="002D3D19" w:rsidP="00904CE7">
      <w:pPr>
        <w:rPr>
          <w:lang w:val="fr-CH"/>
        </w:rPr>
      </w:pPr>
      <w:r w:rsidRPr="00AA7A17">
        <w:rPr>
          <w:lang w:val="fr-CH" w:eastAsia="ko-KR"/>
        </w:rPr>
        <w:t>2</w:t>
      </w:r>
      <w:r w:rsidRPr="00AA7A17">
        <w:rPr>
          <w:lang w:val="fr-CH" w:eastAsia="ko-KR"/>
        </w:rPr>
        <w:tab/>
      </w:r>
      <w:r w:rsidR="00AA7A17" w:rsidRPr="00AA7A17">
        <w:rPr>
          <w:lang w:val="fr-CH" w:eastAsia="ko-KR"/>
        </w:rPr>
        <w:t>d</w:t>
      </w:r>
      <w:r w:rsidR="00805961">
        <w:rPr>
          <w:lang w:val="fr-CH" w:eastAsia="ko-KR"/>
        </w:rPr>
        <w:t>'assurer une coordination</w:t>
      </w:r>
      <w:r w:rsidR="00AA7A17" w:rsidRPr="00AA7A17">
        <w:rPr>
          <w:lang w:val="fr-CH" w:eastAsia="ko-KR"/>
        </w:rPr>
        <w:t xml:space="preserve"> et de collaborer avec les autres commissions d</w:t>
      </w:r>
      <w:r w:rsidR="00421A76">
        <w:rPr>
          <w:lang w:val="fr-CH" w:eastAsia="ko-KR"/>
        </w:rPr>
        <w:t>'</w:t>
      </w:r>
      <w:r w:rsidR="00AA7A17" w:rsidRPr="00AA7A17">
        <w:rPr>
          <w:lang w:val="fr-CH" w:eastAsia="ko-KR"/>
        </w:rPr>
        <w:t>études de l</w:t>
      </w:r>
      <w:r w:rsidR="00421A76">
        <w:rPr>
          <w:lang w:val="fr-CH" w:eastAsia="ko-KR"/>
        </w:rPr>
        <w:t>'</w:t>
      </w:r>
      <w:r w:rsidR="00AA7A17" w:rsidRPr="00AA7A17">
        <w:rPr>
          <w:lang w:val="fr-CH" w:eastAsia="ko-KR"/>
        </w:rPr>
        <w:t>UIT</w:t>
      </w:r>
      <w:r w:rsidR="00904CE7">
        <w:rPr>
          <w:lang w:val="fr-CH" w:eastAsia="ko-KR"/>
        </w:rPr>
        <w:noBreakHyphen/>
      </w:r>
      <w:r w:rsidR="00AA7A17" w:rsidRPr="00AA7A17">
        <w:rPr>
          <w:lang w:val="fr-CH" w:eastAsia="ko-KR"/>
        </w:rPr>
        <w:t xml:space="preserve">T </w:t>
      </w:r>
      <w:r w:rsidR="00AA7A17">
        <w:rPr>
          <w:lang w:val="fr-CH" w:eastAsia="ko-KR"/>
        </w:rPr>
        <w:t>concernées, en particulier les Commissions d</w:t>
      </w:r>
      <w:r w:rsidR="00421A76">
        <w:rPr>
          <w:lang w:val="fr-CH" w:eastAsia="ko-KR"/>
        </w:rPr>
        <w:t>'</w:t>
      </w:r>
      <w:r w:rsidR="00AA7A17">
        <w:rPr>
          <w:lang w:val="fr-CH" w:eastAsia="ko-KR"/>
        </w:rPr>
        <w:t>études 2, 13,</w:t>
      </w:r>
      <w:r w:rsidR="00805961">
        <w:rPr>
          <w:lang w:val="fr-CH" w:eastAsia="ko-KR"/>
        </w:rPr>
        <w:t xml:space="preserve"> </w:t>
      </w:r>
      <w:r w:rsidR="00AA7A17">
        <w:rPr>
          <w:lang w:val="fr-CH" w:eastAsia="ko-KR"/>
        </w:rPr>
        <w:t>16 et 17 ainsi qu</w:t>
      </w:r>
      <w:r w:rsidR="00805961">
        <w:rPr>
          <w:lang w:val="fr-CH" w:eastAsia="ko-KR"/>
        </w:rPr>
        <w:t>'avec</w:t>
      </w:r>
      <w:r w:rsidR="00AA7A17">
        <w:rPr>
          <w:lang w:val="fr-CH" w:eastAsia="ko-KR"/>
        </w:rPr>
        <w:t xml:space="preserve"> les Groupes spécialisés</w:t>
      </w:r>
      <w:r w:rsidRPr="00AA7A17">
        <w:rPr>
          <w:lang w:val="fr-CH" w:eastAsia="ko-KR"/>
        </w:rPr>
        <w:t>,</w:t>
      </w:r>
    </w:p>
    <w:p w:rsidR="002D3D19" w:rsidRPr="00AA7A17" w:rsidRDefault="00AA7A17" w:rsidP="00FD7AD0">
      <w:pPr>
        <w:pStyle w:val="Call"/>
        <w:rPr>
          <w:lang w:val="fr-CH" w:eastAsia="ko-KR"/>
        </w:rPr>
      </w:pPr>
      <w:r w:rsidRPr="00AA7A17">
        <w:rPr>
          <w:lang w:val="fr-CH" w:eastAsia="ko-KR"/>
        </w:rPr>
        <w:t xml:space="preserve">charge le Groupe consultatif de la normalisation des télécommunications </w:t>
      </w:r>
    </w:p>
    <w:p w:rsidR="002D3D19" w:rsidRPr="00AA7A17" w:rsidRDefault="002D3D19" w:rsidP="00FD7AD0">
      <w:pPr>
        <w:keepNext/>
        <w:keepLines/>
        <w:rPr>
          <w:lang w:val="fr-CH"/>
        </w:rPr>
      </w:pPr>
      <w:r w:rsidRPr="00AA7A17">
        <w:rPr>
          <w:lang w:val="fr-CH"/>
        </w:rPr>
        <w:t>1</w:t>
      </w:r>
      <w:r w:rsidRPr="00AA7A17">
        <w:rPr>
          <w:lang w:val="fr-CH"/>
        </w:rPr>
        <w:tab/>
      </w:r>
      <w:r w:rsidR="00AA7A17" w:rsidRPr="00AA7A17">
        <w:rPr>
          <w:lang w:val="fr-CH"/>
        </w:rPr>
        <w:t>d</w:t>
      </w:r>
      <w:r w:rsidR="00421A76">
        <w:rPr>
          <w:lang w:val="fr-CH"/>
        </w:rPr>
        <w:t>'</w:t>
      </w:r>
      <w:r w:rsidR="00AA7A17" w:rsidRPr="00AA7A17">
        <w:rPr>
          <w:lang w:val="fr-CH"/>
        </w:rPr>
        <w:t xml:space="preserve">examiner la question et de </w:t>
      </w:r>
      <w:r w:rsidR="00805961">
        <w:rPr>
          <w:lang w:val="fr-CH"/>
        </w:rPr>
        <w:t>tenir compte des</w:t>
      </w:r>
      <w:r w:rsidR="00AA7A17" w:rsidRPr="00AA7A17">
        <w:rPr>
          <w:lang w:val="fr-CH"/>
        </w:rPr>
        <w:t xml:space="preserve"> contribution</w:t>
      </w:r>
      <w:r w:rsidR="00805961">
        <w:rPr>
          <w:lang w:val="fr-CH"/>
        </w:rPr>
        <w:t>s</w:t>
      </w:r>
      <w:r w:rsidR="00AA7A17" w:rsidRPr="00AA7A17">
        <w:rPr>
          <w:lang w:val="fr-CH"/>
        </w:rPr>
        <w:t xml:space="preserve"> de la Commission d</w:t>
      </w:r>
      <w:r w:rsidR="00421A76">
        <w:rPr>
          <w:lang w:val="fr-CH"/>
        </w:rPr>
        <w:t>'</w:t>
      </w:r>
      <w:r w:rsidR="00AA7A17" w:rsidRPr="00AA7A17">
        <w:rPr>
          <w:lang w:val="fr-CH"/>
        </w:rPr>
        <w:t>études 3 et des autres commissions d</w:t>
      </w:r>
      <w:r w:rsidR="00421A76">
        <w:rPr>
          <w:lang w:val="fr-CH"/>
        </w:rPr>
        <w:t>'</w:t>
      </w:r>
      <w:r w:rsidR="00AA7A17" w:rsidRPr="00AA7A17">
        <w:rPr>
          <w:lang w:val="fr-CH"/>
        </w:rPr>
        <w:t>études concernées et de prendre les mesures nécessaires</w:t>
      </w:r>
      <w:r w:rsidR="00A3128A">
        <w:rPr>
          <w:lang w:val="fr-CH"/>
        </w:rPr>
        <w:t xml:space="preserve">, </w:t>
      </w:r>
      <w:r w:rsidR="00805961">
        <w:rPr>
          <w:lang w:val="fr-CH"/>
        </w:rPr>
        <w:t xml:space="preserve">selon qu'il </w:t>
      </w:r>
      <w:r w:rsidR="00805961">
        <w:rPr>
          <w:lang w:val="fr-CH"/>
        </w:rPr>
        <w:lastRenderedPageBreak/>
        <w:t>conviendra, en vue de</w:t>
      </w:r>
      <w:r w:rsidR="00AA7A17">
        <w:rPr>
          <w:lang w:val="fr-CH"/>
        </w:rPr>
        <w:t xml:space="preserve"> </w:t>
      </w:r>
      <w:r w:rsidR="00A3128A">
        <w:rPr>
          <w:lang w:val="fr-CH"/>
        </w:rPr>
        <w:t xml:space="preserve">déterminer les </w:t>
      </w:r>
      <w:r w:rsidR="00805961">
        <w:rPr>
          <w:lang w:val="fr-CH"/>
        </w:rPr>
        <w:t>activités</w:t>
      </w:r>
      <w:r w:rsidR="00A3128A">
        <w:rPr>
          <w:lang w:val="fr-CH"/>
        </w:rPr>
        <w:t xml:space="preserve"> </w:t>
      </w:r>
      <w:r w:rsidR="00AA7A17">
        <w:rPr>
          <w:lang w:val="fr-CH"/>
        </w:rPr>
        <w:t xml:space="preserve">de normalisation </w:t>
      </w:r>
      <w:r w:rsidR="00805961">
        <w:rPr>
          <w:lang w:val="fr-CH"/>
        </w:rPr>
        <w:t xml:space="preserve">sur les services financiers sur mobile à entreprendre à </w:t>
      </w:r>
      <w:r w:rsidR="00A3128A">
        <w:rPr>
          <w:lang w:val="fr-CH"/>
        </w:rPr>
        <w:t>l</w:t>
      </w:r>
      <w:r w:rsidR="00421A76">
        <w:rPr>
          <w:lang w:val="fr-CH"/>
        </w:rPr>
        <w:t>'</w:t>
      </w:r>
      <w:r w:rsidR="00A3128A">
        <w:rPr>
          <w:lang w:val="fr-CH"/>
        </w:rPr>
        <w:t>UIT</w:t>
      </w:r>
      <w:r w:rsidR="00904CE7">
        <w:rPr>
          <w:lang w:val="fr-CH"/>
        </w:rPr>
        <w:noBreakHyphen/>
      </w:r>
      <w:r w:rsidR="00805961">
        <w:rPr>
          <w:lang w:val="fr-CH"/>
        </w:rPr>
        <w:t>T, à savoir</w:t>
      </w:r>
      <w:r w:rsidRPr="00AA7A17">
        <w:rPr>
          <w:lang w:val="fr-CH"/>
        </w:rPr>
        <w:t>:</w:t>
      </w:r>
    </w:p>
    <w:p w:rsidR="00DC7C53" w:rsidRPr="00DC7C53" w:rsidRDefault="00DC7C53" w:rsidP="00D96326">
      <w:pPr>
        <w:pStyle w:val="enumlev1"/>
        <w:rPr>
          <w:lang w:val="fr-CH"/>
        </w:rPr>
      </w:pPr>
      <w:r>
        <w:rPr>
          <w:lang w:val="fr-CH"/>
        </w:rPr>
        <w:t>i)</w:t>
      </w:r>
      <w:r>
        <w:rPr>
          <w:lang w:val="fr-CH"/>
        </w:rPr>
        <w:tab/>
      </w:r>
      <w:r w:rsidRPr="00DC7C53">
        <w:rPr>
          <w:lang w:val="fr-CH"/>
        </w:rPr>
        <w:t>déterminer la ou les commissions d</w:t>
      </w:r>
      <w:r w:rsidR="00421A76">
        <w:rPr>
          <w:lang w:val="fr-CH"/>
        </w:rPr>
        <w:t>'</w:t>
      </w:r>
      <w:r w:rsidRPr="00DC7C53">
        <w:rPr>
          <w:lang w:val="fr-CH"/>
        </w:rPr>
        <w:t>études compétentes chargées de prendre des mesures de suivi et d</w:t>
      </w:r>
      <w:r w:rsidR="00421A76">
        <w:rPr>
          <w:lang w:val="fr-CH"/>
        </w:rPr>
        <w:t>'</w:t>
      </w:r>
      <w:r w:rsidRPr="00DC7C53">
        <w:rPr>
          <w:lang w:val="fr-CH"/>
        </w:rPr>
        <w:t>établir des modalités d</w:t>
      </w:r>
      <w:r w:rsidR="00421A76">
        <w:rPr>
          <w:lang w:val="fr-CH"/>
        </w:rPr>
        <w:t>'</w:t>
      </w:r>
      <w:r w:rsidRPr="00DC7C53">
        <w:rPr>
          <w:lang w:val="fr-CH"/>
        </w:rPr>
        <w:t>organisation appropriées concernant les</w:t>
      </w:r>
      <w:r w:rsidR="00A3128A">
        <w:rPr>
          <w:lang w:val="fr-CH"/>
        </w:rPr>
        <w:t xml:space="preserve"> services financiers sur mobile</w:t>
      </w:r>
      <w:r w:rsidRPr="00DC7C53">
        <w:rPr>
          <w:lang w:val="fr-CH"/>
        </w:rPr>
        <w:t>;</w:t>
      </w:r>
    </w:p>
    <w:p w:rsidR="00DC7C53" w:rsidRPr="00DC7C53" w:rsidRDefault="00DC7C53" w:rsidP="00D96326">
      <w:pPr>
        <w:pStyle w:val="enumlev1"/>
        <w:rPr>
          <w:lang w:val="fr-CH"/>
        </w:rPr>
      </w:pPr>
      <w:r>
        <w:rPr>
          <w:lang w:val="fr-CH"/>
        </w:rPr>
        <w:t>ii)</w:t>
      </w:r>
      <w:r>
        <w:rPr>
          <w:lang w:val="fr-CH"/>
        </w:rPr>
        <w:tab/>
      </w:r>
      <w:r w:rsidRPr="00DC7C53">
        <w:rPr>
          <w:lang w:val="fr-CH"/>
        </w:rPr>
        <w:t>coordonner les travaux sur les</w:t>
      </w:r>
      <w:r w:rsidR="00A3128A">
        <w:rPr>
          <w:lang w:val="fr-CH"/>
        </w:rPr>
        <w:t xml:space="preserve"> services financiers sur mobile </w:t>
      </w:r>
      <w:r w:rsidRPr="00DC7C53">
        <w:rPr>
          <w:lang w:val="fr-CH"/>
        </w:rPr>
        <w:t>dans l</w:t>
      </w:r>
      <w:r w:rsidR="00421A76">
        <w:rPr>
          <w:lang w:val="fr-CH"/>
        </w:rPr>
        <w:t>'</w:t>
      </w:r>
      <w:r w:rsidRPr="00DC7C53">
        <w:rPr>
          <w:lang w:val="fr-CH"/>
        </w:rPr>
        <w:t>ensemble des commissions d</w:t>
      </w:r>
      <w:r w:rsidR="00421A76">
        <w:rPr>
          <w:lang w:val="fr-CH"/>
        </w:rPr>
        <w:t>'</w:t>
      </w:r>
      <w:r w:rsidRPr="00DC7C53">
        <w:rPr>
          <w:lang w:val="fr-CH"/>
        </w:rPr>
        <w:t>études, en fonction de leur domaine de compétence;</w:t>
      </w:r>
    </w:p>
    <w:p w:rsidR="00DC7C53" w:rsidRPr="00DC7C53" w:rsidRDefault="00DC7C53" w:rsidP="00D96326">
      <w:pPr>
        <w:pStyle w:val="enumlev1"/>
        <w:rPr>
          <w:lang w:val="fr-CH"/>
        </w:rPr>
      </w:pPr>
      <w:r>
        <w:rPr>
          <w:lang w:val="fr-CH"/>
        </w:rPr>
        <w:t>iii)</w:t>
      </w:r>
      <w:r>
        <w:rPr>
          <w:lang w:val="fr-CH"/>
        </w:rPr>
        <w:tab/>
      </w:r>
      <w:r w:rsidRPr="00DC7C53">
        <w:rPr>
          <w:lang w:val="fr-CH"/>
        </w:rPr>
        <w:t>promouvoir la collaboration avec d</w:t>
      </w:r>
      <w:r w:rsidR="00421A76">
        <w:rPr>
          <w:lang w:val="fr-CH"/>
        </w:rPr>
        <w:t>'</w:t>
      </w:r>
      <w:r w:rsidRPr="00DC7C53">
        <w:rPr>
          <w:lang w:val="fr-CH"/>
        </w:rPr>
        <w:t>autres organisations et forums de normalisation s</w:t>
      </w:r>
      <w:r w:rsidR="00421A76">
        <w:rPr>
          <w:lang w:val="fr-CH"/>
        </w:rPr>
        <w:t>'</w:t>
      </w:r>
      <w:r w:rsidRPr="00DC7C53">
        <w:rPr>
          <w:lang w:val="fr-CH"/>
        </w:rPr>
        <w:t>occupant des</w:t>
      </w:r>
      <w:r w:rsidR="00A3128A">
        <w:rPr>
          <w:lang w:val="fr-CH"/>
        </w:rPr>
        <w:t xml:space="preserve"> services financiers sur mobile</w:t>
      </w:r>
      <w:r w:rsidRPr="00DC7C53">
        <w:rPr>
          <w:lang w:val="fr-CH"/>
        </w:rPr>
        <w:t>;</w:t>
      </w:r>
    </w:p>
    <w:p w:rsidR="002D3D19" w:rsidRPr="00DC7C53" w:rsidRDefault="00DC7C53" w:rsidP="00D96326">
      <w:pPr>
        <w:pStyle w:val="enumlev1"/>
        <w:rPr>
          <w:lang w:val="fr-CH"/>
        </w:rPr>
      </w:pPr>
      <w:r>
        <w:rPr>
          <w:lang w:val="fr-CH"/>
        </w:rPr>
        <w:t>iv)</w:t>
      </w:r>
      <w:r>
        <w:rPr>
          <w:lang w:val="fr-CH"/>
        </w:rPr>
        <w:tab/>
      </w:r>
      <w:r w:rsidRPr="00DC7C53">
        <w:rPr>
          <w:lang w:val="fr-CH"/>
        </w:rPr>
        <w:t>définir une vision stratégique claire concernant la normalisation des</w:t>
      </w:r>
      <w:r w:rsidR="00A3128A">
        <w:rPr>
          <w:lang w:val="fr-CH"/>
        </w:rPr>
        <w:t xml:space="preserve"> services financiers sur mobile </w:t>
      </w:r>
      <w:r w:rsidRPr="00DC7C53">
        <w:rPr>
          <w:lang w:val="fr-CH"/>
        </w:rPr>
        <w:t>et le rôle actif et important que l</w:t>
      </w:r>
      <w:r w:rsidR="00421A76">
        <w:rPr>
          <w:lang w:val="fr-CH"/>
        </w:rPr>
        <w:t>'</w:t>
      </w:r>
      <w:r w:rsidR="00F03EB9">
        <w:rPr>
          <w:lang w:val="fr-CH"/>
        </w:rPr>
        <w:t>UIT</w:t>
      </w:r>
      <w:r w:rsidR="00F03EB9">
        <w:rPr>
          <w:lang w:val="fr-CH"/>
        </w:rPr>
        <w:noBreakHyphen/>
      </w:r>
      <w:r w:rsidR="004C6A0E">
        <w:rPr>
          <w:lang w:val="fr-CH"/>
        </w:rPr>
        <w:t>T devrait jouer;</w:t>
      </w:r>
    </w:p>
    <w:p w:rsidR="002D3D19" w:rsidRPr="00A3128A" w:rsidRDefault="00576D16" w:rsidP="00085846">
      <w:pPr>
        <w:rPr>
          <w:lang w:val="fr-CH"/>
        </w:rPr>
      </w:pPr>
      <w:r w:rsidRPr="00A3128A">
        <w:rPr>
          <w:lang w:val="fr-CH"/>
        </w:rPr>
        <w:t>2</w:t>
      </w:r>
      <w:r w:rsidRPr="00A3128A">
        <w:rPr>
          <w:lang w:val="fr-CH"/>
        </w:rPr>
        <w:tab/>
      </w:r>
      <w:r w:rsidR="00A3128A" w:rsidRPr="00A3128A">
        <w:rPr>
          <w:lang w:val="fr-CH"/>
        </w:rPr>
        <w:t>de soumettre au Colloque mon</w:t>
      </w:r>
      <w:r w:rsidR="00A3128A">
        <w:rPr>
          <w:lang w:val="fr-CH"/>
        </w:rPr>
        <w:t>dial des régulateurs</w:t>
      </w:r>
      <w:r w:rsidR="00085846">
        <w:rPr>
          <w:lang w:val="fr-CH"/>
        </w:rPr>
        <w:t xml:space="preserve"> de</w:t>
      </w:r>
      <w:r w:rsidR="00A3128A" w:rsidRPr="00A3128A">
        <w:rPr>
          <w:lang w:val="fr-CH"/>
        </w:rPr>
        <w:t xml:space="preserve"> l</w:t>
      </w:r>
      <w:r w:rsidR="00421A76">
        <w:rPr>
          <w:lang w:val="fr-CH"/>
        </w:rPr>
        <w:t>'</w:t>
      </w:r>
      <w:r w:rsidR="00A3128A" w:rsidRPr="00A3128A">
        <w:rPr>
          <w:lang w:val="fr-CH"/>
        </w:rPr>
        <w:t xml:space="preserve">UIT, </w:t>
      </w:r>
      <w:r w:rsidR="00085846">
        <w:rPr>
          <w:lang w:val="fr-CH"/>
        </w:rPr>
        <w:t xml:space="preserve">pour approbation, </w:t>
      </w:r>
      <w:r w:rsidR="00A3128A">
        <w:rPr>
          <w:lang w:val="fr-CH"/>
        </w:rPr>
        <w:t>la création d</w:t>
      </w:r>
      <w:r w:rsidR="00421A76">
        <w:rPr>
          <w:lang w:val="fr-CH"/>
        </w:rPr>
        <w:t>'</w:t>
      </w:r>
      <w:r w:rsidR="00A3128A">
        <w:rPr>
          <w:lang w:val="fr-CH"/>
        </w:rPr>
        <w:t>un cadre propice aux services financiers sur mobile</w:t>
      </w:r>
      <w:r w:rsidRPr="00A3128A">
        <w:rPr>
          <w:lang w:val="fr-CH"/>
        </w:rPr>
        <w:t>,</w:t>
      </w:r>
    </w:p>
    <w:p w:rsidR="00576D16" w:rsidRDefault="00576D16" w:rsidP="00D96326">
      <w:pPr>
        <w:pStyle w:val="Call"/>
        <w:rPr>
          <w:lang w:val="fr-CH"/>
        </w:rPr>
      </w:pPr>
      <w:r w:rsidRPr="00576D16">
        <w:rPr>
          <w:lang w:val="fr-CH"/>
        </w:rPr>
        <w:t>charge le Directeur du Bureau de la normalisation des télécommunications</w:t>
      </w:r>
    </w:p>
    <w:p w:rsidR="00576D16" w:rsidRPr="00A3128A" w:rsidRDefault="00576D16" w:rsidP="00085846">
      <w:pPr>
        <w:rPr>
          <w:lang w:val="fr-CH"/>
        </w:rPr>
      </w:pPr>
      <w:r w:rsidRPr="00A3128A">
        <w:rPr>
          <w:lang w:val="fr-CH"/>
        </w:rPr>
        <w:t>1</w:t>
      </w:r>
      <w:r w:rsidRPr="00A3128A">
        <w:rPr>
          <w:lang w:val="fr-CH"/>
        </w:rPr>
        <w:tab/>
      </w:r>
      <w:r w:rsidR="00A3128A" w:rsidRPr="00A3128A">
        <w:rPr>
          <w:lang w:val="fr-CH"/>
        </w:rPr>
        <w:t>de fournir les ressources nécessaires</w:t>
      </w:r>
      <w:r w:rsidR="00085846">
        <w:rPr>
          <w:lang w:val="fr-CH"/>
        </w:rPr>
        <w:t>, selon qu'il conviendra</w:t>
      </w:r>
      <w:r w:rsidRPr="00A3128A">
        <w:rPr>
          <w:lang w:val="fr-CH"/>
        </w:rPr>
        <w:t>;</w:t>
      </w:r>
    </w:p>
    <w:p w:rsidR="002D3D19" w:rsidRPr="00A3128A" w:rsidRDefault="00576D16" w:rsidP="00904CE7">
      <w:pPr>
        <w:rPr>
          <w:lang w:val="fr-CH"/>
        </w:rPr>
      </w:pPr>
      <w:r w:rsidRPr="00A3128A">
        <w:rPr>
          <w:lang w:val="fr-CH"/>
        </w:rPr>
        <w:t>2</w:t>
      </w:r>
      <w:r w:rsidRPr="00A3128A">
        <w:rPr>
          <w:lang w:val="fr-CH"/>
        </w:rPr>
        <w:tab/>
      </w:r>
      <w:r w:rsidR="00A3128A" w:rsidRPr="00A3128A">
        <w:rPr>
          <w:lang w:val="fr-CH"/>
        </w:rPr>
        <w:t>d</w:t>
      </w:r>
      <w:r w:rsidR="00421A76">
        <w:rPr>
          <w:lang w:val="fr-CH"/>
        </w:rPr>
        <w:t>'</w:t>
      </w:r>
      <w:r w:rsidR="00A3128A" w:rsidRPr="00A3128A">
        <w:rPr>
          <w:lang w:val="fr-CH"/>
        </w:rPr>
        <w:t>organiser un atelier sur les services financiers sur mobile</w:t>
      </w:r>
      <w:r w:rsidR="00A3128A">
        <w:rPr>
          <w:lang w:val="fr-CH"/>
        </w:rPr>
        <w:t xml:space="preserve"> </w:t>
      </w:r>
      <w:r w:rsidR="00DB09F5">
        <w:rPr>
          <w:lang w:val="fr-CH"/>
        </w:rPr>
        <w:t xml:space="preserve">en 2017, </w:t>
      </w:r>
      <w:r w:rsidR="00A3128A">
        <w:rPr>
          <w:lang w:val="fr-CH"/>
        </w:rPr>
        <w:t xml:space="preserve">afin de promouvoir </w:t>
      </w:r>
      <w:r w:rsidR="00DB09F5">
        <w:rPr>
          <w:lang w:val="fr-CH"/>
        </w:rPr>
        <w:t>ces</w:t>
      </w:r>
      <w:r w:rsidR="00A3128A">
        <w:rPr>
          <w:lang w:val="fr-CH"/>
        </w:rPr>
        <w:t xml:space="preserve"> services </w:t>
      </w:r>
      <w:r w:rsidR="00DB09F5">
        <w:rPr>
          <w:lang w:val="fr-CH"/>
        </w:rPr>
        <w:t xml:space="preserve">dans le cadre </w:t>
      </w:r>
      <w:r w:rsidR="00A3128A">
        <w:rPr>
          <w:lang w:val="fr-CH"/>
        </w:rPr>
        <w:t>de l</w:t>
      </w:r>
      <w:r w:rsidR="00421A76">
        <w:rPr>
          <w:lang w:val="fr-CH"/>
        </w:rPr>
        <w:t>'</w:t>
      </w:r>
      <w:r w:rsidR="00A3128A">
        <w:rPr>
          <w:lang w:val="fr-CH"/>
        </w:rPr>
        <w:t>UIT</w:t>
      </w:r>
      <w:r w:rsidR="00904CE7">
        <w:rPr>
          <w:lang w:val="fr-CH"/>
        </w:rPr>
        <w:noBreakHyphen/>
      </w:r>
      <w:r w:rsidR="00A3128A">
        <w:rPr>
          <w:lang w:val="fr-CH"/>
        </w:rPr>
        <w:t>T</w:t>
      </w:r>
      <w:r w:rsidR="00DB09F5">
        <w:rPr>
          <w:lang w:val="fr-CH"/>
        </w:rPr>
        <w:t>;</w:t>
      </w:r>
    </w:p>
    <w:p w:rsidR="002D3D19" w:rsidRPr="005C34C6" w:rsidRDefault="00576D16" w:rsidP="00F03EB9">
      <w:pPr>
        <w:rPr>
          <w:lang w:val="fr-CH"/>
        </w:rPr>
      </w:pPr>
      <w:r w:rsidRPr="005C34C6">
        <w:rPr>
          <w:lang w:val="fr-CH"/>
        </w:rPr>
        <w:t>3</w:t>
      </w:r>
      <w:r w:rsidRPr="005C34C6">
        <w:rPr>
          <w:lang w:val="fr-CH"/>
        </w:rPr>
        <w:tab/>
      </w:r>
      <w:r w:rsidR="00937CBE">
        <w:rPr>
          <w:lang w:val="fr-CH"/>
        </w:rPr>
        <w:t xml:space="preserve">de mener une étude </w:t>
      </w:r>
      <w:r w:rsidR="00A3128A">
        <w:rPr>
          <w:lang w:val="fr-CH"/>
        </w:rPr>
        <w:t>qui rende</w:t>
      </w:r>
      <w:r w:rsidR="005C34C6" w:rsidRPr="00572B2C">
        <w:rPr>
          <w:lang w:val="fr-CH"/>
        </w:rPr>
        <w:t xml:space="preserve"> compte des lacunes en matièr</w:t>
      </w:r>
      <w:r w:rsidR="00A3128A">
        <w:rPr>
          <w:lang w:val="fr-CH"/>
        </w:rPr>
        <w:t xml:space="preserve">e de normalisation et présente </w:t>
      </w:r>
      <w:r w:rsidR="005C34C6" w:rsidRPr="00572B2C">
        <w:rPr>
          <w:lang w:val="fr-CH"/>
        </w:rPr>
        <w:t>des solutions pou</w:t>
      </w:r>
      <w:r w:rsidR="00A3128A">
        <w:rPr>
          <w:lang w:val="fr-CH"/>
        </w:rPr>
        <w:t>r y remédier, et qui définisse</w:t>
      </w:r>
      <w:r w:rsidR="005C34C6" w:rsidRPr="00572B2C">
        <w:rPr>
          <w:lang w:val="fr-CH"/>
        </w:rPr>
        <w:t xml:space="preserve"> les futurs travaux de normalisation des commissions d</w:t>
      </w:r>
      <w:r w:rsidR="00421A76">
        <w:rPr>
          <w:lang w:val="fr-CH"/>
        </w:rPr>
        <w:t>'</w:t>
      </w:r>
      <w:r w:rsidR="005C34C6" w:rsidRPr="00572B2C">
        <w:rPr>
          <w:lang w:val="fr-CH"/>
        </w:rPr>
        <w:t>études de l</w:t>
      </w:r>
      <w:r w:rsidR="00421A76">
        <w:rPr>
          <w:lang w:val="fr-CH"/>
        </w:rPr>
        <w:t>'</w:t>
      </w:r>
      <w:r w:rsidR="005C34C6" w:rsidRPr="00572B2C">
        <w:rPr>
          <w:lang w:val="fr-CH"/>
        </w:rPr>
        <w:t>UIT</w:t>
      </w:r>
      <w:r w:rsidR="00F03EB9">
        <w:rPr>
          <w:lang w:val="fr-CH"/>
        </w:rPr>
        <w:noBreakHyphen/>
      </w:r>
      <w:r w:rsidR="005C34C6" w:rsidRPr="00572B2C">
        <w:rPr>
          <w:lang w:val="fr-CH"/>
        </w:rPr>
        <w:t xml:space="preserve">T dans le domaine des services financiers </w:t>
      </w:r>
      <w:r w:rsidR="00A3128A">
        <w:rPr>
          <w:lang w:val="fr-CH"/>
        </w:rPr>
        <w:t>sur mobile</w:t>
      </w:r>
      <w:r w:rsidR="004C6A0E">
        <w:rPr>
          <w:lang w:val="fr-CH"/>
        </w:rPr>
        <w:t>,</w:t>
      </w:r>
    </w:p>
    <w:p w:rsidR="00576D16" w:rsidRPr="00576D16" w:rsidRDefault="00576D16" w:rsidP="00D96326">
      <w:pPr>
        <w:pStyle w:val="Call"/>
        <w:rPr>
          <w:lang w:val="fr-CH"/>
        </w:rPr>
      </w:pPr>
      <w:r w:rsidRPr="00576D16">
        <w:rPr>
          <w:lang w:val="fr-CH"/>
        </w:rPr>
        <w:t>invite les Etats Membres, les Membres de Secteur, les Associés et les établissements universitaires</w:t>
      </w:r>
    </w:p>
    <w:p w:rsidR="00576D16" w:rsidRPr="00AC4423" w:rsidRDefault="00A3128A" w:rsidP="00FD7AD0">
      <w:pPr>
        <w:rPr>
          <w:lang w:val="fr-CH"/>
        </w:rPr>
      </w:pPr>
      <w:r w:rsidRPr="00A3128A">
        <w:rPr>
          <w:lang w:val="fr-CH"/>
        </w:rPr>
        <w:t xml:space="preserve">à soumettre des contributions pour </w:t>
      </w:r>
      <w:r w:rsidR="00B514C6">
        <w:rPr>
          <w:lang w:val="fr-CH"/>
        </w:rPr>
        <w:t>faire avancer</w:t>
      </w:r>
      <w:r w:rsidRPr="00A3128A">
        <w:rPr>
          <w:lang w:val="fr-CH"/>
        </w:rPr>
        <w:t xml:space="preserve"> les travaux </w:t>
      </w:r>
      <w:r>
        <w:rPr>
          <w:lang w:val="fr-CH"/>
        </w:rPr>
        <w:t>de normalisation</w:t>
      </w:r>
      <w:r w:rsidR="00B514C6">
        <w:rPr>
          <w:lang w:val="fr-CH"/>
        </w:rPr>
        <w:t xml:space="preserve"> sur les</w:t>
      </w:r>
      <w:r>
        <w:rPr>
          <w:lang w:val="fr-CH"/>
        </w:rPr>
        <w:t xml:space="preserve"> services financiers sur mobile</w:t>
      </w:r>
      <w:r w:rsidR="00B514C6">
        <w:rPr>
          <w:lang w:val="fr-CH"/>
        </w:rPr>
        <w:t xml:space="preserve"> à l'UIT</w:t>
      </w:r>
      <w:r w:rsidR="00F03EB9">
        <w:rPr>
          <w:lang w:val="fr-CH"/>
        </w:rPr>
        <w:noBreakHyphen/>
      </w:r>
      <w:r w:rsidR="00B514C6">
        <w:rPr>
          <w:lang w:val="fr-CH"/>
        </w:rPr>
        <w:t>T</w:t>
      </w:r>
      <w:r>
        <w:rPr>
          <w:lang w:val="fr-CH"/>
        </w:rPr>
        <w:t>.</w:t>
      </w:r>
    </w:p>
    <w:p w:rsidR="00576D16" w:rsidRPr="00AC4423" w:rsidRDefault="00576D16" w:rsidP="00D96326">
      <w:pPr>
        <w:pStyle w:val="Reasons"/>
        <w:rPr>
          <w:lang w:val="fr-CH"/>
        </w:rPr>
      </w:pPr>
    </w:p>
    <w:p w:rsidR="00576D16" w:rsidRPr="00A3128A" w:rsidRDefault="00576D16" w:rsidP="00D96326">
      <w:pPr>
        <w:jc w:val="center"/>
        <w:rPr>
          <w:lang w:val="fr-CH"/>
        </w:rPr>
      </w:pPr>
      <w:r w:rsidRPr="00A3128A">
        <w:rPr>
          <w:lang w:val="fr-CH"/>
        </w:rPr>
        <w:t>______________</w:t>
      </w:r>
      <w:bookmarkStart w:id="0" w:name="_GoBack"/>
      <w:bookmarkEnd w:id="0"/>
    </w:p>
    <w:sectPr w:rsidR="00576D16" w:rsidRPr="00A3128A" w:rsidSect="0039169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1E56A4" w:rsidRDefault="00E45D05">
    <w:pPr>
      <w:ind w:right="360"/>
      <w:rPr>
        <w:lang w:val="fr-CH"/>
      </w:rPr>
    </w:pPr>
    <w:r>
      <w:fldChar w:fldCharType="begin"/>
    </w:r>
    <w:r w:rsidRPr="001E56A4">
      <w:rPr>
        <w:lang w:val="fr-CH"/>
      </w:rPr>
      <w:instrText xml:space="preserve"> FILENAME \p  \* MERGEFORMAT </w:instrText>
    </w:r>
    <w:r>
      <w:fldChar w:fldCharType="separate"/>
    </w:r>
    <w:r w:rsidR="001E56A4">
      <w:rPr>
        <w:noProof/>
        <w:lang w:val="fr-CH"/>
      </w:rPr>
      <w:t>P:\FRA\ITU-T\CONF-T\WTSA16\000\042ADD18F.docx</w:t>
    </w:r>
    <w:r>
      <w:fldChar w:fldCharType="end"/>
    </w:r>
    <w:r w:rsidRPr="001E56A4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7AD0">
      <w:rPr>
        <w:noProof/>
      </w:rPr>
      <w:t>14.10.16</w:t>
    </w:r>
    <w:r>
      <w:fldChar w:fldCharType="end"/>
    </w:r>
    <w:r w:rsidRPr="001E56A4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56A4">
      <w:rPr>
        <w:noProof/>
      </w:rPr>
      <w:t>14.10.16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824C45" w:rsidRDefault="00E45D05" w:rsidP="00526703">
    <w:pPr>
      <w:pStyle w:val="Footer"/>
      <w:rPr>
        <w:lang w:val="fr-CH"/>
      </w:rPr>
    </w:pPr>
    <w:r>
      <w:fldChar w:fldCharType="begin"/>
    </w:r>
    <w:r w:rsidRPr="00824C45">
      <w:rPr>
        <w:lang w:val="fr-CH"/>
      </w:rPr>
      <w:instrText xml:space="preserve"> FILENAME \p  \* MERGEFORMAT </w:instrText>
    </w:r>
    <w:r>
      <w:fldChar w:fldCharType="separate"/>
    </w:r>
    <w:r w:rsidR="001E56A4">
      <w:rPr>
        <w:lang w:val="fr-CH"/>
      </w:rPr>
      <w:t>P:\FRA\ITU-T\CONF-T\WTSA16\000\042ADD18F.docx</w:t>
    </w:r>
    <w:r>
      <w:fldChar w:fldCharType="end"/>
    </w:r>
    <w:r w:rsidR="00824C45" w:rsidRPr="00824C45">
      <w:rPr>
        <w:lang w:val="fr-CH"/>
      </w:rPr>
      <w:t xml:space="preserve"> (406508)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824C45" w:rsidRDefault="00987C1F" w:rsidP="00526703">
    <w:pPr>
      <w:pStyle w:val="Footer"/>
      <w:rPr>
        <w:lang w:val="fr-CH"/>
      </w:rPr>
    </w:pPr>
    <w:r>
      <w:fldChar w:fldCharType="begin"/>
    </w:r>
    <w:r w:rsidRPr="00824C45">
      <w:rPr>
        <w:lang w:val="fr-CH"/>
      </w:rPr>
      <w:instrText xml:space="preserve"> FILENAME \p  \* MERGEFORMAT </w:instrText>
    </w:r>
    <w:r>
      <w:fldChar w:fldCharType="separate"/>
    </w:r>
    <w:r w:rsidR="001E56A4">
      <w:rPr>
        <w:lang w:val="fr-CH"/>
      </w:rPr>
      <w:t>P:\FRA\ITU-T\CONF-T\WTSA16\000\042ADD18F.docx</w:t>
    </w:r>
    <w:r>
      <w:fldChar w:fldCharType="end"/>
    </w:r>
    <w:r w:rsidR="00824C45" w:rsidRPr="00824C45">
      <w:rPr>
        <w:lang w:val="fr-CH"/>
      </w:rPr>
      <w:t xml:space="preserve"> (406508</w:t>
    </w:r>
    <w:r w:rsidR="00824C45">
      <w:rPr>
        <w:lang w:val="fr-CH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D7AD0">
      <w:rPr>
        <w:noProof/>
      </w:rPr>
      <w:t>3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/42(Add.18)-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9E9547B"/>
    <w:multiLevelType w:val="hybridMultilevel"/>
    <w:tmpl w:val="BB4A932A"/>
    <w:lvl w:ilvl="0" w:tplc="0394C81E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DA78B238" w:tentative="1">
      <w:start w:val="1"/>
      <w:numFmt w:val="lowerLetter"/>
      <w:lvlText w:val="%2."/>
      <w:lvlJc w:val="left"/>
      <w:pPr>
        <w:ind w:left="1080" w:hanging="360"/>
      </w:pPr>
    </w:lvl>
    <w:lvl w:ilvl="2" w:tplc="B3CAEC4E" w:tentative="1">
      <w:start w:val="1"/>
      <w:numFmt w:val="lowerRoman"/>
      <w:lvlText w:val="%3."/>
      <w:lvlJc w:val="right"/>
      <w:pPr>
        <w:ind w:left="1800" w:hanging="180"/>
      </w:pPr>
    </w:lvl>
    <w:lvl w:ilvl="3" w:tplc="F698CD7A" w:tentative="1">
      <w:start w:val="1"/>
      <w:numFmt w:val="decimal"/>
      <w:lvlText w:val="%4."/>
      <w:lvlJc w:val="left"/>
      <w:pPr>
        <w:ind w:left="2520" w:hanging="360"/>
      </w:pPr>
    </w:lvl>
    <w:lvl w:ilvl="4" w:tplc="4D9EFD86" w:tentative="1">
      <w:start w:val="1"/>
      <w:numFmt w:val="lowerLetter"/>
      <w:lvlText w:val="%5."/>
      <w:lvlJc w:val="left"/>
      <w:pPr>
        <w:ind w:left="3240" w:hanging="360"/>
      </w:pPr>
    </w:lvl>
    <w:lvl w:ilvl="5" w:tplc="A40E50E2" w:tentative="1">
      <w:start w:val="1"/>
      <w:numFmt w:val="lowerRoman"/>
      <w:lvlText w:val="%6."/>
      <w:lvlJc w:val="right"/>
      <w:pPr>
        <w:ind w:left="3960" w:hanging="180"/>
      </w:pPr>
    </w:lvl>
    <w:lvl w:ilvl="6" w:tplc="79E0F4E2" w:tentative="1">
      <w:start w:val="1"/>
      <w:numFmt w:val="decimal"/>
      <w:lvlText w:val="%7."/>
      <w:lvlJc w:val="left"/>
      <w:pPr>
        <w:ind w:left="4680" w:hanging="360"/>
      </w:pPr>
    </w:lvl>
    <w:lvl w:ilvl="7" w:tplc="27C406A6" w:tentative="1">
      <w:start w:val="1"/>
      <w:numFmt w:val="lowerLetter"/>
      <w:lvlText w:val="%8."/>
      <w:lvlJc w:val="left"/>
      <w:pPr>
        <w:ind w:left="5400" w:hanging="360"/>
      </w:pPr>
    </w:lvl>
    <w:lvl w:ilvl="8" w:tplc="8CBC94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36B6C"/>
    <w:multiLevelType w:val="hybridMultilevel"/>
    <w:tmpl w:val="BB4A932A"/>
    <w:lvl w:ilvl="0" w:tplc="A656E30E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4FD2C1BA" w:tentative="1">
      <w:start w:val="1"/>
      <w:numFmt w:val="lowerLetter"/>
      <w:lvlText w:val="%2."/>
      <w:lvlJc w:val="left"/>
      <w:pPr>
        <w:ind w:left="1080" w:hanging="360"/>
      </w:pPr>
    </w:lvl>
    <w:lvl w:ilvl="2" w:tplc="AC606B6A" w:tentative="1">
      <w:start w:val="1"/>
      <w:numFmt w:val="lowerRoman"/>
      <w:lvlText w:val="%3."/>
      <w:lvlJc w:val="right"/>
      <w:pPr>
        <w:ind w:left="1800" w:hanging="180"/>
      </w:pPr>
    </w:lvl>
    <w:lvl w:ilvl="3" w:tplc="569AECD2" w:tentative="1">
      <w:start w:val="1"/>
      <w:numFmt w:val="decimal"/>
      <w:lvlText w:val="%4."/>
      <w:lvlJc w:val="left"/>
      <w:pPr>
        <w:ind w:left="2520" w:hanging="360"/>
      </w:pPr>
    </w:lvl>
    <w:lvl w:ilvl="4" w:tplc="F7D4418C" w:tentative="1">
      <w:start w:val="1"/>
      <w:numFmt w:val="lowerLetter"/>
      <w:lvlText w:val="%5."/>
      <w:lvlJc w:val="left"/>
      <w:pPr>
        <w:ind w:left="3240" w:hanging="360"/>
      </w:pPr>
    </w:lvl>
    <w:lvl w:ilvl="5" w:tplc="0256DABE" w:tentative="1">
      <w:start w:val="1"/>
      <w:numFmt w:val="lowerRoman"/>
      <w:lvlText w:val="%6."/>
      <w:lvlJc w:val="right"/>
      <w:pPr>
        <w:ind w:left="3960" w:hanging="180"/>
      </w:pPr>
    </w:lvl>
    <w:lvl w:ilvl="6" w:tplc="4A84FADC" w:tentative="1">
      <w:start w:val="1"/>
      <w:numFmt w:val="decimal"/>
      <w:lvlText w:val="%7."/>
      <w:lvlJc w:val="left"/>
      <w:pPr>
        <w:ind w:left="4680" w:hanging="360"/>
      </w:pPr>
    </w:lvl>
    <w:lvl w:ilvl="7" w:tplc="56962A18" w:tentative="1">
      <w:start w:val="1"/>
      <w:numFmt w:val="lowerLetter"/>
      <w:lvlText w:val="%8."/>
      <w:lvlJc w:val="left"/>
      <w:pPr>
        <w:ind w:left="5400" w:hanging="360"/>
      </w:pPr>
    </w:lvl>
    <w:lvl w:ilvl="8" w:tplc="53B47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C42D9"/>
    <w:multiLevelType w:val="hybridMultilevel"/>
    <w:tmpl w:val="BB4A932A"/>
    <w:lvl w:ilvl="0" w:tplc="F3382C24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C436F392" w:tentative="1">
      <w:start w:val="1"/>
      <w:numFmt w:val="lowerLetter"/>
      <w:lvlText w:val="%2."/>
      <w:lvlJc w:val="left"/>
      <w:pPr>
        <w:ind w:left="1080" w:hanging="360"/>
      </w:pPr>
    </w:lvl>
    <w:lvl w:ilvl="2" w:tplc="CAAA545A" w:tentative="1">
      <w:start w:val="1"/>
      <w:numFmt w:val="lowerRoman"/>
      <w:lvlText w:val="%3."/>
      <w:lvlJc w:val="right"/>
      <w:pPr>
        <w:ind w:left="1800" w:hanging="180"/>
      </w:pPr>
    </w:lvl>
    <w:lvl w:ilvl="3" w:tplc="889A04A0" w:tentative="1">
      <w:start w:val="1"/>
      <w:numFmt w:val="decimal"/>
      <w:lvlText w:val="%4."/>
      <w:lvlJc w:val="left"/>
      <w:pPr>
        <w:ind w:left="2520" w:hanging="360"/>
      </w:pPr>
    </w:lvl>
    <w:lvl w:ilvl="4" w:tplc="DC7896AE" w:tentative="1">
      <w:start w:val="1"/>
      <w:numFmt w:val="lowerLetter"/>
      <w:lvlText w:val="%5."/>
      <w:lvlJc w:val="left"/>
      <w:pPr>
        <w:ind w:left="3240" w:hanging="360"/>
      </w:pPr>
    </w:lvl>
    <w:lvl w:ilvl="5" w:tplc="19DA3628" w:tentative="1">
      <w:start w:val="1"/>
      <w:numFmt w:val="lowerRoman"/>
      <w:lvlText w:val="%6."/>
      <w:lvlJc w:val="right"/>
      <w:pPr>
        <w:ind w:left="3960" w:hanging="180"/>
      </w:pPr>
    </w:lvl>
    <w:lvl w:ilvl="6" w:tplc="22183572" w:tentative="1">
      <w:start w:val="1"/>
      <w:numFmt w:val="decimal"/>
      <w:lvlText w:val="%7."/>
      <w:lvlJc w:val="left"/>
      <w:pPr>
        <w:ind w:left="4680" w:hanging="360"/>
      </w:pPr>
    </w:lvl>
    <w:lvl w:ilvl="7" w:tplc="D7BA8418" w:tentative="1">
      <w:start w:val="1"/>
      <w:numFmt w:val="lowerLetter"/>
      <w:lvlText w:val="%8."/>
      <w:lvlJc w:val="left"/>
      <w:pPr>
        <w:ind w:left="5400" w:hanging="360"/>
      </w:pPr>
    </w:lvl>
    <w:lvl w:ilvl="8" w:tplc="159EBA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72226"/>
    <w:multiLevelType w:val="hybridMultilevel"/>
    <w:tmpl w:val="84D0ACE4"/>
    <w:lvl w:ilvl="0" w:tplc="40DA5E82">
      <w:start w:val="1"/>
      <w:numFmt w:val="decimal"/>
      <w:lvlText w:val="%1."/>
      <w:lvlJc w:val="left"/>
      <w:pPr>
        <w:ind w:left="360" w:hanging="360"/>
      </w:pPr>
    </w:lvl>
    <w:lvl w:ilvl="1" w:tplc="F648E3FA" w:tentative="1">
      <w:start w:val="1"/>
      <w:numFmt w:val="lowerLetter"/>
      <w:lvlText w:val="%2."/>
      <w:lvlJc w:val="left"/>
      <w:pPr>
        <w:ind w:left="1080" w:hanging="360"/>
      </w:pPr>
    </w:lvl>
    <w:lvl w:ilvl="2" w:tplc="B0CABCAC" w:tentative="1">
      <w:start w:val="1"/>
      <w:numFmt w:val="lowerRoman"/>
      <w:lvlText w:val="%3."/>
      <w:lvlJc w:val="right"/>
      <w:pPr>
        <w:ind w:left="1800" w:hanging="180"/>
      </w:pPr>
    </w:lvl>
    <w:lvl w:ilvl="3" w:tplc="C47E9B0E" w:tentative="1">
      <w:start w:val="1"/>
      <w:numFmt w:val="decimal"/>
      <w:lvlText w:val="%4."/>
      <w:lvlJc w:val="left"/>
      <w:pPr>
        <w:ind w:left="2520" w:hanging="360"/>
      </w:pPr>
    </w:lvl>
    <w:lvl w:ilvl="4" w:tplc="E4D446E2" w:tentative="1">
      <w:start w:val="1"/>
      <w:numFmt w:val="lowerLetter"/>
      <w:lvlText w:val="%5."/>
      <w:lvlJc w:val="left"/>
      <w:pPr>
        <w:ind w:left="3240" w:hanging="360"/>
      </w:pPr>
    </w:lvl>
    <w:lvl w:ilvl="5" w:tplc="AFC48E54" w:tentative="1">
      <w:start w:val="1"/>
      <w:numFmt w:val="lowerRoman"/>
      <w:lvlText w:val="%6."/>
      <w:lvlJc w:val="right"/>
      <w:pPr>
        <w:ind w:left="3960" w:hanging="180"/>
      </w:pPr>
    </w:lvl>
    <w:lvl w:ilvl="6" w:tplc="B42A4F44" w:tentative="1">
      <w:start w:val="1"/>
      <w:numFmt w:val="decimal"/>
      <w:lvlText w:val="%7."/>
      <w:lvlJc w:val="left"/>
      <w:pPr>
        <w:ind w:left="4680" w:hanging="360"/>
      </w:pPr>
    </w:lvl>
    <w:lvl w:ilvl="7" w:tplc="56822B26" w:tentative="1">
      <w:start w:val="1"/>
      <w:numFmt w:val="lowerLetter"/>
      <w:lvlText w:val="%8."/>
      <w:lvlJc w:val="left"/>
      <w:pPr>
        <w:ind w:left="5400" w:hanging="360"/>
      </w:pPr>
    </w:lvl>
    <w:lvl w:ilvl="8" w:tplc="AFD40A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8AB911C-8761-4D24-818B-A944B3DAC767}"/>
    <w:docVar w:name="dgnword-eventsink" w:val="217550256"/>
  </w:docVars>
  <w:rsids>
    <w:rsidRoot w:val="00B31EF6"/>
    <w:rsid w:val="000032AD"/>
    <w:rsid w:val="000041EA"/>
    <w:rsid w:val="00022A29"/>
    <w:rsid w:val="0003015D"/>
    <w:rsid w:val="000355FD"/>
    <w:rsid w:val="00051E39"/>
    <w:rsid w:val="00077239"/>
    <w:rsid w:val="00085846"/>
    <w:rsid w:val="00086491"/>
    <w:rsid w:val="00091346"/>
    <w:rsid w:val="0009706C"/>
    <w:rsid w:val="000A14AF"/>
    <w:rsid w:val="000F73FF"/>
    <w:rsid w:val="00114CF7"/>
    <w:rsid w:val="00123B68"/>
    <w:rsid w:val="00126F2E"/>
    <w:rsid w:val="00146F6F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1E56A4"/>
    <w:rsid w:val="002009EA"/>
    <w:rsid w:val="00202CA0"/>
    <w:rsid w:val="00216B6D"/>
    <w:rsid w:val="002260A6"/>
    <w:rsid w:val="00250AF4"/>
    <w:rsid w:val="00257562"/>
    <w:rsid w:val="00271316"/>
    <w:rsid w:val="002B2A75"/>
    <w:rsid w:val="002D0D1C"/>
    <w:rsid w:val="002D3D19"/>
    <w:rsid w:val="002D58BE"/>
    <w:rsid w:val="002E210D"/>
    <w:rsid w:val="003236A6"/>
    <w:rsid w:val="00332C56"/>
    <w:rsid w:val="00345A52"/>
    <w:rsid w:val="00377BD3"/>
    <w:rsid w:val="00382791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21A76"/>
    <w:rsid w:val="00444030"/>
    <w:rsid w:val="004508E2"/>
    <w:rsid w:val="00461E2D"/>
    <w:rsid w:val="004659AB"/>
    <w:rsid w:val="00476533"/>
    <w:rsid w:val="00492075"/>
    <w:rsid w:val="00495ED0"/>
    <w:rsid w:val="004969AD"/>
    <w:rsid w:val="004A26C4"/>
    <w:rsid w:val="004A6EFC"/>
    <w:rsid w:val="004B13CB"/>
    <w:rsid w:val="004C6A0E"/>
    <w:rsid w:val="004D5D5C"/>
    <w:rsid w:val="004E42A3"/>
    <w:rsid w:val="0050139F"/>
    <w:rsid w:val="00526703"/>
    <w:rsid w:val="00530525"/>
    <w:rsid w:val="0055140B"/>
    <w:rsid w:val="00576D16"/>
    <w:rsid w:val="00595780"/>
    <w:rsid w:val="005964AB"/>
    <w:rsid w:val="005C099A"/>
    <w:rsid w:val="005C31A5"/>
    <w:rsid w:val="005C34C6"/>
    <w:rsid w:val="005E10C9"/>
    <w:rsid w:val="005E61DD"/>
    <w:rsid w:val="006023DF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5AEE"/>
    <w:rsid w:val="00750F10"/>
    <w:rsid w:val="007742CA"/>
    <w:rsid w:val="00782D3C"/>
    <w:rsid w:val="00790D70"/>
    <w:rsid w:val="007D5320"/>
    <w:rsid w:val="008006C5"/>
    <w:rsid w:val="00800972"/>
    <w:rsid w:val="00804475"/>
    <w:rsid w:val="00805961"/>
    <w:rsid w:val="00811633"/>
    <w:rsid w:val="00813B79"/>
    <w:rsid w:val="00824C45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904CE7"/>
    <w:rsid w:val="0092425C"/>
    <w:rsid w:val="009274B4"/>
    <w:rsid w:val="00934EA2"/>
    <w:rsid w:val="00937CBE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0D52"/>
    <w:rsid w:val="00A066F1"/>
    <w:rsid w:val="00A141AF"/>
    <w:rsid w:val="00A16D29"/>
    <w:rsid w:val="00A30305"/>
    <w:rsid w:val="00A3128A"/>
    <w:rsid w:val="00A31D2D"/>
    <w:rsid w:val="00A4600A"/>
    <w:rsid w:val="00A50B31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A7A17"/>
    <w:rsid w:val="00AB5A50"/>
    <w:rsid w:val="00AB7C5F"/>
    <w:rsid w:val="00AC4423"/>
    <w:rsid w:val="00B31EF6"/>
    <w:rsid w:val="00B514C6"/>
    <w:rsid w:val="00B567C6"/>
    <w:rsid w:val="00B639E9"/>
    <w:rsid w:val="00B817CD"/>
    <w:rsid w:val="00B94AD0"/>
    <w:rsid w:val="00BA5265"/>
    <w:rsid w:val="00BB3A95"/>
    <w:rsid w:val="00BB6D50"/>
    <w:rsid w:val="00C0018F"/>
    <w:rsid w:val="00C13C17"/>
    <w:rsid w:val="00C16A5A"/>
    <w:rsid w:val="00C20466"/>
    <w:rsid w:val="00C214ED"/>
    <w:rsid w:val="00C22775"/>
    <w:rsid w:val="00C234E6"/>
    <w:rsid w:val="00C26BA2"/>
    <w:rsid w:val="00C324A8"/>
    <w:rsid w:val="00C54517"/>
    <w:rsid w:val="00C64CD8"/>
    <w:rsid w:val="00C840C5"/>
    <w:rsid w:val="00C97C68"/>
    <w:rsid w:val="00CA1A47"/>
    <w:rsid w:val="00CC247A"/>
    <w:rsid w:val="00CE388F"/>
    <w:rsid w:val="00CE5E47"/>
    <w:rsid w:val="00CF020F"/>
    <w:rsid w:val="00CF1E9D"/>
    <w:rsid w:val="00CF2B5B"/>
    <w:rsid w:val="00D14CE0"/>
    <w:rsid w:val="00D54009"/>
    <w:rsid w:val="00D5651D"/>
    <w:rsid w:val="00D578FE"/>
    <w:rsid w:val="00D57A34"/>
    <w:rsid w:val="00D6112A"/>
    <w:rsid w:val="00D74898"/>
    <w:rsid w:val="00D801ED"/>
    <w:rsid w:val="00D936BC"/>
    <w:rsid w:val="00D96326"/>
    <w:rsid w:val="00D96530"/>
    <w:rsid w:val="00DB09F5"/>
    <w:rsid w:val="00DC7C53"/>
    <w:rsid w:val="00DD44AF"/>
    <w:rsid w:val="00DE2AC3"/>
    <w:rsid w:val="00DE5692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3EB9"/>
    <w:rsid w:val="00F05BD4"/>
    <w:rsid w:val="00F071CC"/>
    <w:rsid w:val="00F6155B"/>
    <w:rsid w:val="00F65C19"/>
    <w:rsid w:val="00F7356B"/>
    <w:rsid w:val="00F776DF"/>
    <w:rsid w:val="00F840C7"/>
    <w:rsid w:val="00F93A4F"/>
    <w:rsid w:val="00FC5492"/>
    <w:rsid w:val="00FD2546"/>
    <w:rsid w:val="00FD772E"/>
    <w:rsid w:val="00FD7AD0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C840C5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rsid w:val="00DC7C53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a5d249b-a829-46de-86a7-d1409d4ffb01">Documents Proposals Manager (DPM)</DPM_x0020_Author>
    <DPM_x0020_File_x0020_name xmlns="5a5d249b-a829-46de-86a7-d1409d4ffb01">T13-WTSA.16-C-0042!A18!MSW-F</DPM_x0020_File_x0020_name>
    <DPM_x0020_Version xmlns="5a5d249b-a829-46de-86a7-d1409d4ffb01">DPM_v2016.10.7.1_prod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a5d249b-a829-46de-86a7-d1409d4ffb01" targetNamespace="http://schemas.microsoft.com/office/2006/metadata/properties" ma:root="true" ma:fieldsID="d41af5c836d734370eb92e7ee5f83852" ns2:_="" ns3:_="">
    <xsd:import namespace="996b2e75-67fd-4955-a3b0-5ab9934cb50b"/>
    <xsd:import namespace="5a5d249b-a829-46de-86a7-d1409d4ffb0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d249b-a829-46de-86a7-d1409d4ffb0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5a5d249b-a829-46de-86a7-d1409d4ffb01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a5d249b-a829-46de-86a7-d1409d4ff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5EC6B-7D8B-4D0D-A69C-05FF74F6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986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T13-WTSA.16-C-0042!A18!MSW-F</vt:lpstr>
    </vt:vector>
  </TitlesOfParts>
  <Manager>General Secretariat - Pool</Manager>
  <Company>International Telecommunication Union (ITU)</Company>
  <LinksUpToDate>false</LinksUpToDate>
  <CharactersWithSpaces>6745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T13-WTSA.16-C-0042!A18!MSW-F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Saxod, Nathalie</cp:lastModifiedBy>
  <cp:revision>27</cp:revision>
  <cp:lastPrinted>2016-10-14T12:57:00Z</cp:lastPrinted>
  <dcterms:created xsi:type="dcterms:W3CDTF">2016-10-14T11:03:00Z</dcterms:created>
  <dcterms:modified xsi:type="dcterms:W3CDTF">2016-10-14T14:01:00Z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